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61" w:tblpY="3211"/>
        <w:tblW w:w="9214" w:type="dxa"/>
        <w:tblLayout w:type="fixed"/>
        <w:tblLook w:val="0000" w:firstRow="0" w:lastRow="0" w:firstColumn="0" w:lastColumn="0" w:noHBand="0" w:noVBand="0"/>
      </w:tblPr>
      <w:tblGrid>
        <w:gridCol w:w="3969"/>
        <w:gridCol w:w="5245"/>
      </w:tblGrid>
      <w:tr w:rsidR="00BE6200" w:rsidRPr="00E24D59" w14:paraId="6B743D81" w14:textId="77777777" w:rsidTr="00BE6200">
        <w:trPr>
          <w:cantSplit/>
          <w:trHeight w:val="23"/>
        </w:trPr>
        <w:tc>
          <w:tcPr>
            <w:tcW w:w="3969" w:type="dxa"/>
            <w:vMerge w:val="restart"/>
            <w:tcMar>
              <w:left w:w="0" w:type="dxa"/>
            </w:tcMar>
          </w:tcPr>
          <w:p w14:paraId="118AAB10" w14:textId="77777777" w:rsidR="00BE6200" w:rsidRPr="00E24D59" w:rsidRDefault="00BE6200" w:rsidP="00BE6200">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b/>
              </w:rPr>
              <w:t>ADM 2</w:t>
            </w:r>
          </w:p>
        </w:tc>
        <w:tc>
          <w:tcPr>
            <w:tcW w:w="5245" w:type="dxa"/>
          </w:tcPr>
          <w:p w14:paraId="0FD14C99" w14:textId="77777777" w:rsidR="00BE6200" w:rsidRPr="00E24D59" w:rsidRDefault="00BE6200" w:rsidP="00BE6200">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4</w:t>
            </w:r>
            <w:r w:rsidRPr="00E24D59">
              <w:rPr>
                <w:b/>
                <w:lang w:val="fr-CH"/>
              </w:rPr>
              <w:t>/</w:t>
            </w:r>
            <w:r>
              <w:rPr>
                <w:b/>
                <w:lang w:val="fr-CH"/>
              </w:rPr>
              <w:t>41</w:t>
            </w:r>
            <w:r w:rsidRPr="00E24D59">
              <w:rPr>
                <w:b/>
                <w:lang w:val="fr-CH"/>
              </w:rPr>
              <w:t>-C</w:t>
            </w:r>
          </w:p>
        </w:tc>
      </w:tr>
      <w:tr w:rsidR="00BE6200" w:rsidRPr="00813E5E" w14:paraId="5A4D061C" w14:textId="77777777" w:rsidTr="00BE6200">
        <w:trPr>
          <w:cantSplit/>
        </w:trPr>
        <w:tc>
          <w:tcPr>
            <w:tcW w:w="3969" w:type="dxa"/>
            <w:vMerge/>
          </w:tcPr>
          <w:p w14:paraId="65687958" w14:textId="77777777" w:rsidR="00BE6200" w:rsidRPr="00E24D59" w:rsidRDefault="00BE6200" w:rsidP="00BE6200">
            <w:pPr>
              <w:tabs>
                <w:tab w:val="left" w:pos="851"/>
              </w:tabs>
              <w:spacing w:line="240" w:lineRule="atLeast"/>
              <w:rPr>
                <w:b/>
                <w:lang w:val="fr-CH"/>
              </w:rPr>
            </w:pPr>
            <w:bookmarkStart w:id="3" w:name="ddate" w:colFirst="1" w:colLast="1"/>
            <w:bookmarkEnd w:id="0"/>
            <w:bookmarkEnd w:id="1"/>
          </w:p>
        </w:tc>
        <w:tc>
          <w:tcPr>
            <w:tcW w:w="5245" w:type="dxa"/>
          </w:tcPr>
          <w:p w14:paraId="74040BFE" w14:textId="77777777" w:rsidR="00BE6200" w:rsidRPr="00E85629" w:rsidRDefault="00BE6200" w:rsidP="00BE6200">
            <w:pPr>
              <w:tabs>
                <w:tab w:val="left" w:pos="851"/>
              </w:tabs>
              <w:spacing w:before="0"/>
              <w:jc w:val="right"/>
              <w:rPr>
                <w:b/>
              </w:rPr>
            </w:pPr>
            <w:r>
              <w:rPr>
                <w:b/>
              </w:rPr>
              <w:t>2024</w:t>
            </w:r>
            <w:r>
              <w:rPr>
                <w:rFonts w:hint="eastAsia"/>
                <w:b/>
                <w:lang w:eastAsia="zh-CN"/>
              </w:rPr>
              <w:t>年</w:t>
            </w:r>
            <w:r>
              <w:rPr>
                <w:b/>
                <w:lang w:eastAsia="zh-CN"/>
              </w:rPr>
              <w:t>2</w:t>
            </w:r>
            <w:r>
              <w:rPr>
                <w:rFonts w:hint="eastAsia"/>
                <w:b/>
                <w:lang w:eastAsia="zh-CN"/>
              </w:rPr>
              <w:t>月</w:t>
            </w:r>
            <w:r>
              <w:rPr>
                <w:b/>
                <w:lang w:eastAsia="zh-CN"/>
              </w:rPr>
              <w:t>22</w:t>
            </w:r>
            <w:r>
              <w:rPr>
                <w:rFonts w:hint="eastAsia"/>
                <w:b/>
                <w:lang w:eastAsia="zh-CN"/>
              </w:rPr>
              <w:t>日</w:t>
            </w:r>
          </w:p>
        </w:tc>
      </w:tr>
      <w:tr w:rsidR="00BE6200" w:rsidRPr="00813E5E" w14:paraId="079D836C" w14:textId="77777777" w:rsidTr="00BE6200">
        <w:trPr>
          <w:cantSplit/>
          <w:trHeight w:val="23"/>
        </w:trPr>
        <w:tc>
          <w:tcPr>
            <w:tcW w:w="3969" w:type="dxa"/>
            <w:vMerge/>
          </w:tcPr>
          <w:p w14:paraId="57F03D4E" w14:textId="77777777" w:rsidR="00BE6200" w:rsidRPr="00813E5E" w:rsidRDefault="00BE6200" w:rsidP="00BE6200">
            <w:pPr>
              <w:tabs>
                <w:tab w:val="left" w:pos="851"/>
              </w:tabs>
              <w:spacing w:line="240" w:lineRule="atLeast"/>
              <w:rPr>
                <w:b/>
              </w:rPr>
            </w:pPr>
            <w:bookmarkStart w:id="4" w:name="dorlang" w:colFirst="1" w:colLast="1"/>
            <w:bookmarkEnd w:id="3"/>
          </w:p>
        </w:tc>
        <w:tc>
          <w:tcPr>
            <w:tcW w:w="5245" w:type="dxa"/>
          </w:tcPr>
          <w:p w14:paraId="366CD112" w14:textId="77777777" w:rsidR="00BE6200" w:rsidRPr="00E85629" w:rsidRDefault="00BE6200" w:rsidP="00BE6200">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BE6200" w:rsidRPr="00813E5E" w14:paraId="53F95DAA" w14:textId="77777777" w:rsidTr="00BE6200">
        <w:trPr>
          <w:cantSplit/>
          <w:trHeight w:val="23"/>
        </w:trPr>
        <w:tc>
          <w:tcPr>
            <w:tcW w:w="3969" w:type="dxa"/>
          </w:tcPr>
          <w:p w14:paraId="40C77E95" w14:textId="77777777" w:rsidR="00BE6200" w:rsidRPr="00813E5E" w:rsidRDefault="00BE6200" w:rsidP="00BE6200">
            <w:pPr>
              <w:tabs>
                <w:tab w:val="left" w:pos="851"/>
              </w:tabs>
              <w:spacing w:line="240" w:lineRule="atLeast"/>
              <w:rPr>
                <w:b/>
              </w:rPr>
            </w:pPr>
          </w:p>
        </w:tc>
        <w:tc>
          <w:tcPr>
            <w:tcW w:w="5245" w:type="dxa"/>
          </w:tcPr>
          <w:p w14:paraId="404FE462" w14:textId="77777777" w:rsidR="00BE6200" w:rsidRDefault="00BE6200" w:rsidP="00BE6200">
            <w:pPr>
              <w:tabs>
                <w:tab w:val="left" w:pos="851"/>
              </w:tabs>
              <w:spacing w:before="0" w:line="240" w:lineRule="atLeast"/>
              <w:jc w:val="right"/>
              <w:rPr>
                <w:b/>
              </w:rPr>
            </w:pPr>
          </w:p>
        </w:tc>
      </w:tr>
      <w:tr w:rsidR="00BE6200" w:rsidRPr="00813E5E" w14:paraId="15BD9545" w14:textId="77777777" w:rsidTr="00BE6200">
        <w:trPr>
          <w:cantSplit/>
        </w:trPr>
        <w:tc>
          <w:tcPr>
            <w:tcW w:w="9214" w:type="dxa"/>
            <w:gridSpan w:val="2"/>
            <w:tcMar>
              <w:left w:w="0" w:type="dxa"/>
            </w:tcMar>
          </w:tcPr>
          <w:p w14:paraId="208B2956" w14:textId="77777777" w:rsidR="00BE6200" w:rsidRPr="00E24D59" w:rsidRDefault="00BE6200" w:rsidP="00BE6200">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BE6200" w:rsidRPr="00813E5E" w14:paraId="16049510" w14:textId="77777777" w:rsidTr="00BE6200">
        <w:trPr>
          <w:cantSplit/>
        </w:trPr>
        <w:tc>
          <w:tcPr>
            <w:tcW w:w="9214" w:type="dxa"/>
            <w:gridSpan w:val="2"/>
            <w:tcMar>
              <w:left w:w="0" w:type="dxa"/>
            </w:tcMar>
          </w:tcPr>
          <w:p w14:paraId="2514476B" w14:textId="77777777" w:rsidR="00BE6200" w:rsidRPr="00E24D59" w:rsidRDefault="00BE6200" w:rsidP="00BE6200">
            <w:pPr>
              <w:pStyle w:val="Source"/>
              <w:jc w:val="left"/>
              <w:rPr>
                <w:rFonts w:ascii="SimSun" w:hAnsi="SimSun"/>
                <w:lang w:eastAsia="zh-CN"/>
              </w:rPr>
            </w:pPr>
            <w:bookmarkStart w:id="6" w:name="dtitle1" w:colFirst="0" w:colLast="0"/>
            <w:bookmarkEnd w:id="5"/>
            <w:r w:rsidRPr="00FE1A9F">
              <w:rPr>
                <w:rFonts w:cstheme="minorHAnsi" w:hint="eastAsia"/>
                <w:sz w:val="34"/>
                <w:szCs w:val="34"/>
                <w:lang w:val="ru-RU" w:eastAsia="zh-CN"/>
              </w:rPr>
              <w:t>外部审计员关于国际电联</w:t>
            </w:r>
            <w:r w:rsidRPr="00F8602D">
              <w:rPr>
                <w:rFonts w:cstheme="minorHAnsi" w:hint="eastAsia"/>
                <w:sz w:val="34"/>
                <w:szCs w:val="34"/>
                <w:lang w:eastAsia="zh-CN"/>
              </w:rPr>
              <w:t>2022</w:t>
            </w:r>
            <w:r w:rsidRPr="00FE1A9F">
              <w:rPr>
                <w:rFonts w:cstheme="minorHAnsi" w:hint="eastAsia"/>
                <w:sz w:val="34"/>
                <w:szCs w:val="34"/>
                <w:lang w:val="ru-RU" w:eastAsia="zh-CN"/>
              </w:rPr>
              <w:t>年财务报表的报告</w:t>
            </w:r>
          </w:p>
        </w:tc>
      </w:tr>
      <w:tr w:rsidR="00BE6200" w:rsidRPr="00813E5E" w14:paraId="58704066" w14:textId="77777777" w:rsidTr="00BE6200">
        <w:trPr>
          <w:cantSplit/>
        </w:trPr>
        <w:tc>
          <w:tcPr>
            <w:tcW w:w="9214" w:type="dxa"/>
            <w:gridSpan w:val="2"/>
            <w:tcBorders>
              <w:top w:val="single" w:sz="4" w:space="0" w:color="auto"/>
              <w:bottom w:val="single" w:sz="4" w:space="0" w:color="auto"/>
            </w:tcBorders>
            <w:tcMar>
              <w:left w:w="0" w:type="dxa"/>
            </w:tcMar>
          </w:tcPr>
          <w:p w14:paraId="48D73B56" w14:textId="77777777" w:rsidR="00BE6200" w:rsidRPr="00FE1A9F" w:rsidRDefault="00BE6200" w:rsidP="00BE6200">
            <w:pPr>
              <w:pStyle w:val="Subtitle"/>
              <w:framePr w:hSpace="0" w:wrap="auto" w:hAnchor="text" w:xAlign="left" w:yAlign="inline"/>
              <w:rPr>
                <w:rFonts w:ascii="Times New Roman" w:eastAsia="SimSun" w:hAnsi="Times New Roman"/>
                <w:b/>
                <w:bCs/>
                <w:sz w:val="26"/>
                <w:szCs w:val="26"/>
                <w:lang w:eastAsia="zh-CN"/>
              </w:rPr>
            </w:pPr>
            <w:r w:rsidRPr="008F64AD">
              <w:rPr>
                <w:rFonts w:ascii="SimSun" w:eastAsia="SimSun" w:hAnsi="SimSun" w:cstheme="minorHAnsi"/>
                <w:b/>
                <w:bCs/>
                <w:sz w:val="26"/>
                <w:szCs w:val="26"/>
                <w:lang w:eastAsia="zh-CN"/>
              </w:rPr>
              <w:t>目的</w:t>
            </w:r>
          </w:p>
          <w:p w14:paraId="040C38C0" w14:textId="77777777" w:rsidR="00BE6200" w:rsidRPr="004130E7" w:rsidRDefault="00BE6200" w:rsidP="009E5657">
            <w:pPr>
              <w:ind w:firstLineChars="200" w:firstLine="480"/>
              <w:rPr>
                <w:lang w:eastAsia="zh-CN"/>
              </w:rPr>
            </w:pPr>
            <w:r w:rsidRPr="004130E7">
              <w:rPr>
                <w:lang w:eastAsia="zh-CN"/>
              </w:rPr>
              <w:t>本文件介绍了关于经审计的国际电联</w:t>
            </w:r>
            <w:r w:rsidRPr="004130E7">
              <w:rPr>
                <w:lang w:eastAsia="zh-CN"/>
              </w:rPr>
              <w:t>2022</w:t>
            </w:r>
            <w:r w:rsidRPr="004130E7">
              <w:rPr>
                <w:lang w:eastAsia="zh-CN"/>
              </w:rPr>
              <w:t>年财务报表的外部审计报告。</w:t>
            </w:r>
          </w:p>
          <w:p w14:paraId="63E9BD71" w14:textId="77777777" w:rsidR="00BE6200" w:rsidRPr="004130E7" w:rsidRDefault="00BE6200" w:rsidP="00BE6200">
            <w:pPr>
              <w:pStyle w:val="Subtitle"/>
              <w:framePr w:hSpace="0" w:wrap="auto" w:hAnchor="text" w:xAlign="left" w:yAlign="inline"/>
              <w:rPr>
                <w:rFonts w:eastAsia="SimSun" w:cs="Calibri"/>
                <w:b/>
                <w:bCs/>
                <w:sz w:val="26"/>
                <w:szCs w:val="26"/>
                <w:lang w:eastAsia="zh-CN"/>
              </w:rPr>
            </w:pPr>
            <w:r w:rsidRPr="004130E7">
              <w:rPr>
                <w:rFonts w:eastAsia="SimSun" w:cs="Calibri"/>
                <w:b/>
                <w:bCs/>
                <w:sz w:val="26"/>
                <w:szCs w:val="26"/>
                <w:lang w:eastAsia="zh-CN"/>
              </w:rPr>
              <w:t>理事会需采取的行动</w:t>
            </w:r>
          </w:p>
          <w:p w14:paraId="191591E3" w14:textId="77777777" w:rsidR="00BE6200" w:rsidRPr="00FE1A9F" w:rsidRDefault="00BE6200" w:rsidP="009E5657">
            <w:pPr>
              <w:ind w:firstLineChars="200" w:firstLine="480"/>
              <w:rPr>
                <w:rFonts w:ascii="Times New Roman" w:hAnsi="Times New Roman"/>
                <w:lang w:eastAsia="zh-CN"/>
              </w:rPr>
            </w:pPr>
            <w:r w:rsidRPr="004130E7">
              <w:rPr>
                <w:lang w:eastAsia="zh-CN"/>
              </w:rPr>
              <w:t>请理事会审议并批准经国家审计署（</w:t>
            </w:r>
            <w:r w:rsidRPr="004130E7">
              <w:rPr>
                <w:lang w:eastAsia="zh-CN"/>
              </w:rPr>
              <w:t>NAO</w:t>
            </w:r>
            <w:r w:rsidRPr="004130E7">
              <w:rPr>
                <w:lang w:eastAsia="zh-CN"/>
              </w:rPr>
              <w:t>）审计的外部审计员关于国际电联</w:t>
            </w:r>
            <w:r w:rsidRPr="004130E7">
              <w:rPr>
                <w:lang w:eastAsia="zh-CN"/>
              </w:rPr>
              <w:t>2022</w:t>
            </w:r>
            <w:r w:rsidRPr="004130E7">
              <w:rPr>
                <w:lang w:eastAsia="zh-CN"/>
              </w:rPr>
              <w:t>年财务报表的报告。</w:t>
            </w:r>
          </w:p>
          <w:p w14:paraId="6B8A7247" w14:textId="77777777" w:rsidR="00BE6200" w:rsidRPr="00E24D59" w:rsidRDefault="00BE6200" w:rsidP="00BE6200">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94EEC34" w14:textId="77777777" w:rsidR="00BE6200" w:rsidRPr="00E24D59" w:rsidRDefault="00BE6200" w:rsidP="00BE6200">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23C85BA3" w14:textId="77777777" w:rsidR="00BE6200" w:rsidRDefault="00F8602D" w:rsidP="00BE6200">
            <w:pPr>
              <w:spacing w:after="160"/>
              <w:rPr>
                <w:lang w:eastAsia="zh-CN"/>
              </w:rPr>
            </w:pPr>
            <w:hyperlink r:id="rId8" w:history="1">
              <w:r w:rsidR="00BE6200" w:rsidRPr="009E5657">
                <w:rPr>
                  <w:rStyle w:val="Hyperlink"/>
                  <w:rFonts w:hint="eastAsia"/>
                  <w:lang w:eastAsia="zh-CN"/>
                </w:rPr>
                <w:t>《</w:t>
              </w:r>
              <w:r w:rsidR="00BE6200" w:rsidRPr="009E5657">
                <w:rPr>
                  <w:rStyle w:val="Hyperlink"/>
                  <w:rFonts w:eastAsia="STKaiti" w:hint="eastAsia"/>
                  <w:lang w:eastAsia="zh-CN"/>
                </w:rPr>
                <w:t>财务规则》（</w:t>
              </w:r>
              <w:r w:rsidR="00BE6200" w:rsidRPr="009E5657">
                <w:rPr>
                  <w:rStyle w:val="Hyperlink"/>
                  <w:rFonts w:eastAsia="STKaiti"/>
                  <w:lang w:eastAsia="zh-CN"/>
                </w:rPr>
                <w:t>2018</w:t>
              </w:r>
              <w:r w:rsidR="00BE6200" w:rsidRPr="009E5657">
                <w:rPr>
                  <w:rStyle w:val="Hyperlink"/>
                  <w:rFonts w:eastAsia="STKaiti" w:hint="eastAsia"/>
                  <w:lang w:eastAsia="zh-CN"/>
                </w:rPr>
                <w:t>年版）</w:t>
              </w:r>
            </w:hyperlink>
            <w:r w:rsidR="00BE6200" w:rsidRPr="009E5657">
              <w:rPr>
                <w:rFonts w:eastAsia="STKaiti" w:hint="eastAsia"/>
                <w:lang w:eastAsia="zh-CN"/>
              </w:rPr>
              <w:t>：第</w:t>
            </w:r>
            <w:r w:rsidR="00BE6200" w:rsidRPr="009E5657">
              <w:rPr>
                <w:rFonts w:eastAsia="STKaiti"/>
                <w:lang w:eastAsia="zh-CN"/>
              </w:rPr>
              <w:t>28</w:t>
            </w:r>
            <w:r w:rsidR="00BE6200" w:rsidRPr="00FE1A9F">
              <w:rPr>
                <w:rFonts w:ascii="STKaiti" w:eastAsia="STKaiti" w:hAnsi="STKaiti" w:hint="eastAsia"/>
                <w:lang w:eastAsia="zh-CN"/>
              </w:rPr>
              <w:t>条和附加职责范围</w:t>
            </w:r>
          </w:p>
        </w:tc>
      </w:tr>
    </w:tbl>
    <w:tbl>
      <w:tblPr>
        <w:tblStyle w:val="TableGrid"/>
        <w:tblpPr w:leftFromText="180" w:rightFromText="180" w:vertAnchor="page" w:horzAnchor="margin" w:tblpXSpec="center" w:tblpY="1216"/>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E6200" w:rsidRPr="00784011" w14:paraId="039044F1" w14:textId="77777777" w:rsidTr="00BE6200">
        <w:trPr>
          <w:trHeight w:val="1104"/>
        </w:trPr>
        <w:tc>
          <w:tcPr>
            <w:tcW w:w="4390" w:type="dxa"/>
            <w:vAlign w:val="center"/>
          </w:tcPr>
          <w:p w14:paraId="79E65C91" w14:textId="77777777" w:rsidR="00BE6200" w:rsidRPr="009621F8" w:rsidRDefault="00BE6200" w:rsidP="00BE6200">
            <w:pPr>
              <w:pStyle w:val="Header"/>
              <w:jc w:val="left"/>
              <w:rPr>
                <w:rFonts w:ascii="Arial" w:hAnsi="Arial" w:cs="Arial"/>
                <w:b/>
                <w:bCs/>
                <w:color w:val="009CD6"/>
                <w:sz w:val="36"/>
                <w:szCs w:val="36"/>
              </w:rPr>
            </w:pPr>
            <w:bookmarkStart w:id="7" w:name="_Hlk133422111"/>
            <w:bookmarkEnd w:id="2"/>
            <w:bookmarkEnd w:id="6"/>
            <w:r>
              <w:rPr>
                <w:noProof/>
              </w:rPr>
              <w:drawing>
                <wp:inline distT="0" distB="0" distL="0" distR="0" wp14:anchorId="50B175AA" wp14:editId="42FBE9BA">
                  <wp:extent cx="1987200" cy="558000"/>
                  <wp:effectExtent l="0" t="0" r="0" b="0"/>
                  <wp:docPr id="1364996525" name="Picture 13649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57A22D6" w14:textId="77777777" w:rsidR="00BE6200" w:rsidRDefault="00BE6200" w:rsidP="00BE6200">
            <w:pPr>
              <w:pStyle w:val="Header"/>
              <w:jc w:val="right"/>
              <w:rPr>
                <w:rFonts w:ascii="Arial" w:hAnsi="Arial" w:cs="Arial"/>
                <w:b/>
                <w:bCs/>
                <w:color w:val="009CD6"/>
                <w:szCs w:val="18"/>
              </w:rPr>
            </w:pPr>
          </w:p>
          <w:p w14:paraId="09971E79" w14:textId="77777777" w:rsidR="00BE6200" w:rsidRDefault="00BE6200" w:rsidP="00BE6200">
            <w:pPr>
              <w:pStyle w:val="Header"/>
              <w:jc w:val="right"/>
              <w:rPr>
                <w:rFonts w:ascii="Arial" w:hAnsi="Arial" w:cs="Arial"/>
                <w:b/>
                <w:bCs/>
                <w:color w:val="009CD6"/>
                <w:szCs w:val="18"/>
              </w:rPr>
            </w:pPr>
          </w:p>
          <w:p w14:paraId="0578BA50" w14:textId="77777777" w:rsidR="00BE6200" w:rsidRPr="00784011" w:rsidRDefault="00BE6200" w:rsidP="00BE6200">
            <w:pPr>
              <w:pStyle w:val="Header"/>
              <w:jc w:val="right"/>
              <w:rPr>
                <w:rFonts w:ascii="Arial" w:hAnsi="Arial" w:cs="Arial"/>
                <w:color w:val="009CD6"/>
                <w:szCs w:val="18"/>
              </w:rPr>
            </w:pPr>
            <w:r w:rsidRPr="00BC6276">
              <w:rPr>
                <w:rFonts w:ascii="Arial" w:hAnsi="Arial" w:cs="Arial"/>
                <w:b/>
                <w:bCs/>
                <w:color w:val="009CD6"/>
                <w:szCs w:val="18"/>
              </w:rPr>
              <w:t xml:space="preserve"> </w:t>
            </w:r>
          </w:p>
        </w:tc>
      </w:tr>
      <w:bookmarkEnd w:id="7"/>
    </w:tbl>
    <w:p w14:paraId="2A33B934" w14:textId="3CAE9770" w:rsidR="004130E7" w:rsidRDefault="004130E7" w:rsidP="00046AD5">
      <w:pPr>
        <w:pStyle w:val="zzDocType"/>
        <w:rPr>
          <w:rFonts w:ascii="Calibri" w:eastAsia="SimSun" w:hAnsi="Calibri" w:cs="Calibri"/>
          <w:lang w:eastAsia="zh-CN"/>
        </w:rPr>
      </w:pPr>
    </w:p>
    <w:p w14:paraId="0069BB66" w14:textId="3E259260" w:rsidR="004130E7" w:rsidRDefault="004130E7" w:rsidP="00046AD5">
      <w:pPr>
        <w:pStyle w:val="zzDocType"/>
        <w:rPr>
          <w:rFonts w:ascii="Calibri" w:eastAsia="SimSun" w:hAnsi="Calibri" w:cs="Calibri"/>
          <w:lang w:eastAsia="zh-CN"/>
        </w:rPr>
      </w:pPr>
    </w:p>
    <w:p w14:paraId="426D3EEC" w14:textId="77777777" w:rsidR="004130E7" w:rsidRDefault="004130E7" w:rsidP="00046AD5">
      <w:pPr>
        <w:pStyle w:val="zzDocType"/>
        <w:rPr>
          <w:rFonts w:ascii="Calibri" w:eastAsia="SimSun" w:hAnsi="Calibri" w:cs="Calibri"/>
          <w:lang w:eastAsia="zh-CN"/>
        </w:rPr>
      </w:pPr>
    </w:p>
    <w:p w14:paraId="5126B956" w14:textId="6F15964B" w:rsidR="004130E7" w:rsidRDefault="004130E7" w:rsidP="00046AD5">
      <w:pPr>
        <w:pStyle w:val="zzDocType"/>
        <w:rPr>
          <w:rFonts w:ascii="Calibri" w:eastAsia="SimSun" w:hAnsi="Calibri" w:cs="Calibri"/>
          <w:lang w:eastAsia="zh-CN"/>
        </w:rPr>
        <w:sectPr w:rsidR="004130E7" w:rsidSect="00BE6200">
          <w:headerReference w:type="even" r:id="rId10"/>
          <w:headerReference w:type="first" r:id="rId11"/>
          <w:footerReference w:type="first" r:id="rId12"/>
          <w:endnotePr>
            <w:numFmt w:val="decimal"/>
          </w:endnotePr>
          <w:pgSz w:w="11907" w:h="16840"/>
          <w:pgMar w:top="2835" w:right="1418" w:bottom="1418" w:left="1418" w:header="709" w:footer="709" w:gutter="0"/>
          <w:cols w:space="720"/>
          <w:titlePg/>
          <w:docGrid w:linePitch="326"/>
        </w:sectPr>
      </w:pPr>
    </w:p>
    <w:p w14:paraId="234D80D9" w14:textId="56226749" w:rsidR="00046AD5" w:rsidRPr="000417FD" w:rsidRDefault="009962FB" w:rsidP="00046AD5">
      <w:pPr>
        <w:pStyle w:val="zzDocType"/>
        <w:rPr>
          <w:rFonts w:ascii="Calibri" w:eastAsia="SimSun" w:hAnsi="Calibri" w:cs="Calibri"/>
          <w:lang w:eastAsia="zh-CN"/>
        </w:rPr>
      </w:pPr>
      <w:r w:rsidRPr="000417FD">
        <w:rPr>
          <w:rFonts w:ascii="Calibri" w:eastAsia="SimSun" w:hAnsi="Calibri" w:cs="Calibri" w:hint="eastAsia"/>
          <w:lang w:eastAsia="zh-CN"/>
        </w:rPr>
        <w:lastRenderedPageBreak/>
        <w:t>提交理事会的报告</w:t>
      </w:r>
    </w:p>
    <w:p w14:paraId="6F54D18E" w14:textId="2D00C58D" w:rsidR="00046AD5" w:rsidRDefault="00B367B5" w:rsidP="00046AD5">
      <w:pPr>
        <w:pStyle w:val="zzDocType"/>
        <w:rPr>
          <w:lang w:eastAsia="zh-CN"/>
        </w:rPr>
      </w:pPr>
      <w:r w:rsidRPr="000417FD">
        <w:rPr>
          <w:rFonts w:ascii="Calibri" w:eastAsia="SimSun" w:hAnsi="Calibri" w:cs="Calibri"/>
          <w:lang w:eastAsia="zh-CN"/>
        </w:rPr>
        <w:t>2024</w:t>
      </w:r>
      <w:r w:rsidRPr="000417FD">
        <w:rPr>
          <w:rFonts w:ascii="Calibri" w:eastAsia="SimSun" w:hAnsi="Calibri" w:cs="Calibri" w:hint="eastAsia"/>
          <w:lang w:eastAsia="zh-CN"/>
        </w:rPr>
        <w:t>年</w:t>
      </w:r>
      <w:r w:rsidRPr="000417FD">
        <w:rPr>
          <w:rFonts w:ascii="Calibri" w:eastAsia="SimSun" w:hAnsi="Calibri" w:cs="Calibri" w:hint="eastAsia"/>
          <w:lang w:eastAsia="zh-CN"/>
        </w:rPr>
        <w:t>1</w:t>
      </w:r>
      <w:r w:rsidRPr="000417FD">
        <w:rPr>
          <w:rFonts w:ascii="Calibri" w:eastAsia="SimSun" w:hAnsi="Calibri" w:cs="Calibri" w:hint="eastAsia"/>
          <w:lang w:eastAsia="zh-CN"/>
        </w:rPr>
        <w:t>月</w:t>
      </w:r>
    </w:p>
    <w:p w14:paraId="23F834CA" w14:textId="5C11D531" w:rsidR="00046AD5" w:rsidRDefault="00046AD5" w:rsidP="00046AD5">
      <w:pPr>
        <w:pStyle w:val="zzDepartmentname"/>
        <w:rPr>
          <w:bCs/>
          <w:lang w:eastAsia="zh-CN"/>
        </w:rPr>
      </w:pPr>
      <w:r>
        <w:rPr>
          <w:rFonts w:ascii="SimSun" w:eastAsia="SimSun" w:hAnsi="SimSun" w:cs="SimSun" w:hint="eastAsia"/>
          <w:lang w:eastAsia="zh-CN"/>
        </w:rPr>
        <w:t>国际电信联盟</w:t>
      </w:r>
    </w:p>
    <w:p w14:paraId="040DFB22" w14:textId="2B274423" w:rsidR="00046AD5" w:rsidRPr="000417FD" w:rsidRDefault="00046AD5" w:rsidP="00046AD5">
      <w:pPr>
        <w:pStyle w:val="zzReporttitle"/>
        <w:rPr>
          <w:rFonts w:ascii="Calibri" w:eastAsia="SimSun" w:hAnsi="Calibri" w:cs="Calibri"/>
          <w:sz w:val="44"/>
          <w:szCs w:val="44"/>
          <w:lang w:eastAsia="zh-CN"/>
        </w:rPr>
      </w:pPr>
      <w:r w:rsidRPr="000417FD">
        <w:rPr>
          <w:rFonts w:ascii="Calibri" w:eastAsia="SimSun" w:hAnsi="Calibri" w:cs="Calibri" w:hint="eastAsia"/>
          <w:sz w:val="44"/>
          <w:szCs w:val="44"/>
          <w:lang w:eastAsia="zh-CN"/>
        </w:rPr>
        <w:t>外部审计员关于</w:t>
      </w:r>
      <w:r w:rsidR="00C717DC" w:rsidRPr="000417FD">
        <w:rPr>
          <w:rFonts w:ascii="Calibri" w:eastAsia="SimSun" w:hAnsi="Calibri" w:cs="Calibri" w:hint="eastAsia"/>
          <w:sz w:val="44"/>
          <w:szCs w:val="44"/>
          <w:lang w:eastAsia="zh-CN"/>
        </w:rPr>
        <w:t>国际电联</w:t>
      </w:r>
      <w:r w:rsidRPr="000417FD">
        <w:rPr>
          <w:rFonts w:ascii="Calibri" w:eastAsia="SimSun" w:hAnsi="Calibri" w:cs="Calibri" w:hint="eastAsia"/>
          <w:sz w:val="44"/>
          <w:szCs w:val="44"/>
          <w:lang w:eastAsia="zh-CN"/>
        </w:rPr>
        <w:t>2022</w:t>
      </w:r>
      <w:r w:rsidRPr="000417FD">
        <w:rPr>
          <w:rFonts w:ascii="Calibri" w:eastAsia="SimSun" w:hAnsi="Calibri" w:cs="Calibri" w:hint="eastAsia"/>
          <w:sz w:val="44"/>
          <w:szCs w:val="44"/>
          <w:lang w:eastAsia="zh-CN"/>
        </w:rPr>
        <w:t>年财务报表的报告</w:t>
      </w:r>
    </w:p>
    <w:p w14:paraId="37D1702F" w14:textId="14459CF6" w:rsidR="0047690C" w:rsidRPr="0047690C" w:rsidRDefault="0047690C" w:rsidP="0047690C">
      <w:pPr>
        <w:tabs>
          <w:tab w:val="clear" w:pos="794"/>
          <w:tab w:val="clear" w:pos="1191"/>
          <w:tab w:val="clear" w:pos="1588"/>
        </w:tabs>
        <w:rPr>
          <w:lang w:eastAsia="zh-CN"/>
        </w:rPr>
      </w:pPr>
    </w:p>
    <w:p w14:paraId="64E61EDF" w14:textId="77777777" w:rsidR="0047690C" w:rsidRDefault="0047690C" w:rsidP="0047690C">
      <w:pPr>
        <w:rPr>
          <w:color w:val="000000"/>
          <w:lang w:eastAsia="zh-CN"/>
        </w:rPr>
      </w:pPr>
    </w:p>
    <w:p w14:paraId="4CC0FDD0" w14:textId="78C97DA5" w:rsidR="0047690C" w:rsidRPr="0047690C" w:rsidRDefault="0047690C" w:rsidP="0047690C">
      <w:pPr>
        <w:rPr>
          <w:lang w:eastAsia="zh-CN"/>
        </w:rPr>
        <w:sectPr w:rsidR="0047690C" w:rsidRPr="0047690C" w:rsidSect="004130E7">
          <w:headerReference w:type="first" r:id="rId13"/>
          <w:footerReference w:type="first" r:id="rId14"/>
          <w:endnotePr>
            <w:numFmt w:val="decimal"/>
          </w:endnotePr>
          <w:pgSz w:w="11907" w:h="16840"/>
          <w:pgMar w:top="2835" w:right="1134" w:bottom="851" w:left="1134" w:header="709" w:footer="709" w:gutter="0"/>
          <w:cols w:space="720"/>
          <w:titlePg/>
          <w:docGrid w:linePitch="326"/>
        </w:sectPr>
      </w:pPr>
    </w:p>
    <w:p w14:paraId="22D60362" w14:textId="4D547B0A" w:rsidR="00046AD5" w:rsidRPr="000417FD" w:rsidRDefault="00C717DC" w:rsidP="00046AD5">
      <w:pPr>
        <w:pStyle w:val="zz"/>
        <w:rPr>
          <w:rFonts w:ascii="Calibri" w:eastAsia="SimSun" w:hAnsi="Calibri" w:cs="Calibri"/>
          <w:szCs w:val="36"/>
          <w:lang w:eastAsia="zh-CN"/>
        </w:rPr>
      </w:pPr>
      <w:r w:rsidRPr="000417FD">
        <w:rPr>
          <w:rFonts w:ascii="Calibri" w:eastAsia="SimSun" w:hAnsi="Calibri" w:cs="Calibri" w:hint="eastAsia"/>
          <w:lang w:eastAsia="zh-CN"/>
        </w:rPr>
        <w:lastRenderedPageBreak/>
        <w:t>审计的目的是为成员提供独立鉴证；为国际电联财务管理和治理增加价值；并通过外部审计程序支持实现既定目标。</w:t>
      </w:r>
      <w:r w:rsidR="00046AD5" w:rsidRPr="000417FD">
        <w:rPr>
          <w:rFonts w:ascii="Calibri" w:eastAsia="SimSun" w:hAnsi="Calibri" w:cs="Calibri"/>
          <w:lang w:eastAsia="zh-CN"/>
        </w:rPr>
        <w:br/>
      </w:r>
    </w:p>
    <w:p w14:paraId="074C92E2" w14:textId="77777777" w:rsidR="00046AD5" w:rsidRDefault="00046AD5" w:rsidP="00046AD5">
      <w:pPr>
        <w:pStyle w:val="zz"/>
        <w:rPr>
          <w:lang w:eastAsia="zh-CN"/>
        </w:rPr>
      </w:pPr>
    </w:p>
    <w:p w14:paraId="1FAB9822" w14:textId="77777777" w:rsidR="00046AD5" w:rsidRDefault="00046AD5" w:rsidP="00046AD5">
      <w:pPr>
        <w:pStyle w:val="zz"/>
        <w:rPr>
          <w:lang w:eastAsia="zh-CN"/>
        </w:rPr>
      </w:pPr>
    </w:p>
    <w:p w14:paraId="14F81464" w14:textId="77777777" w:rsidR="00046AD5" w:rsidRDefault="00046AD5" w:rsidP="00046AD5">
      <w:pPr>
        <w:pStyle w:val="zz"/>
        <w:rPr>
          <w:lang w:eastAsia="zh-CN"/>
        </w:rPr>
      </w:pPr>
    </w:p>
    <w:p w14:paraId="0C32F11C" w14:textId="77777777" w:rsidR="00046AD5" w:rsidRDefault="00046AD5" w:rsidP="00046AD5">
      <w:pPr>
        <w:pStyle w:val="zz"/>
        <w:rPr>
          <w:lang w:eastAsia="zh-CN"/>
        </w:rPr>
      </w:pPr>
    </w:p>
    <w:p w14:paraId="19587C2B" w14:textId="77777777" w:rsidR="00046AD5" w:rsidRDefault="00046AD5" w:rsidP="00046AD5">
      <w:pPr>
        <w:pStyle w:val="zz"/>
        <w:rPr>
          <w:lang w:eastAsia="zh-CN"/>
        </w:rPr>
      </w:pPr>
    </w:p>
    <w:p w14:paraId="72A02B8D" w14:textId="77777777" w:rsidR="00046AD5" w:rsidRDefault="00046AD5" w:rsidP="00046AD5">
      <w:pPr>
        <w:pStyle w:val="zz"/>
        <w:rPr>
          <w:lang w:eastAsia="zh-CN"/>
        </w:rPr>
      </w:pPr>
    </w:p>
    <w:p w14:paraId="05B3A754" w14:textId="77777777" w:rsidR="00046AD5" w:rsidRDefault="00046AD5" w:rsidP="00046AD5">
      <w:pPr>
        <w:pStyle w:val="zz"/>
        <w:rPr>
          <w:lang w:eastAsia="zh-CN"/>
        </w:rPr>
      </w:pPr>
    </w:p>
    <w:p w14:paraId="5826F298" w14:textId="77777777" w:rsidR="00046AD5" w:rsidRDefault="00046AD5" w:rsidP="00046AD5">
      <w:pPr>
        <w:pStyle w:val="zz"/>
        <w:rPr>
          <w:lang w:eastAsia="zh-CN"/>
        </w:rPr>
      </w:pPr>
    </w:p>
    <w:p w14:paraId="69358A15" w14:textId="77777777" w:rsidR="00046AD5" w:rsidRDefault="00046AD5" w:rsidP="00046AD5">
      <w:pPr>
        <w:pStyle w:val="zz"/>
        <w:rPr>
          <w:lang w:eastAsia="zh-CN"/>
        </w:rPr>
      </w:pPr>
    </w:p>
    <w:p w14:paraId="45FF31CD" w14:textId="77777777" w:rsidR="00046AD5" w:rsidRDefault="00046AD5" w:rsidP="00046AD5">
      <w:pPr>
        <w:pStyle w:val="zz"/>
        <w:rPr>
          <w:lang w:eastAsia="zh-CN"/>
        </w:rPr>
      </w:pPr>
    </w:p>
    <w:p w14:paraId="6A266E12" w14:textId="77777777" w:rsidR="00046AD5" w:rsidRDefault="00046AD5" w:rsidP="00046AD5">
      <w:pPr>
        <w:pStyle w:val="zz"/>
        <w:rPr>
          <w:lang w:eastAsia="zh-CN"/>
        </w:rPr>
      </w:pPr>
    </w:p>
    <w:p w14:paraId="5F599841" w14:textId="7DA1751A" w:rsidR="00046AD5" w:rsidRPr="009E5657" w:rsidRDefault="006D6839" w:rsidP="009E5657">
      <w:pPr>
        <w:pStyle w:val="zzDoNotRemove"/>
        <w:ind w:firstLineChars="200" w:firstLine="400"/>
        <w:jc w:val="both"/>
        <w:rPr>
          <w:rFonts w:ascii="Calibri" w:hAnsi="Calibri"/>
          <w:lang w:eastAsia="zh-CN"/>
        </w:rPr>
      </w:pPr>
      <w:r w:rsidRPr="009E5657">
        <w:rPr>
          <w:rFonts w:ascii="Calibri" w:eastAsia="SimSun" w:hAnsi="Calibri" w:cs="Calibri"/>
          <w:lang w:eastAsia="zh-CN"/>
        </w:rPr>
        <w:t>审计主任兼审计长是联合王国最高审计机构</w:t>
      </w:r>
      <w:r w:rsidR="000417FD" w:rsidRPr="009E5657">
        <w:rPr>
          <w:rFonts w:ascii="Calibri" w:eastAsia="SimSun" w:hAnsi="Calibri" w:cs="Calibri" w:hint="eastAsia"/>
          <w:lang w:eastAsia="zh-CN"/>
        </w:rPr>
        <w:t xml:space="preserve"> </w:t>
      </w:r>
      <w:r w:rsidRPr="009E5657">
        <w:rPr>
          <w:rFonts w:ascii="Calibri" w:eastAsia="SimSun" w:hAnsi="Calibri" w:cs="Calibri"/>
          <w:lang w:eastAsia="zh-CN"/>
        </w:rPr>
        <w:t>–</w:t>
      </w:r>
      <w:r w:rsidR="000417FD" w:rsidRPr="009E5657">
        <w:rPr>
          <w:rFonts w:ascii="Calibri" w:eastAsia="SimSun" w:hAnsi="Calibri" w:cs="Calibri"/>
          <w:lang w:eastAsia="zh-CN"/>
        </w:rPr>
        <w:t xml:space="preserve"> </w:t>
      </w:r>
      <w:r w:rsidRPr="009E5657">
        <w:rPr>
          <w:rFonts w:ascii="Calibri" w:eastAsia="SimSun" w:hAnsi="Calibri" w:cs="Calibri"/>
          <w:lang w:eastAsia="zh-CN"/>
        </w:rPr>
        <w:t>国家审计署（</w:t>
      </w:r>
      <w:r w:rsidRPr="009E5657">
        <w:rPr>
          <w:rFonts w:ascii="Calibri" w:eastAsia="SimSun" w:hAnsi="Calibri" w:cs="Calibri"/>
          <w:lang w:eastAsia="zh-CN"/>
        </w:rPr>
        <w:t>NAO</w:t>
      </w:r>
      <w:r w:rsidRPr="009E5657">
        <w:rPr>
          <w:rFonts w:ascii="Calibri" w:eastAsia="SimSun" w:hAnsi="Calibri" w:cs="Calibri"/>
          <w:lang w:eastAsia="zh-CN"/>
        </w:rPr>
        <w:t>）的负责人。审计主任兼审计长和</w:t>
      </w:r>
      <w:r w:rsidR="00DD56D7" w:rsidRPr="009E5657">
        <w:rPr>
          <w:rFonts w:ascii="Calibri" w:eastAsia="SimSun" w:hAnsi="Calibri" w:cs="Calibri"/>
          <w:lang w:eastAsia="zh-CN"/>
        </w:rPr>
        <w:t>国家审计署</w:t>
      </w:r>
      <w:r w:rsidRPr="009E5657">
        <w:rPr>
          <w:rFonts w:ascii="Calibri" w:eastAsia="SimSun" w:hAnsi="Calibri" w:cs="Calibri"/>
          <w:lang w:eastAsia="zh-CN"/>
        </w:rPr>
        <w:t>独立于联合王国政府，确保公共资金</w:t>
      </w:r>
      <w:r w:rsidRPr="009E5657">
        <w:rPr>
          <w:rFonts w:ascii="Calibri" w:eastAsia="SimSun" w:hAnsi="Calibri" w:cs="Calibri" w:hint="eastAsia"/>
          <w:lang w:eastAsia="zh-CN"/>
        </w:rPr>
        <w:t>的使用</w:t>
      </w:r>
      <w:r w:rsidRPr="009E5657">
        <w:rPr>
          <w:rFonts w:ascii="Calibri" w:eastAsia="SimSun" w:hAnsi="Calibri" w:cs="Calibri"/>
          <w:lang w:eastAsia="zh-CN"/>
        </w:rPr>
        <w:t>适当</w:t>
      </w:r>
      <w:r w:rsidRPr="009E5657">
        <w:rPr>
          <w:rFonts w:ascii="Calibri" w:eastAsia="SimSun" w:hAnsi="Calibri" w:cs="Calibri" w:hint="eastAsia"/>
          <w:lang w:eastAsia="zh-CN"/>
        </w:rPr>
        <w:t>且</w:t>
      </w:r>
      <w:r w:rsidRPr="009E5657">
        <w:rPr>
          <w:rFonts w:ascii="Calibri" w:eastAsia="SimSun" w:hAnsi="Calibri" w:cs="Calibri"/>
          <w:lang w:eastAsia="zh-CN"/>
        </w:rPr>
        <w:t>有效，并对联合王国议会负责。</w:t>
      </w:r>
      <w:r w:rsidR="00DD56D7" w:rsidRPr="009E5657">
        <w:rPr>
          <w:rFonts w:ascii="Calibri" w:eastAsia="SimSun" w:hAnsi="Calibri" w:cs="Calibri"/>
          <w:lang w:eastAsia="zh-CN"/>
        </w:rPr>
        <w:t>国家审计署</w:t>
      </w:r>
      <w:r w:rsidRPr="009E5657">
        <w:rPr>
          <w:rFonts w:ascii="Calibri" w:eastAsia="SimSun" w:hAnsi="Calibri" w:cs="Calibri"/>
          <w:lang w:eastAsia="zh-CN"/>
        </w:rPr>
        <w:t>为一些国际组织提供外部审计服务，独立于其作为联合王国最高审计机构的作用</w:t>
      </w:r>
      <w:r w:rsidRPr="009E5657">
        <w:rPr>
          <w:rFonts w:ascii="Calibri" w:eastAsiaTheme="minorEastAsia" w:hAnsi="Calibri" w:cs="Times New Roman"/>
          <w:lang w:eastAsia="zh-CN"/>
        </w:rPr>
        <w:t>。</w:t>
      </w:r>
    </w:p>
    <w:p w14:paraId="0B32EF27" w14:textId="77777777" w:rsidR="00046AD5" w:rsidRDefault="00046AD5" w:rsidP="00046AD5">
      <w:pPr>
        <w:adjustRightInd/>
        <w:rPr>
          <w:lang w:eastAsia="zh-CN"/>
        </w:rPr>
        <w:sectPr w:rsidR="00046AD5" w:rsidSect="00B367B5">
          <w:headerReference w:type="even" r:id="rId15"/>
          <w:footerReference w:type="default" r:id="rId16"/>
          <w:pgSz w:w="11906" w:h="16838"/>
          <w:pgMar w:top="2835" w:right="2552" w:bottom="1134" w:left="1134" w:header="709" w:footer="709" w:gutter="0"/>
          <w:cols w:space="720"/>
          <w:docGrid w:linePitch="326"/>
        </w:sectPr>
      </w:pPr>
    </w:p>
    <w:p w14:paraId="3C0D501C" w14:textId="0F76DAAC" w:rsidR="00046AD5" w:rsidRDefault="00055B3C" w:rsidP="00046AD5">
      <w:pPr>
        <w:pStyle w:val="HeaderzzContents"/>
        <w:rPr>
          <w:lang w:eastAsia="zh-CN"/>
        </w:rPr>
      </w:pPr>
      <w:r>
        <w:rPr>
          <w:rFonts w:ascii="SimSun" w:eastAsia="SimSun" w:hAnsi="SimSun" w:cs="SimSun" w:hint="eastAsia"/>
          <w:lang w:eastAsia="zh-CN"/>
        </w:rPr>
        <w:lastRenderedPageBreak/>
        <w:t>目录</w:t>
      </w:r>
    </w:p>
    <w:p w14:paraId="513E8877" w14:textId="0A4C0D21" w:rsidR="000417FD" w:rsidRDefault="00046AD5" w:rsidP="005707D9">
      <w:pPr>
        <w:pStyle w:val="TOC1"/>
        <w:tabs>
          <w:tab w:val="clear" w:pos="7938"/>
          <w:tab w:val="left" w:pos="6804"/>
          <w:tab w:val="left" w:leader="dot" w:pos="7654"/>
        </w:tabs>
        <w:spacing w:before="600"/>
        <w:rPr>
          <w:rFonts w:asciiTheme="minorHAnsi" w:eastAsiaTheme="minorEastAsia" w:hAnsiTheme="minorHAnsi" w:cstheme="minorBidi"/>
          <w:noProof/>
          <w:sz w:val="22"/>
          <w:szCs w:val="22"/>
          <w:lang w:eastAsia="zh-CN"/>
        </w:rPr>
      </w:pPr>
      <w:r>
        <w:rPr>
          <w:bCs/>
        </w:rPr>
        <w:fldChar w:fldCharType="begin"/>
      </w:r>
      <w:r>
        <w:rPr>
          <w:bCs/>
          <w:lang w:eastAsia="zh-CN"/>
        </w:rPr>
        <w:instrText xml:space="preserve"> TOC \o "1-2" \u </w:instrText>
      </w:r>
      <w:r>
        <w:rPr>
          <w:bCs/>
        </w:rPr>
        <w:fldChar w:fldCharType="separate"/>
      </w:r>
      <w:r w:rsidR="000417FD" w:rsidRPr="001A2787">
        <w:rPr>
          <w:rFonts w:hint="eastAsia"/>
          <w:b/>
          <w:bCs/>
          <w:noProof/>
          <w:lang w:eastAsia="zh-CN"/>
        </w:rPr>
        <w:t>最后审计报告</w:t>
      </w:r>
      <w:r w:rsidR="000417FD">
        <w:rPr>
          <w:noProof/>
          <w:lang w:eastAsia="zh-CN"/>
        </w:rPr>
        <w:tab/>
      </w:r>
      <w:r w:rsidR="000417FD">
        <w:rPr>
          <w:noProof/>
        </w:rPr>
        <w:fldChar w:fldCharType="begin"/>
      </w:r>
      <w:r w:rsidR="000417FD">
        <w:rPr>
          <w:noProof/>
          <w:lang w:eastAsia="zh-CN"/>
        </w:rPr>
        <w:instrText xml:space="preserve"> PAGEREF _Toc161066412 \h </w:instrText>
      </w:r>
      <w:r w:rsidR="000417FD">
        <w:rPr>
          <w:noProof/>
        </w:rPr>
      </w:r>
      <w:r w:rsidR="000417FD">
        <w:rPr>
          <w:noProof/>
        </w:rPr>
        <w:fldChar w:fldCharType="separate"/>
      </w:r>
      <w:r w:rsidR="00F75C6C">
        <w:rPr>
          <w:noProof/>
          <w:lang w:eastAsia="zh-CN"/>
        </w:rPr>
        <w:t>5</w:t>
      </w:r>
      <w:r w:rsidR="000417FD">
        <w:rPr>
          <w:noProof/>
        </w:rPr>
        <w:fldChar w:fldCharType="end"/>
      </w:r>
    </w:p>
    <w:p w14:paraId="670612B9" w14:textId="7FD8C6EC" w:rsidR="000417FD" w:rsidRDefault="000417FD" w:rsidP="000417FD">
      <w:pPr>
        <w:pStyle w:val="TOC2"/>
        <w:tabs>
          <w:tab w:val="clear" w:pos="7938"/>
          <w:tab w:val="right" w:pos="7088"/>
          <w:tab w:val="left" w:pos="8789"/>
        </w:tabs>
        <w:ind w:left="6804" w:hanging="6804"/>
        <w:rPr>
          <w:rFonts w:asciiTheme="minorHAnsi" w:eastAsiaTheme="minorEastAsia" w:hAnsiTheme="minorHAnsi" w:cstheme="minorBidi"/>
          <w:noProof/>
          <w:sz w:val="22"/>
          <w:szCs w:val="22"/>
          <w:lang w:eastAsia="zh-CN"/>
        </w:rPr>
      </w:pPr>
      <w:r>
        <w:rPr>
          <w:rFonts w:hint="eastAsia"/>
          <w:noProof/>
          <w:lang w:eastAsia="zh-CN"/>
        </w:rPr>
        <w:t>背景</w:t>
      </w:r>
      <w:r>
        <w:rPr>
          <w:noProof/>
          <w:lang w:eastAsia="zh-CN"/>
        </w:rPr>
        <w:tab/>
      </w:r>
      <w:r>
        <w:rPr>
          <w:noProof/>
        </w:rPr>
        <w:fldChar w:fldCharType="begin"/>
      </w:r>
      <w:r>
        <w:rPr>
          <w:noProof/>
          <w:lang w:eastAsia="zh-CN"/>
        </w:rPr>
        <w:instrText xml:space="preserve"> PAGEREF _Toc161066413 \h </w:instrText>
      </w:r>
      <w:r>
        <w:rPr>
          <w:noProof/>
        </w:rPr>
      </w:r>
      <w:r>
        <w:rPr>
          <w:noProof/>
        </w:rPr>
        <w:fldChar w:fldCharType="separate"/>
      </w:r>
      <w:r w:rsidR="00F75C6C">
        <w:rPr>
          <w:noProof/>
          <w:lang w:eastAsia="zh-CN"/>
        </w:rPr>
        <w:t>5</w:t>
      </w:r>
      <w:r>
        <w:rPr>
          <w:noProof/>
        </w:rPr>
        <w:fldChar w:fldCharType="end"/>
      </w:r>
    </w:p>
    <w:p w14:paraId="6F0926B6" w14:textId="509FC4A3" w:rsidR="000417FD" w:rsidRDefault="000417FD" w:rsidP="001A2787">
      <w:pPr>
        <w:pStyle w:val="TOC2"/>
        <w:tabs>
          <w:tab w:val="left" w:pos="6804"/>
        </w:tabs>
        <w:rPr>
          <w:rFonts w:asciiTheme="minorHAnsi" w:eastAsiaTheme="minorEastAsia" w:hAnsiTheme="minorHAnsi" w:cstheme="minorBidi"/>
          <w:noProof/>
          <w:sz w:val="22"/>
          <w:szCs w:val="22"/>
          <w:lang w:eastAsia="zh-CN"/>
        </w:rPr>
      </w:pPr>
      <w:r>
        <w:rPr>
          <w:rFonts w:hint="eastAsia"/>
          <w:noProof/>
          <w:lang w:eastAsia="zh-CN"/>
        </w:rPr>
        <w:t>审计意见</w:t>
      </w:r>
      <w:r>
        <w:rPr>
          <w:noProof/>
          <w:lang w:eastAsia="zh-CN"/>
        </w:rPr>
        <w:tab/>
      </w:r>
      <w:r>
        <w:rPr>
          <w:noProof/>
        </w:rPr>
        <w:fldChar w:fldCharType="begin"/>
      </w:r>
      <w:r>
        <w:rPr>
          <w:noProof/>
          <w:lang w:eastAsia="zh-CN"/>
        </w:rPr>
        <w:instrText xml:space="preserve"> PAGEREF _Toc161066414 \h </w:instrText>
      </w:r>
      <w:r>
        <w:rPr>
          <w:noProof/>
        </w:rPr>
      </w:r>
      <w:r>
        <w:rPr>
          <w:noProof/>
        </w:rPr>
        <w:fldChar w:fldCharType="separate"/>
      </w:r>
      <w:r w:rsidR="00F75C6C">
        <w:rPr>
          <w:noProof/>
          <w:lang w:eastAsia="zh-CN"/>
        </w:rPr>
        <w:t>5</w:t>
      </w:r>
      <w:r>
        <w:rPr>
          <w:noProof/>
        </w:rPr>
        <w:fldChar w:fldCharType="end"/>
      </w:r>
    </w:p>
    <w:p w14:paraId="4D1EF659" w14:textId="7E70AC6F" w:rsidR="000417FD" w:rsidRDefault="000417FD" w:rsidP="001A2787">
      <w:pPr>
        <w:pStyle w:val="TOC2"/>
        <w:tabs>
          <w:tab w:val="left" w:pos="6804"/>
        </w:tabs>
        <w:rPr>
          <w:rFonts w:asciiTheme="minorHAnsi" w:eastAsiaTheme="minorEastAsia" w:hAnsiTheme="minorHAnsi" w:cstheme="minorBidi"/>
          <w:noProof/>
          <w:sz w:val="22"/>
          <w:szCs w:val="22"/>
          <w:lang w:eastAsia="zh-CN"/>
        </w:rPr>
      </w:pPr>
      <w:r>
        <w:rPr>
          <w:rFonts w:hint="eastAsia"/>
          <w:noProof/>
          <w:lang w:eastAsia="zh-CN"/>
        </w:rPr>
        <w:t>财务报表的列报</w:t>
      </w:r>
      <w:r>
        <w:rPr>
          <w:noProof/>
          <w:lang w:eastAsia="zh-CN"/>
        </w:rPr>
        <w:tab/>
      </w:r>
      <w:r>
        <w:rPr>
          <w:noProof/>
        </w:rPr>
        <w:fldChar w:fldCharType="begin"/>
      </w:r>
      <w:r>
        <w:rPr>
          <w:noProof/>
          <w:lang w:eastAsia="zh-CN"/>
        </w:rPr>
        <w:instrText xml:space="preserve"> PAGEREF _Toc161066415 \h </w:instrText>
      </w:r>
      <w:r>
        <w:rPr>
          <w:noProof/>
        </w:rPr>
      </w:r>
      <w:r>
        <w:rPr>
          <w:noProof/>
        </w:rPr>
        <w:fldChar w:fldCharType="separate"/>
      </w:r>
      <w:r w:rsidR="00F75C6C">
        <w:rPr>
          <w:noProof/>
          <w:lang w:eastAsia="zh-CN"/>
        </w:rPr>
        <w:t>6</w:t>
      </w:r>
      <w:r>
        <w:rPr>
          <w:noProof/>
        </w:rPr>
        <w:fldChar w:fldCharType="end"/>
      </w:r>
    </w:p>
    <w:p w14:paraId="37DD9344" w14:textId="23F3D7C3" w:rsidR="000417FD" w:rsidRDefault="000417FD" w:rsidP="001A2787">
      <w:pPr>
        <w:pStyle w:val="TOC2"/>
        <w:tabs>
          <w:tab w:val="left" w:pos="6804"/>
        </w:tabs>
        <w:rPr>
          <w:rFonts w:asciiTheme="minorHAnsi" w:eastAsiaTheme="minorEastAsia" w:hAnsiTheme="minorHAnsi" w:cstheme="minorBidi"/>
          <w:noProof/>
          <w:sz w:val="22"/>
          <w:szCs w:val="22"/>
          <w:lang w:eastAsia="zh-CN"/>
        </w:rPr>
      </w:pPr>
      <w:r w:rsidRPr="00F34384">
        <w:rPr>
          <w:rFonts w:hint="eastAsia"/>
          <w:noProof/>
          <w:lang w:val="fr-FR" w:eastAsia="zh-CN"/>
        </w:rPr>
        <w:t>财务评注</w:t>
      </w:r>
      <w:r>
        <w:rPr>
          <w:noProof/>
          <w:lang w:eastAsia="zh-CN"/>
        </w:rPr>
        <w:tab/>
      </w:r>
      <w:r>
        <w:rPr>
          <w:noProof/>
        </w:rPr>
        <w:fldChar w:fldCharType="begin"/>
      </w:r>
      <w:r>
        <w:rPr>
          <w:noProof/>
          <w:lang w:eastAsia="zh-CN"/>
        </w:rPr>
        <w:instrText xml:space="preserve"> PAGEREF _Toc161066416 \h </w:instrText>
      </w:r>
      <w:r>
        <w:rPr>
          <w:noProof/>
        </w:rPr>
      </w:r>
      <w:r>
        <w:rPr>
          <w:noProof/>
        </w:rPr>
        <w:fldChar w:fldCharType="separate"/>
      </w:r>
      <w:r w:rsidR="00F75C6C">
        <w:rPr>
          <w:noProof/>
          <w:lang w:eastAsia="zh-CN"/>
        </w:rPr>
        <w:t>8</w:t>
      </w:r>
      <w:r>
        <w:rPr>
          <w:noProof/>
        </w:rPr>
        <w:fldChar w:fldCharType="end"/>
      </w:r>
    </w:p>
    <w:p w14:paraId="4A6776DD" w14:textId="5C901454" w:rsidR="000417FD" w:rsidRDefault="000417FD" w:rsidP="001A2787">
      <w:pPr>
        <w:pStyle w:val="TOC2"/>
        <w:tabs>
          <w:tab w:val="left" w:pos="6804"/>
        </w:tabs>
        <w:rPr>
          <w:rFonts w:asciiTheme="minorHAnsi" w:eastAsiaTheme="minorEastAsia" w:hAnsiTheme="minorHAnsi" w:cstheme="minorBidi"/>
          <w:noProof/>
          <w:sz w:val="22"/>
          <w:szCs w:val="22"/>
          <w:lang w:eastAsia="zh-CN"/>
        </w:rPr>
      </w:pPr>
      <w:r>
        <w:rPr>
          <w:rFonts w:hint="eastAsia"/>
          <w:noProof/>
          <w:lang w:eastAsia="zh-CN"/>
        </w:rPr>
        <w:t>财务管理</w:t>
      </w:r>
      <w:r>
        <w:rPr>
          <w:noProof/>
          <w:lang w:eastAsia="zh-CN"/>
        </w:rPr>
        <w:tab/>
      </w:r>
      <w:r>
        <w:rPr>
          <w:noProof/>
        </w:rPr>
        <w:fldChar w:fldCharType="begin"/>
      </w:r>
      <w:r>
        <w:rPr>
          <w:noProof/>
          <w:lang w:eastAsia="zh-CN"/>
        </w:rPr>
        <w:instrText xml:space="preserve"> PAGEREF _Toc161066417 \h </w:instrText>
      </w:r>
      <w:r>
        <w:rPr>
          <w:noProof/>
        </w:rPr>
      </w:r>
      <w:r>
        <w:rPr>
          <w:noProof/>
        </w:rPr>
        <w:fldChar w:fldCharType="separate"/>
      </w:r>
      <w:r w:rsidR="00F75C6C">
        <w:rPr>
          <w:noProof/>
          <w:lang w:eastAsia="zh-CN"/>
        </w:rPr>
        <w:t>9</w:t>
      </w:r>
      <w:r>
        <w:rPr>
          <w:noProof/>
        </w:rPr>
        <w:fldChar w:fldCharType="end"/>
      </w:r>
    </w:p>
    <w:p w14:paraId="7E47C9FB" w14:textId="33152AA3" w:rsidR="000417FD" w:rsidRDefault="000417FD" w:rsidP="001A2787">
      <w:pPr>
        <w:pStyle w:val="TOC2"/>
        <w:tabs>
          <w:tab w:val="left" w:pos="6804"/>
        </w:tabs>
        <w:rPr>
          <w:rFonts w:asciiTheme="minorHAnsi" w:eastAsiaTheme="minorEastAsia" w:hAnsiTheme="minorHAnsi" w:cstheme="minorBidi"/>
          <w:noProof/>
          <w:sz w:val="22"/>
          <w:szCs w:val="22"/>
          <w:lang w:eastAsia="zh-CN"/>
        </w:rPr>
      </w:pPr>
      <w:r>
        <w:rPr>
          <w:rFonts w:hint="eastAsia"/>
          <w:noProof/>
          <w:lang w:eastAsia="zh-CN"/>
        </w:rPr>
        <w:t>成员的其他事宜</w:t>
      </w:r>
      <w:r>
        <w:rPr>
          <w:noProof/>
          <w:lang w:eastAsia="zh-CN"/>
        </w:rPr>
        <w:tab/>
      </w:r>
      <w:r>
        <w:rPr>
          <w:noProof/>
        </w:rPr>
        <w:fldChar w:fldCharType="begin"/>
      </w:r>
      <w:r>
        <w:rPr>
          <w:noProof/>
          <w:lang w:eastAsia="zh-CN"/>
        </w:rPr>
        <w:instrText xml:space="preserve"> PAGEREF _Toc161066418 \h </w:instrText>
      </w:r>
      <w:r>
        <w:rPr>
          <w:noProof/>
        </w:rPr>
      </w:r>
      <w:r>
        <w:rPr>
          <w:noProof/>
        </w:rPr>
        <w:fldChar w:fldCharType="separate"/>
      </w:r>
      <w:r w:rsidR="00F75C6C">
        <w:rPr>
          <w:noProof/>
          <w:lang w:eastAsia="zh-CN"/>
        </w:rPr>
        <w:t>14</w:t>
      </w:r>
      <w:r>
        <w:rPr>
          <w:noProof/>
        </w:rPr>
        <w:fldChar w:fldCharType="end"/>
      </w:r>
    </w:p>
    <w:p w14:paraId="231CB040" w14:textId="0D9EFF7C" w:rsidR="000417FD" w:rsidRDefault="000417FD" w:rsidP="001A2787">
      <w:pPr>
        <w:pStyle w:val="TOC2"/>
        <w:tabs>
          <w:tab w:val="left" w:pos="7513"/>
          <w:tab w:val="left" w:pos="7938"/>
        </w:tabs>
        <w:ind w:left="6804" w:hanging="6804"/>
        <w:rPr>
          <w:rFonts w:asciiTheme="minorHAnsi" w:eastAsiaTheme="minorEastAsia" w:hAnsiTheme="minorHAnsi" w:cstheme="minorBidi"/>
          <w:noProof/>
          <w:sz w:val="22"/>
          <w:szCs w:val="22"/>
          <w:lang w:eastAsia="zh-CN"/>
        </w:rPr>
      </w:pPr>
      <w:r>
        <w:rPr>
          <w:rFonts w:hint="eastAsia"/>
          <w:noProof/>
          <w:lang w:eastAsia="zh-CN"/>
        </w:rPr>
        <w:t>致谢</w:t>
      </w:r>
      <w:r>
        <w:rPr>
          <w:noProof/>
          <w:lang w:eastAsia="zh-CN"/>
        </w:rPr>
        <w:tab/>
      </w:r>
      <w:r>
        <w:rPr>
          <w:noProof/>
        </w:rPr>
        <w:fldChar w:fldCharType="begin"/>
      </w:r>
      <w:r>
        <w:rPr>
          <w:noProof/>
          <w:lang w:eastAsia="zh-CN"/>
        </w:rPr>
        <w:instrText xml:space="preserve"> PAGEREF _Toc161066419 \h </w:instrText>
      </w:r>
      <w:r>
        <w:rPr>
          <w:noProof/>
        </w:rPr>
      </w:r>
      <w:r>
        <w:rPr>
          <w:noProof/>
        </w:rPr>
        <w:fldChar w:fldCharType="separate"/>
      </w:r>
      <w:r w:rsidR="00F75C6C">
        <w:rPr>
          <w:noProof/>
          <w:lang w:eastAsia="zh-CN"/>
        </w:rPr>
        <w:t>14</w:t>
      </w:r>
      <w:r>
        <w:rPr>
          <w:noProof/>
        </w:rPr>
        <w:fldChar w:fldCharType="end"/>
      </w:r>
    </w:p>
    <w:p w14:paraId="1F044853" w14:textId="1EA249B7" w:rsidR="00046AD5" w:rsidRDefault="00046AD5" w:rsidP="00A47573">
      <w:pPr>
        <w:pStyle w:val="BodyText0"/>
        <w:rPr>
          <w:rFonts w:eastAsia="Times New Roman"/>
          <w:lang w:eastAsia="zh-CN"/>
        </w:rPr>
      </w:pPr>
      <w:r>
        <w:fldChar w:fldCharType="end"/>
      </w:r>
    </w:p>
    <w:p w14:paraId="025750A7" w14:textId="77777777" w:rsidR="00046AD5" w:rsidRDefault="00046AD5" w:rsidP="00046AD5">
      <w:pPr>
        <w:adjustRightInd/>
        <w:rPr>
          <w:color w:val="000000"/>
          <w:lang w:eastAsia="zh-CN"/>
        </w:rPr>
        <w:sectPr w:rsidR="00046AD5">
          <w:endnotePr>
            <w:numFmt w:val="decimal"/>
          </w:endnotePr>
          <w:pgSz w:w="11906" w:h="16838"/>
          <w:pgMar w:top="2835" w:right="1134" w:bottom="1134" w:left="3118" w:header="709" w:footer="709" w:gutter="0"/>
          <w:cols w:space="720"/>
        </w:sectPr>
      </w:pPr>
    </w:p>
    <w:p w14:paraId="6ABDC87E" w14:textId="12F84DBC" w:rsidR="00046AD5" w:rsidRDefault="00055B3C" w:rsidP="00BE6200">
      <w:pPr>
        <w:pStyle w:val="Heading1"/>
        <w:spacing w:before="120" w:after="840"/>
        <w:rPr>
          <w:lang w:eastAsia="zh-CN"/>
        </w:rPr>
      </w:pPr>
      <w:bookmarkStart w:id="8" w:name="_Toc161066412"/>
      <w:r w:rsidRPr="00BE6200">
        <w:rPr>
          <w:rFonts w:hint="eastAsia"/>
          <w:sz w:val="32"/>
          <w:szCs w:val="22"/>
          <w:lang w:eastAsia="zh-CN"/>
        </w:rPr>
        <w:lastRenderedPageBreak/>
        <w:t>最后审计报告</w:t>
      </w:r>
      <w:bookmarkEnd w:id="8"/>
    </w:p>
    <w:p w14:paraId="0DC181F7" w14:textId="0F7CCC4E" w:rsidR="00046AD5" w:rsidRDefault="00046AD5" w:rsidP="00046AD5">
      <w:pPr>
        <w:pStyle w:val="Heading2"/>
        <w:rPr>
          <w:lang w:eastAsia="zh-CN"/>
        </w:rPr>
      </w:pPr>
      <w:bookmarkStart w:id="9" w:name="_Toc161066413"/>
      <w:r w:rsidRPr="00BE6200">
        <w:rPr>
          <w:rFonts w:hint="eastAsia"/>
          <w:sz w:val="28"/>
          <w:szCs w:val="22"/>
          <w:lang w:eastAsia="zh-CN"/>
        </w:rPr>
        <w:t>背景</w:t>
      </w:r>
      <w:bookmarkEnd w:id="9"/>
    </w:p>
    <w:p w14:paraId="53A39255" w14:textId="24CBC60F" w:rsidR="00046AD5" w:rsidRPr="00AA2081" w:rsidRDefault="00A47573" w:rsidP="00A47573">
      <w:pPr>
        <w:pStyle w:val="MainTextNumbered"/>
        <w:numPr>
          <w:ilvl w:val="0"/>
          <w:numId w:val="0"/>
        </w:numPr>
        <w:tabs>
          <w:tab w:val="clear" w:pos="1080"/>
        </w:tabs>
        <w:rPr>
          <w:rFonts w:ascii="Calibri" w:hAnsi="Calibri" w:cs="Calibri"/>
          <w:lang w:eastAsia="zh-CN"/>
        </w:rPr>
      </w:pPr>
      <w:bookmarkStart w:id="10" w:name="_Toc243706531"/>
      <w:r w:rsidRPr="00530F60">
        <w:rPr>
          <w:rFonts w:ascii="Calibri" w:hAnsi="Calibri" w:cs="Calibri"/>
          <w:b/>
          <w:bCs/>
          <w:lang w:eastAsia="zh-CN"/>
        </w:rPr>
        <w:t>1</w:t>
      </w:r>
      <w:r w:rsidRPr="00AA2081">
        <w:rPr>
          <w:rFonts w:ascii="Calibri" w:hAnsi="Calibri" w:cs="Calibri"/>
          <w:lang w:eastAsia="zh-CN"/>
        </w:rPr>
        <w:tab/>
      </w:r>
      <w:r w:rsidR="00046AD5" w:rsidRPr="00AA2081">
        <w:rPr>
          <w:rFonts w:ascii="Calibri" w:hAnsi="Calibri" w:cs="Calibri" w:hint="eastAsia"/>
          <w:lang w:eastAsia="zh-CN"/>
        </w:rPr>
        <w:t>国际电信联盟（</w:t>
      </w:r>
      <w:r w:rsidR="004373B4" w:rsidRPr="00AA2081">
        <w:rPr>
          <w:rFonts w:ascii="Calibri" w:hAnsi="Calibri" w:cs="Calibri" w:hint="eastAsia"/>
          <w:lang w:eastAsia="zh-CN"/>
        </w:rPr>
        <w:t>国际电联</w:t>
      </w:r>
      <w:r w:rsidR="00046AD5" w:rsidRPr="00AA2081">
        <w:rPr>
          <w:rFonts w:ascii="Calibri" w:hAnsi="Calibri" w:cs="Calibri" w:hint="eastAsia"/>
          <w:lang w:eastAsia="zh-CN"/>
        </w:rPr>
        <w:t>）是联合国负责信息通信技术（</w:t>
      </w:r>
      <w:r w:rsidR="00046AD5" w:rsidRPr="00AA2081">
        <w:rPr>
          <w:rFonts w:ascii="Calibri" w:hAnsi="Calibri" w:cs="Calibri" w:hint="eastAsia"/>
          <w:lang w:eastAsia="zh-CN"/>
        </w:rPr>
        <w:t>ICT</w:t>
      </w:r>
      <w:r w:rsidR="00046AD5" w:rsidRPr="00AA2081">
        <w:rPr>
          <w:rFonts w:ascii="Calibri" w:hAnsi="Calibri" w:cs="Calibri" w:hint="eastAsia"/>
          <w:lang w:eastAsia="zh-CN"/>
        </w:rPr>
        <w:t>）事务的专门机构。</w:t>
      </w:r>
      <w:r w:rsidR="004373B4" w:rsidRPr="00AA2081">
        <w:rPr>
          <w:rFonts w:ascii="Calibri" w:hAnsi="Calibri" w:cs="Calibri" w:hint="eastAsia"/>
          <w:lang w:eastAsia="zh-CN"/>
        </w:rPr>
        <w:t>国际电联成立于</w:t>
      </w:r>
      <w:r w:rsidR="004373B4" w:rsidRPr="00AA2081">
        <w:rPr>
          <w:rFonts w:ascii="Calibri" w:hAnsi="Calibri" w:cs="Calibri" w:hint="eastAsia"/>
          <w:lang w:eastAsia="zh-CN"/>
        </w:rPr>
        <w:t>1865</w:t>
      </w:r>
      <w:r w:rsidR="004373B4" w:rsidRPr="00AA2081">
        <w:rPr>
          <w:rFonts w:ascii="Calibri" w:hAnsi="Calibri" w:cs="Calibri" w:hint="eastAsia"/>
          <w:lang w:eastAsia="zh-CN"/>
        </w:rPr>
        <w:t>年，旨在促进通信网络的国际连接。</w:t>
      </w:r>
      <w:r w:rsidR="00046AD5" w:rsidRPr="00AA2081">
        <w:rPr>
          <w:rFonts w:ascii="Calibri" w:hAnsi="Calibri" w:cs="Calibri" w:hint="eastAsia"/>
          <w:lang w:eastAsia="zh-CN"/>
        </w:rPr>
        <w:t>国际电联划分全球无线电频谱和卫星轨道，制定可确保网络和技术无缝互连互通的技术标准，努力增强世界各地服务不足社区对</w:t>
      </w:r>
      <w:r w:rsidR="00046AD5" w:rsidRPr="00AA2081">
        <w:rPr>
          <w:rFonts w:ascii="Calibri" w:hAnsi="Calibri" w:cs="Calibri" w:hint="eastAsia"/>
          <w:lang w:eastAsia="zh-CN"/>
        </w:rPr>
        <w:t>ICT</w:t>
      </w:r>
      <w:r w:rsidR="00046AD5" w:rsidRPr="00AA2081">
        <w:rPr>
          <w:rFonts w:ascii="Calibri" w:hAnsi="Calibri" w:cs="Calibri" w:hint="eastAsia"/>
          <w:lang w:eastAsia="zh-CN"/>
        </w:rPr>
        <w:t>的获取。</w:t>
      </w:r>
    </w:p>
    <w:p w14:paraId="4531AA29" w14:textId="43460EA3" w:rsidR="00046AD5" w:rsidRPr="00AA2081" w:rsidRDefault="00A47573" w:rsidP="00A47573">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w:t>
      </w:r>
      <w:r w:rsidRPr="00AA2081">
        <w:rPr>
          <w:rFonts w:ascii="Calibri" w:hAnsi="Calibri" w:cs="Calibri"/>
          <w:lang w:eastAsia="zh-CN"/>
        </w:rPr>
        <w:tab/>
      </w:r>
      <w:r w:rsidR="00CE4ACD" w:rsidRPr="00AA2081">
        <w:rPr>
          <w:rFonts w:ascii="Calibri" w:hAnsi="Calibri" w:cs="Calibri" w:hint="eastAsia"/>
          <w:lang w:eastAsia="zh-CN"/>
        </w:rPr>
        <w:t>英国国家审计署被任命为国际电联的外部审计员，自</w:t>
      </w:r>
      <w:r w:rsidR="00CE4ACD" w:rsidRPr="00AA2081">
        <w:rPr>
          <w:rFonts w:ascii="Calibri" w:hAnsi="Calibri" w:cs="Calibri" w:hint="eastAsia"/>
          <w:lang w:eastAsia="zh-CN"/>
        </w:rPr>
        <w:t>2022</w:t>
      </w:r>
      <w:r w:rsidR="00CE4ACD" w:rsidRPr="00AA2081">
        <w:rPr>
          <w:rFonts w:ascii="Calibri" w:hAnsi="Calibri" w:cs="Calibri" w:hint="eastAsia"/>
          <w:lang w:eastAsia="zh-CN"/>
        </w:rPr>
        <w:t>年</w:t>
      </w:r>
      <w:r w:rsidR="00CE4ACD" w:rsidRPr="00AA2081">
        <w:rPr>
          <w:rFonts w:ascii="Calibri" w:hAnsi="Calibri" w:cs="Calibri" w:hint="eastAsia"/>
          <w:lang w:eastAsia="zh-CN"/>
        </w:rPr>
        <w:t>1</w:t>
      </w:r>
      <w:r w:rsidR="00CE4ACD" w:rsidRPr="00AA2081">
        <w:rPr>
          <w:rFonts w:ascii="Calibri" w:hAnsi="Calibri" w:cs="Calibri" w:hint="eastAsia"/>
          <w:lang w:eastAsia="zh-CN"/>
        </w:rPr>
        <w:t>月</w:t>
      </w:r>
      <w:r w:rsidR="00CE4ACD" w:rsidRPr="00AA2081">
        <w:rPr>
          <w:rFonts w:ascii="Calibri" w:hAnsi="Calibri" w:cs="Calibri" w:hint="eastAsia"/>
          <w:lang w:eastAsia="zh-CN"/>
        </w:rPr>
        <w:t>1</w:t>
      </w:r>
      <w:r w:rsidR="00CE4ACD" w:rsidRPr="00AA2081">
        <w:rPr>
          <w:rFonts w:ascii="Calibri" w:hAnsi="Calibri" w:cs="Calibri" w:hint="eastAsia"/>
          <w:lang w:eastAsia="zh-CN"/>
        </w:rPr>
        <w:t>日起任期四年。在我们对</w:t>
      </w:r>
      <w:r w:rsidR="00CE4ACD" w:rsidRPr="00AA2081">
        <w:rPr>
          <w:rFonts w:ascii="Calibri" w:hAnsi="Calibri" w:cs="Calibri" w:hint="eastAsia"/>
          <w:lang w:eastAsia="zh-CN"/>
        </w:rPr>
        <w:t>2022</w:t>
      </w:r>
      <w:r w:rsidR="00CE4ACD" w:rsidRPr="00AA2081">
        <w:rPr>
          <w:rFonts w:ascii="Calibri" w:hAnsi="Calibri" w:cs="Calibri" w:hint="eastAsia"/>
          <w:lang w:eastAsia="zh-CN"/>
        </w:rPr>
        <w:t>年财务报表进行审计得出初步结论后，秘书长要求给予秘书处更多时间来反思所发现的问题，并对</w:t>
      </w:r>
      <w:r w:rsidR="00CE4ACD" w:rsidRPr="00AA2081">
        <w:rPr>
          <w:rFonts w:ascii="Calibri" w:hAnsi="Calibri" w:cs="Calibri" w:hint="eastAsia"/>
          <w:lang w:eastAsia="zh-CN"/>
        </w:rPr>
        <w:t>2022</w:t>
      </w:r>
      <w:r w:rsidR="00CE4ACD" w:rsidRPr="00AA2081">
        <w:rPr>
          <w:rFonts w:ascii="Calibri" w:hAnsi="Calibri" w:cs="Calibri" w:hint="eastAsia"/>
          <w:lang w:eastAsia="zh-CN"/>
        </w:rPr>
        <w:t>年财务报表进行修订然后再重新提交以供审计。</w:t>
      </w:r>
    </w:p>
    <w:p w14:paraId="1D59B439" w14:textId="56A929D4" w:rsidR="00046AD5" w:rsidRPr="00AA2081" w:rsidRDefault="00A47573" w:rsidP="00A47573">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3</w:t>
      </w:r>
      <w:r w:rsidRPr="00AA2081">
        <w:rPr>
          <w:rFonts w:ascii="Calibri" w:hAnsi="Calibri" w:cs="Calibri"/>
          <w:lang w:eastAsia="zh-CN"/>
        </w:rPr>
        <w:tab/>
      </w:r>
      <w:r w:rsidR="0030041B" w:rsidRPr="00AA2081">
        <w:rPr>
          <w:rFonts w:ascii="Calibri" w:hAnsi="Calibri" w:cs="Calibri" w:hint="eastAsia"/>
          <w:lang w:eastAsia="zh-CN"/>
        </w:rPr>
        <w:t>各成员应</w:t>
      </w:r>
      <w:r w:rsidR="00DD56D7" w:rsidRPr="00AA2081">
        <w:rPr>
          <w:rFonts w:ascii="Calibri" w:hAnsi="Calibri" w:cs="Calibri" w:hint="eastAsia"/>
          <w:lang w:eastAsia="zh-CN"/>
        </w:rPr>
        <w:t>知晓</w:t>
      </w:r>
      <w:r w:rsidR="0030041B" w:rsidRPr="00AA2081">
        <w:rPr>
          <w:rFonts w:ascii="Calibri" w:hAnsi="Calibri" w:cs="Calibri" w:hint="eastAsia"/>
          <w:lang w:eastAsia="zh-CN"/>
        </w:rPr>
        <w:t>，我们向</w:t>
      </w:r>
      <w:r w:rsidR="0030041B" w:rsidRPr="00AA2081">
        <w:rPr>
          <w:rFonts w:ascii="Calibri" w:hAnsi="Calibri" w:cs="Calibri" w:hint="eastAsia"/>
          <w:lang w:eastAsia="zh-CN"/>
        </w:rPr>
        <w:t>6</w:t>
      </w:r>
      <w:r w:rsidR="0030041B" w:rsidRPr="00AA2081">
        <w:rPr>
          <w:rFonts w:ascii="Calibri" w:hAnsi="Calibri" w:cs="Calibri" w:hint="eastAsia"/>
          <w:lang w:eastAsia="zh-CN"/>
        </w:rPr>
        <w:t>月的理事会会议提交了一份中期报告，并于</w:t>
      </w:r>
      <w:r w:rsidR="0030041B" w:rsidRPr="00AA2081">
        <w:rPr>
          <w:rFonts w:ascii="Calibri" w:hAnsi="Calibri" w:cs="Calibri" w:hint="eastAsia"/>
          <w:lang w:eastAsia="zh-CN"/>
        </w:rPr>
        <w:t>10</w:t>
      </w:r>
      <w:r w:rsidR="0030041B" w:rsidRPr="00AA2081">
        <w:rPr>
          <w:rFonts w:ascii="Calibri" w:hAnsi="Calibri" w:cs="Calibri" w:hint="eastAsia"/>
          <w:lang w:eastAsia="zh-CN"/>
        </w:rPr>
        <w:t>月提供了进一步的最新情况。此前的报告强调了我们发现的重要财务管理问题，并包含有关国际电联治理和监督、变革管理和新办公楼项目的实质性</w:t>
      </w:r>
      <w:r w:rsidR="00367468" w:rsidRPr="00AA2081">
        <w:rPr>
          <w:rFonts w:ascii="Calibri" w:hAnsi="Calibri" w:cs="Calibri" w:hint="eastAsia"/>
          <w:lang w:eastAsia="zh-CN"/>
        </w:rPr>
        <w:t>结论</w:t>
      </w:r>
      <w:r w:rsidR="0030041B" w:rsidRPr="00AA2081">
        <w:rPr>
          <w:rFonts w:ascii="Calibri" w:hAnsi="Calibri" w:cs="Calibri" w:hint="eastAsia"/>
          <w:lang w:eastAsia="zh-CN"/>
        </w:rPr>
        <w:t>和建议。在</w:t>
      </w:r>
      <w:r w:rsidR="00367468" w:rsidRPr="00AA2081">
        <w:rPr>
          <w:rFonts w:ascii="Calibri" w:hAnsi="Calibri" w:cs="Calibri" w:hint="eastAsia"/>
          <w:lang w:eastAsia="zh-CN"/>
        </w:rPr>
        <w:t>关于</w:t>
      </w:r>
      <w:r w:rsidR="0030041B" w:rsidRPr="00AA2081">
        <w:rPr>
          <w:rFonts w:ascii="Calibri" w:hAnsi="Calibri" w:cs="Calibri" w:hint="eastAsia"/>
          <w:lang w:eastAsia="zh-CN"/>
        </w:rPr>
        <w:t>2022</w:t>
      </w:r>
      <w:r w:rsidR="0030041B" w:rsidRPr="00AA2081">
        <w:rPr>
          <w:rFonts w:ascii="Calibri" w:hAnsi="Calibri" w:cs="Calibri" w:hint="eastAsia"/>
          <w:lang w:eastAsia="zh-CN"/>
        </w:rPr>
        <w:t>年的最</w:t>
      </w:r>
      <w:r w:rsidR="00367468" w:rsidRPr="00AA2081">
        <w:rPr>
          <w:rFonts w:ascii="Calibri" w:hAnsi="Calibri" w:cs="Calibri" w:hint="eastAsia"/>
          <w:lang w:eastAsia="zh-CN"/>
        </w:rPr>
        <w:t>后</w:t>
      </w:r>
      <w:r w:rsidR="0030041B" w:rsidRPr="00AA2081">
        <w:rPr>
          <w:rFonts w:ascii="Calibri" w:hAnsi="Calibri" w:cs="Calibri" w:hint="eastAsia"/>
          <w:lang w:eastAsia="zh-CN"/>
        </w:rPr>
        <w:t>报告中，我们概述了</w:t>
      </w:r>
      <w:r w:rsidR="00367468" w:rsidRPr="00AA2081">
        <w:rPr>
          <w:rFonts w:ascii="Calibri" w:hAnsi="Calibri" w:cs="Calibri" w:hint="eastAsia"/>
          <w:lang w:eastAsia="zh-CN"/>
        </w:rPr>
        <w:t>审计意见和与国际电联财务管理相关的</w:t>
      </w:r>
      <w:r w:rsidR="0030041B" w:rsidRPr="00AA2081">
        <w:rPr>
          <w:rFonts w:ascii="Calibri" w:hAnsi="Calibri" w:cs="Calibri" w:hint="eastAsia"/>
          <w:lang w:eastAsia="zh-CN"/>
        </w:rPr>
        <w:t>问题。我们的两份报告应被视为我们对</w:t>
      </w:r>
      <w:r w:rsidR="0030041B" w:rsidRPr="00AA2081">
        <w:rPr>
          <w:rFonts w:ascii="Calibri" w:hAnsi="Calibri" w:cs="Calibri" w:hint="eastAsia"/>
          <w:lang w:eastAsia="zh-CN"/>
        </w:rPr>
        <w:t>2022</w:t>
      </w:r>
      <w:r w:rsidR="0030041B" w:rsidRPr="00AA2081">
        <w:rPr>
          <w:rFonts w:ascii="Calibri" w:hAnsi="Calibri" w:cs="Calibri" w:hint="eastAsia"/>
          <w:lang w:eastAsia="zh-CN"/>
        </w:rPr>
        <w:t>年审计</w:t>
      </w:r>
      <w:r w:rsidR="00882A08" w:rsidRPr="00AA2081">
        <w:rPr>
          <w:rFonts w:ascii="Calibri" w:hAnsi="Calibri" w:cs="Calibri" w:hint="eastAsia"/>
          <w:lang w:eastAsia="zh-CN"/>
        </w:rPr>
        <w:t>工作</w:t>
      </w:r>
      <w:r w:rsidR="0030041B" w:rsidRPr="00AA2081">
        <w:rPr>
          <w:rFonts w:ascii="Calibri" w:hAnsi="Calibri" w:cs="Calibri" w:hint="eastAsia"/>
          <w:lang w:eastAsia="zh-CN"/>
        </w:rPr>
        <w:t>的集体意见。</w:t>
      </w:r>
    </w:p>
    <w:p w14:paraId="1563B392" w14:textId="0627FABD" w:rsidR="00046AD5" w:rsidRDefault="00A47573" w:rsidP="00A47573">
      <w:pPr>
        <w:pStyle w:val="MainTextNumbered"/>
        <w:numPr>
          <w:ilvl w:val="0"/>
          <w:numId w:val="0"/>
        </w:numPr>
        <w:tabs>
          <w:tab w:val="clear" w:pos="1080"/>
        </w:tabs>
        <w:rPr>
          <w:lang w:eastAsia="zh-CN"/>
        </w:rPr>
      </w:pPr>
      <w:r w:rsidRPr="00530F60">
        <w:rPr>
          <w:rFonts w:ascii="Calibri" w:hAnsi="Calibri" w:cs="Calibri"/>
          <w:b/>
          <w:bCs/>
          <w:lang w:eastAsia="zh-CN"/>
        </w:rPr>
        <w:t>4</w:t>
      </w:r>
      <w:r w:rsidRPr="00AA2081">
        <w:rPr>
          <w:rFonts w:ascii="Calibri" w:hAnsi="Calibri" w:cs="Calibri"/>
          <w:lang w:eastAsia="zh-CN"/>
        </w:rPr>
        <w:tab/>
      </w:r>
      <w:r w:rsidR="008046DE" w:rsidRPr="00AA2081">
        <w:rPr>
          <w:rFonts w:ascii="Calibri" w:hAnsi="Calibri" w:cs="Calibri" w:hint="eastAsia"/>
          <w:lang w:eastAsia="zh-CN"/>
        </w:rPr>
        <w:t>我们已与管理层讨论了审计结果和建议。按照良好做法，在完成工作之前，已向独立管理顾问委员会（</w:t>
      </w:r>
      <w:r w:rsidR="008046DE" w:rsidRPr="00AA2081">
        <w:rPr>
          <w:rFonts w:ascii="Calibri" w:hAnsi="Calibri" w:cs="Calibri" w:hint="eastAsia"/>
          <w:lang w:eastAsia="zh-CN"/>
        </w:rPr>
        <w:t>IMAC</w:t>
      </w:r>
      <w:r w:rsidR="008046DE" w:rsidRPr="00AA2081">
        <w:rPr>
          <w:rFonts w:ascii="Calibri" w:hAnsi="Calibri" w:cs="Calibri" w:hint="eastAsia"/>
          <w:lang w:eastAsia="zh-CN"/>
        </w:rPr>
        <w:t>）通报了我们的财务审计结果。本报告原文以英文拟就。英文版为权威文本。</w:t>
      </w:r>
    </w:p>
    <w:p w14:paraId="06193936" w14:textId="64767F57" w:rsidR="00F66F88" w:rsidRPr="00F66F88" w:rsidRDefault="00F66F88" w:rsidP="00F66F88">
      <w:pPr>
        <w:pStyle w:val="Heading2"/>
        <w:rPr>
          <w:lang w:eastAsia="zh-CN"/>
        </w:rPr>
      </w:pPr>
      <w:bookmarkStart w:id="11" w:name="_Toc161066414"/>
      <w:bookmarkEnd w:id="10"/>
      <w:r w:rsidRPr="00BE6200">
        <w:rPr>
          <w:rFonts w:hint="eastAsia"/>
          <w:sz w:val="28"/>
          <w:szCs w:val="22"/>
          <w:lang w:eastAsia="zh-CN"/>
        </w:rPr>
        <w:t>审计意见</w:t>
      </w:r>
      <w:bookmarkEnd w:id="11"/>
    </w:p>
    <w:p w14:paraId="0BAC8D6A" w14:textId="493A429D" w:rsidR="00046AD5" w:rsidRPr="00AA2081" w:rsidRDefault="00A47573" w:rsidP="00A47573">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5</w:t>
      </w:r>
      <w:r w:rsidRPr="00AA2081">
        <w:rPr>
          <w:rFonts w:ascii="Calibri" w:hAnsi="Calibri" w:cs="Calibri"/>
          <w:lang w:eastAsia="zh-CN"/>
        </w:rPr>
        <w:tab/>
      </w:r>
      <w:r w:rsidR="00F66F88" w:rsidRPr="00AA2081">
        <w:rPr>
          <w:rFonts w:ascii="Calibri" w:hAnsi="Calibri" w:cs="Calibri" w:hint="eastAsia"/>
          <w:lang w:eastAsia="zh-CN"/>
        </w:rPr>
        <w:t>审计工作包括对国际电联会计程序进行总体审查，评估对审计意见有影响的内部控制措施；以及对会计记录和我们认为必要的其他辅助证据进行测试。我们的审计程序主要是为了形成这些意见而设计的。审计工作并不涉及对预算和财务信息系统所有方面的详细审查，审计结果不应被视为对这些方面的全面陈述。最后还进行了一次审查，以确保财务报表准确反映会计记录并得到公允列报。</w:t>
      </w:r>
    </w:p>
    <w:p w14:paraId="75B9CD8F" w14:textId="45A63E17" w:rsidR="00046AD5" w:rsidRDefault="00FE4E9F" w:rsidP="00046AD5">
      <w:pPr>
        <w:pStyle w:val="Heading3"/>
        <w:rPr>
          <w:lang w:eastAsia="zh-CN"/>
        </w:rPr>
      </w:pPr>
      <w:r>
        <w:rPr>
          <w:rFonts w:ascii="SimSun" w:hAnsi="SimSun" w:hint="eastAsia"/>
          <w:i w:val="0"/>
          <w:iCs/>
          <w:lang w:eastAsia="zh-CN"/>
        </w:rPr>
        <w:t>关于</w:t>
      </w:r>
      <w:r w:rsidR="00046AD5" w:rsidRPr="00A47573">
        <w:rPr>
          <w:rFonts w:ascii="SimSun" w:hAnsi="SimSun" w:hint="eastAsia"/>
          <w:i w:val="0"/>
          <w:iCs/>
          <w:lang w:eastAsia="zh-CN"/>
        </w:rPr>
        <w:t>财务报表</w:t>
      </w:r>
      <w:r>
        <w:rPr>
          <w:rFonts w:ascii="SimSun" w:hAnsi="SimSun" w:hint="eastAsia"/>
          <w:i w:val="0"/>
          <w:iCs/>
          <w:lang w:eastAsia="zh-CN"/>
        </w:rPr>
        <w:t>的</w:t>
      </w:r>
      <w:r w:rsidR="00046AD5" w:rsidRPr="00A47573">
        <w:rPr>
          <w:rFonts w:ascii="SimSun" w:hAnsi="SimSun" w:hint="eastAsia"/>
          <w:i w:val="0"/>
          <w:iCs/>
          <w:lang w:eastAsia="zh-CN"/>
        </w:rPr>
        <w:t>意见</w:t>
      </w:r>
    </w:p>
    <w:p w14:paraId="740FCDAC" w14:textId="52112D5C" w:rsidR="00046AD5" w:rsidRPr="00AA2081" w:rsidRDefault="00A47573" w:rsidP="00A47573">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6</w:t>
      </w:r>
      <w:r w:rsidRPr="00AA2081">
        <w:rPr>
          <w:rFonts w:ascii="Calibri" w:hAnsi="Calibri" w:cs="Calibri"/>
          <w:lang w:eastAsia="zh-CN"/>
        </w:rPr>
        <w:tab/>
      </w:r>
      <w:r w:rsidR="00FE4E9F" w:rsidRPr="00AA2081">
        <w:rPr>
          <w:rFonts w:ascii="Calibri" w:hAnsi="Calibri" w:cs="Calibri" w:hint="eastAsia"/>
          <w:lang w:eastAsia="zh-CN"/>
        </w:rPr>
        <w:t>我们对国际电联财务报表的总体审计没有发现我们认为对其准确性、完整性或有效性有重大影响的薄弱环节或错误。审计意见确认，这些财务报表在所有重大方面均公允列报了国际电联截至</w:t>
      </w:r>
      <w:r w:rsidR="00FE4E9F" w:rsidRPr="00AA2081">
        <w:rPr>
          <w:rFonts w:ascii="Calibri" w:hAnsi="Calibri" w:cs="Calibri" w:hint="eastAsia"/>
          <w:lang w:eastAsia="zh-CN"/>
        </w:rPr>
        <w:t>2022</w:t>
      </w:r>
      <w:r w:rsidR="00FE4E9F" w:rsidRPr="00AA2081">
        <w:rPr>
          <w:rFonts w:ascii="Calibri" w:hAnsi="Calibri" w:cs="Calibri" w:hint="eastAsia"/>
          <w:lang w:eastAsia="zh-CN"/>
        </w:rPr>
        <w:t>年</w:t>
      </w:r>
      <w:r w:rsidR="00FE4E9F" w:rsidRPr="00AA2081">
        <w:rPr>
          <w:rFonts w:ascii="Calibri" w:hAnsi="Calibri" w:cs="Calibri" w:hint="eastAsia"/>
          <w:lang w:eastAsia="zh-CN"/>
        </w:rPr>
        <w:t>12</w:t>
      </w:r>
      <w:r w:rsidR="00FE4E9F" w:rsidRPr="00AA2081">
        <w:rPr>
          <w:rFonts w:ascii="Calibri" w:hAnsi="Calibri" w:cs="Calibri" w:hint="eastAsia"/>
          <w:lang w:eastAsia="zh-CN"/>
        </w:rPr>
        <w:t>月</w:t>
      </w:r>
      <w:r w:rsidR="00FE4E9F" w:rsidRPr="00AA2081">
        <w:rPr>
          <w:rFonts w:ascii="Calibri" w:hAnsi="Calibri" w:cs="Calibri" w:hint="eastAsia"/>
          <w:lang w:eastAsia="zh-CN"/>
        </w:rPr>
        <w:t>31</w:t>
      </w:r>
      <w:r w:rsidR="00FE4E9F" w:rsidRPr="00AA2081">
        <w:rPr>
          <w:rFonts w:ascii="Calibri" w:hAnsi="Calibri" w:cs="Calibri" w:hint="eastAsia"/>
          <w:lang w:eastAsia="zh-CN"/>
        </w:rPr>
        <w:t>日的财务状况以及该日终了年度的财务执行情况和现金流。审计意见还确认，这些财务报表是根据《国际公共部门会计准则》编制的。</w:t>
      </w:r>
    </w:p>
    <w:p w14:paraId="1D5240E3" w14:textId="22F32AA5" w:rsidR="00046AD5" w:rsidRPr="00AA2081" w:rsidRDefault="00FE4E9F" w:rsidP="00AA2081">
      <w:pPr>
        <w:pStyle w:val="Heading3"/>
        <w:rPr>
          <w:i w:val="0"/>
          <w:iCs/>
          <w:lang w:eastAsia="zh-CN"/>
        </w:rPr>
      </w:pPr>
      <w:r w:rsidRPr="00AA2081">
        <w:rPr>
          <w:rFonts w:hint="eastAsia"/>
          <w:i w:val="0"/>
          <w:iCs/>
          <w:lang w:eastAsia="zh-CN"/>
        </w:rPr>
        <w:t>关于合规性的意见</w:t>
      </w:r>
    </w:p>
    <w:p w14:paraId="7790129D" w14:textId="707EAC86" w:rsidR="00046AD5" w:rsidRPr="00AA2081" w:rsidRDefault="00A47573" w:rsidP="00A47573">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7</w:t>
      </w:r>
      <w:r w:rsidRPr="00AA2081">
        <w:rPr>
          <w:rFonts w:ascii="Calibri" w:hAnsi="Calibri" w:cs="Calibri"/>
          <w:lang w:eastAsia="zh-CN"/>
        </w:rPr>
        <w:tab/>
      </w:r>
      <w:r w:rsidR="00B367B5" w:rsidRPr="00AA2081">
        <w:rPr>
          <w:rFonts w:ascii="Calibri" w:hAnsi="Calibri" w:cs="Calibri" w:hint="eastAsia"/>
          <w:lang w:eastAsia="zh-CN"/>
        </w:rPr>
        <w:t>合规性概念是指财务报表中体现的交易必须与相关管理机构的框架相符。</w:t>
      </w:r>
      <w:r w:rsidR="00FE4E9F" w:rsidRPr="00AA2081">
        <w:rPr>
          <w:rFonts w:ascii="Calibri" w:hAnsi="Calibri" w:cs="Calibri" w:hint="eastAsia"/>
          <w:lang w:eastAsia="zh-CN"/>
        </w:rPr>
        <w:t>如我们</w:t>
      </w:r>
      <w:r w:rsidR="00FE4E9F" w:rsidRPr="00AA2081">
        <w:rPr>
          <w:rFonts w:ascii="Calibri" w:hAnsi="Calibri" w:cs="Calibri" w:hint="eastAsia"/>
          <w:lang w:eastAsia="zh-CN"/>
        </w:rPr>
        <w:t>2023</w:t>
      </w:r>
      <w:r w:rsidR="00FE4E9F" w:rsidRPr="00AA2081">
        <w:rPr>
          <w:rFonts w:ascii="Calibri" w:hAnsi="Calibri" w:cs="Calibri" w:hint="eastAsia"/>
          <w:lang w:eastAsia="zh-CN"/>
        </w:rPr>
        <w:t>年</w:t>
      </w:r>
      <w:r w:rsidR="00FE4E9F" w:rsidRPr="00AA2081">
        <w:rPr>
          <w:rFonts w:ascii="Calibri" w:hAnsi="Calibri" w:cs="Calibri" w:hint="eastAsia"/>
          <w:lang w:eastAsia="zh-CN"/>
        </w:rPr>
        <w:t>7</w:t>
      </w:r>
      <w:r w:rsidR="00FE4E9F" w:rsidRPr="00AA2081">
        <w:rPr>
          <w:rFonts w:ascii="Calibri" w:hAnsi="Calibri" w:cs="Calibri" w:hint="eastAsia"/>
          <w:lang w:eastAsia="zh-CN"/>
        </w:rPr>
        <w:t>月的中期报告所述，</w:t>
      </w:r>
      <w:r w:rsidR="00FE4E9F" w:rsidRPr="00AA2081">
        <w:rPr>
          <w:rFonts w:ascii="Calibri" w:hAnsi="Calibri" w:cs="Calibri" w:hint="eastAsia"/>
          <w:lang w:eastAsia="zh-CN"/>
        </w:rPr>
        <w:t>2022</w:t>
      </w:r>
      <w:r w:rsidR="00FE4E9F" w:rsidRPr="00AA2081">
        <w:rPr>
          <w:rFonts w:ascii="Calibri" w:hAnsi="Calibri" w:cs="Calibri" w:hint="eastAsia"/>
          <w:lang w:eastAsia="zh-CN"/>
        </w:rPr>
        <w:t>年期间，根据国际电联《财务规则》第</w:t>
      </w:r>
      <w:r w:rsidR="00FE4E9F" w:rsidRPr="00AA2081">
        <w:rPr>
          <w:rFonts w:ascii="Calibri" w:hAnsi="Calibri" w:cs="Calibri" w:hint="eastAsia"/>
          <w:lang w:eastAsia="zh-CN"/>
        </w:rPr>
        <w:t>10.4</w:t>
      </w:r>
      <w:r w:rsidR="00FE4E9F" w:rsidRPr="00AA2081">
        <w:rPr>
          <w:rFonts w:ascii="Calibri" w:hAnsi="Calibri" w:cs="Calibri" w:hint="eastAsia"/>
          <w:lang w:eastAsia="zh-CN"/>
        </w:rPr>
        <w:t>条向前选任官员支付了</w:t>
      </w:r>
      <w:r w:rsidR="00FE4E9F" w:rsidRPr="00AA2081">
        <w:rPr>
          <w:rFonts w:ascii="Calibri" w:hAnsi="Calibri" w:cs="Calibri" w:hint="eastAsia"/>
          <w:lang w:eastAsia="zh-CN"/>
        </w:rPr>
        <w:t>214</w:t>
      </w:r>
      <w:r w:rsidR="00D86CC6">
        <w:rPr>
          <w:rFonts w:ascii="Calibri" w:hAnsi="Calibri" w:cs="Calibri"/>
          <w:lang w:eastAsia="zh-CN"/>
        </w:rPr>
        <w:t> </w:t>
      </w:r>
      <w:r w:rsidR="00FE4E9F" w:rsidRPr="00AA2081">
        <w:rPr>
          <w:rFonts w:ascii="Calibri" w:hAnsi="Calibri" w:cs="Calibri" w:hint="eastAsia"/>
          <w:lang w:eastAsia="zh-CN"/>
        </w:rPr>
        <w:t>000</w:t>
      </w:r>
      <w:r w:rsidR="00FE4E9F" w:rsidRPr="00AA2081">
        <w:rPr>
          <w:rFonts w:ascii="Calibri" w:hAnsi="Calibri" w:cs="Calibri" w:hint="eastAsia"/>
          <w:lang w:eastAsia="zh-CN"/>
        </w:rPr>
        <w:t>瑞郎的“特惠”补偿款。</w:t>
      </w:r>
      <w:r w:rsidR="00B367B5" w:rsidRPr="00AA2081">
        <w:rPr>
          <w:rFonts w:ascii="Calibri" w:hAnsi="Calibri" w:cs="Calibri" w:hint="eastAsia"/>
          <w:lang w:eastAsia="zh-CN"/>
        </w:rPr>
        <w:t>2022</w:t>
      </w:r>
      <w:r w:rsidR="00B367B5" w:rsidRPr="00AA2081">
        <w:rPr>
          <w:rFonts w:ascii="Calibri" w:hAnsi="Calibri" w:cs="Calibri" w:hint="eastAsia"/>
          <w:lang w:eastAsia="zh-CN"/>
        </w:rPr>
        <w:t>年的付款得到了前秘书长的正式授权，“他可以支付他认为符合国际电联利益所必需的特惠补偿款”。</w:t>
      </w:r>
    </w:p>
    <w:p w14:paraId="6D26FC2E" w14:textId="63361618" w:rsidR="00046AD5" w:rsidRPr="00AA2081" w:rsidRDefault="00A47573" w:rsidP="00A47573">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lastRenderedPageBreak/>
        <w:t>8</w:t>
      </w:r>
      <w:r w:rsidRPr="00AA2081">
        <w:rPr>
          <w:rFonts w:ascii="Calibri" w:hAnsi="Calibri" w:cs="Calibri"/>
          <w:lang w:eastAsia="zh-CN"/>
        </w:rPr>
        <w:tab/>
      </w:r>
      <w:r w:rsidR="00B367B5" w:rsidRPr="00AA2081">
        <w:rPr>
          <w:rFonts w:ascii="Calibri" w:hAnsi="Calibri" w:cs="Calibri" w:hint="eastAsia"/>
          <w:lang w:eastAsia="zh-CN"/>
        </w:rPr>
        <w:t>根据</w:t>
      </w:r>
      <w:r w:rsidR="00B367B5" w:rsidRPr="00AA2081">
        <w:rPr>
          <w:rFonts w:ascii="Calibri" w:hAnsi="Calibri" w:cs="Calibri" w:hint="eastAsia"/>
          <w:lang w:eastAsia="zh-CN"/>
        </w:rPr>
        <w:t>IPSAS</w:t>
      </w:r>
      <w:r w:rsidR="00B367B5" w:rsidRPr="00AA2081">
        <w:rPr>
          <w:rFonts w:ascii="Calibri" w:hAnsi="Calibri" w:cs="Calibri" w:hint="eastAsia"/>
          <w:lang w:eastAsia="zh-CN"/>
        </w:rPr>
        <w:t>，选任官员符合报告对关键管理人员的定义，因此与他们的交易属于实质交易。</w:t>
      </w:r>
      <w:r w:rsidR="00046AD5" w:rsidRPr="00AA2081">
        <w:rPr>
          <w:rFonts w:ascii="Calibri" w:hAnsi="Calibri" w:cs="Calibri" w:hint="eastAsia"/>
          <w:lang w:eastAsia="zh-CN"/>
        </w:rPr>
        <w:t>我们根据第</w:t>
      </w:r>
      <w:r w:rsidR="00046AD5" w:rsidRPr="00AA2081">
        <w:rPr>
          <w:rFonts w:ascii="Calibri" w:hAnsi="Calibri" w:cs="Calibri" w:hint="eastAsia"/>
          <w:lang w:eastAsia="zh-CN"/>
        </w:rPr>
        <w:t>10.4</w:t>
      </w:r>
      <w:r w:rsidR="00046AD5" w:rsidRPr="00AA2081">
        <w:rPr>
          <w:rFonts w:ascii="Calibri" w:hAnsi="Calibri" w:cs="Calibri" w:hint="eastAsia"/>
          <w:lang w:eastAsia="zh-CN"/>
        </w:rPr>
        <w:t>条的要求审查了</w:t>
      </w:r>
      <w:r w:rsidR="00046AD5" w:rsidRPr="00AA2081">
        <w:rPr>
          <w:rFonts w:ascii="Calibri" w:hAnsi="Calibri" w:cs="Calibri" w:hint="eastAsia"/>
          <w:lang w:eastAsia="zh-CN"/>
        </w:rPr>
        <w:t>2022</w:t>
      </w:r>
      <w:r w:rsidR="00046AD5" w:rsidRPr="00AA2081">
        <w:rPr>
          <w:rFonts w:ascii="Calibri" w:hAnsi="Calibri" w:cs="Calibri" w:hint="eastAsia"/>
          <w:lang w:eastAsia="zh-CN"/>
        </w:rPr>
        <w:t>年的支出，在我</w:t>
      </w:r>
      <w:r w:rsidR="00FF40B6" w:rsidRPr="00AA2081">
        <w:rPr>
          <w:rFonts w:ascii="Calibri" w:hAnsi="Calibri" w:cs="Calibri" w:hint="eastAsia"/>
          <w:lang w:eastAsia="zh-CN"/>
        </w:rPr>
        <w:t>们</w:t>
      </w:r>
      <w:r w:rsidR="00046AD5" w:rsidRPr="00AA2081">
        <w:rPr>
          <w:rFonts w:ascii="Calibri" w:hAnsi="Calibri" w:cs="Calibri" w:hint="eastAsia"/>
          <w:lang w:eastAsia="zh-CN"/>
        </w:rPr>
        <w:t>看来</w:t>
      </w:r>
      <w:r w:rsidR="00FF40B6" w:rsidRPr="00AA2081">
        <w:rPr>
          <w:rFonts w:ascii="Calibri" w:hAnsi="Calibri" w:cs="Calibri" w:hint="eastAsia"/>
          <w:lang w:eastAsia="zh-CN"/>
        </w:rPr>
        <w:t>，</w:t>
      </w:r>
      <w:r w:rsidR="00046AD5" w:rsidRPr="00AA2081">
        <w:rPr>
          <w:rFonts w:ascii="Calibri" w:hAnsi="Calibri" w:cs="Calibri" w:hint="eastAsia"/>
          <w:lang w:eastAsia="zh-CN"/>
        </w:rPr>
        <w:t>这些付款不符合国际电联《财务规则》有关定特惠补偿款的定义，因为这不是必要的，也不符合国际电联的利益，因此，根据国际电联《财务规则》或《人事规则》，没有支付依据。</w:t>
      </w:r>
      <w:r w:rsidR="00FF40B6" w:rsidRPr="00AA2081">
        <w:rPr>
          <w:rFonts w:ascii="Calibri" w:hAnsi="Calibri" w:cs="Calibri" w:hint="eastAsia"/>
          <w:lang w:eastAsia="zh-CN"/>
        </w:rPr>
        <w:t>在之前的报告中，我们注意到管理层为防止此类问题再次发生而采取的行动。</w:t>
      </w:r>
    </w:p>
    <w:p w14:paraId="0BA56753" w14:textId="37C0C064" w:rsidR="00046AD5" w:rsidRDefault="00A47573" w:rsidP="00A47573">
      <w:pPr>
        <w:pStyle w:val="MainTextNumbered"/>
        <w:numPr>
          <w:ilvl w:val="0"/>
          <w:numId w:val="0"/>
        </w:numPr>
        <w:tabs>
          <w:tab w:val="clear" w:pos="1080"/>
        </w:tabs>
        <w:rPr>
          <w:lang w:eastAsia="zh-CN"/>
        </w:rPr>
      </w:pPr>
      <w:r w:rsidRPr="00530F60">
        <w:rPr>
          <w:rFonts w:ascii="Calibri" w:hAnsi="Calibri" w:cs="Calibri"/>
          <w:b/>
          <w:bCs/>
          <w:lang w:eastAsia="zh-CN"/>
        </w:rPr>
        <w:t>9</w:t>
      </w:r>
      <w:r w:rsidRPr="00AA2081">
        <w:rPr>
          <w:rFonts w:ascii="Calibri" w:hAnsi="Calibri" w:cs="Calibri"/>
          <w:lang w:eastAsia="zh-CN"/>
        </w:rPr>
        <w:tab/>
      </w:r>
      <w:r w:rsidR="006D7F63" w:rsidRPr="00AA2081">
        <w:rPr>
          <w:rFonts w:ascii="Calibri" w:hAnsi="Calibri" w:cs="Calibri" w:hint="eastAsia"/>
          <w:lang w:eastAsia="zh-CN"/>
        </w:rPr>
        <w:t>除支付给前选任官员的</w:t>
      </w:r>
      <w:r w:rsidR="006D7F63" w:rsidRPr="00AA2081">
        <w:rPr>
          <w:rFonts w:ascii="Calibri" w:hAnsi="Calibri" w:cs="Calibri" w:hint="eastAsia"/>
          <w:lang w:eastAsia="zh-CN"/>
        </w:rPr>
        <w:t>211</w:t>
      </w:r>
      <w:r w:rsidR="00D86CC6">
        <w:rPr>
          <w:rFonts w:ascii="Calibri" w:hAnsi="Calibri" w:cs="Calibri"/>
          <w:lang w:eastAsia="zh-CN"/>
        </w:rPr>
        <w:t> </w:t>
      </w:r>
      <w:r w:rsidR="006D7F63" w:rsidRPr="00AA2081">
        <w:rPr>
          <w:rFonts w:ascii="Calibri" w:hAnsi="Calibri" w:cs="Calibri" w:hint="eastAsia"/>
          <w:lang w:eastAsia="zh-CN"/>
        </w:rPr>
        <w:t>751</w:t>
      </w:r>
      <w:r w:rsidR="006D7F63" w:rsidRPr="00AA2081">
        <w:rPr>
          <w:rFonts w:ascii="Calibri" w:hAnsi="Calibri" w:cs="Calibri" w:hint="eastAsia"/>
          <w:lang w:eastAsia="zh-CN"/>
        </w:rPr>
        <w:t>瑞郎支出有保留意见外，财务报表所依据的交易事项均符合《财务规则》，并用于管理机构的预期目的。</w:t>
      </w:r>
    </w:p>
    <w:p w14:paraId="6379A34E" w14:textId="5B27064C" w:rsidR="00046AD5" w:rsidRDefault="002F5D1B" w:rsidP="00046AD5">
      <w:pPr>
        <w:pStyle w:val="Heading2"/>
        <w:rPr>
          <w:lang w:eastAsia="zh-CN"/>
        </w:rPr>
      </w:pPr>
      <w:bookmarkStart w:id="12" w:name="_Toc161066415"/>
      <w:r w:rsidRPr="00BE6200">
        <w:rPr>
          <w:rFonts w:hint="eastAsia"/>
          <w:sz w:val="28"/>
          <w:szCs w:val="22"/>
          <w:lang w:eastAsia="zh-CN"/>
        </w:rPr>
        <w:t>财务报表的列报</w:t>
      </w:r>
      <w:bookmarkEnd w:id="12"/>
    </w:p>
    <w:p w14:paraId="4C7AE477" w14:textId="5E7894F0" w:rsidR="00046AD5" w:rsidRPr="00AA2081"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10</w:t>
      </w:r>
      <w:r w:rsidRPr="00AA2081">
        <w:rPr>
          <w:rFonts w:ascii="Calibri" w:hAnsi="Calibri" w:cs="Calibri"/>
          <w:lang w:eastAsia="zh-CN"/>
        </w:rPr>
        <w:tab/>
      </w:r>
      <w:r w:rsidR="000251A2" w:rsidRPr="00AA2081">
        <w:rPr>
          <w:rFonts w:ascii="Calibri" w:hAnsi="Calibri" w:cs="Calibri" w:hint="eastAsia"/>
          <w:lang w:eastAsia="zh-CN"/>
        </w:rPr>
        <w:t>正如</w:t>
      </w:r>
      <w:r w:rsidR="000251A2" w:rsidRPr="00AA2081">
        <w:rPr>
          <w:rFonts w:ascii="Calibri" w:hAnsi="Calibri" w:cs="Calibri" w:hint="eastAsia"/>
          <w:lang w:eastAsia="zh-CN"/>
        </w:rPr>
        <w:t>2023</w:t>
      </w:r>
      <w:r w:rsidR="000251A2" w:rsidRPr="00AA2081">
        <w:rPr>
          <w:rFonts w:ascii="Calibri" w:hAnsi="Calibri" w:cs="Calibri" w:hint="eastAsia"/>
          <w:lang w:eastAsia="zh-CN"/>
        </w:rPr>
        <w:t>年</w:t>
      </w:r>
      <w:r w:rsidR="000251A2" w:rsidRPr="00AA2081">
        <w:rPr>
          <w:rFonts w:ascii="Calibri" w:hAnsi="Calibri" w:cs="Calibri" w:hint="eastAsia"/>
          <w:lang w:eastAsia="zh-CN"/>
        </w:rPr>
        <w:t>7</w:t>
      </w:r>
      <w:r w:rsidR="000251A2" w:rsidRPr="00AA2081">
        <w:rPr>
          <w:rFonts w:ascii="Calibri" w:hAnsi="Calibri" w:cs="Calibri" w:hint="eastAsia"/>
          <w:lang w:eastAsia="zh-CN"/>
        </w:rPr>
        <w:t>月关于</w:t>
      </w:r>
      <w:r w:rsidR="000251A2" w:rsidRPr="00AA2081">
        <w:rPr>
          <w:rFonts w:ascii="Calibri" w:hAnsi="Calibri" w:cs="Calibri" w:hint="eastAsia"/>
          <w:lang w:eastAsia="zh-CN"/>
        </w:rPr>
        <w:t>2022</w:t>
      </w:r>
      <w:r w:rsidR="000251A2" w:rsidRPr="00AA2081">
        <w:rPr>
          <w:rFonts w:ascii="Calibri" w:hAnsi="Calibri" w:cs="Calibri" w:hint="eastAsia"/>
          <w:lang w:eastAsia="zh-CN"/>
        </w:rPr>
        <w:t>年财务报表的中期报告所强调的，国际电联财务报表草案在提交我们审计时没有按照《国际公共部门会计准则》进行适当编制。我们对以下方面做出报告：</w:t>
      </w:r>
    </w:p>
    <w:p w14:paraId="219B901C" w14:textId="00C0E7FD" w:rsidR="00046AD5" w:rsidRPr="00AA2081" w:rsidRDefault="003C0ED8" w:rsidP="003C0ED8">
      <w:pPr>
        <w:pStyle w:val="Bullet"/>
        <w:numPr>
          <w:ilvl w:val="0"/>
          <w:numId w:val="0"/>
        </w:numPr>
        <w:ind w:left="499"/>
        <w:rPr>
          <w:rFonts w:ascii="Calibri" w:eastAsia="SimSun" w:hAnsi="Calibri" w:cs="Calibri"/>
          <w:lang w:eastAsia="zh-CN"/>
        </w:rPr>
      </w:pPr>
      <w:r w:rsidRPr="00AA2081">
        <w:rPr>
          <w:rFonts w:ascii="Calibri" w:eastAsia="SimSun" w:hAnsi="Calibri" w:cs="Calibri"/>
          <w:lang w:eastAsia="zh-CN"/>
        </w:rPr>
        <w:t>•</w:t>
      </w:r>
      <w:r w:rsidRPr="00AA2081">
        <w:rPr>
          <w:rFonts w:ascii="Calibri" w:eastAsia="SimSun" w:hAnsi="Calibri" w:cs="Calibri"/>
          <w:lang w:eastAsia="zh-CN"/>
        </w:rPr>
        <w:tab/>
      </w:r>
      <w:r w:rsidR="000251A2" w:rsidRPr="00AA2081">
        <w:rPr>
          <w:rFonts w:ascii="Calibri" w:eastAsia="SimSun" w:hAnsi="Calibri" w:cs="Calibri" w:hint="eastAsia"/>
          <w:lang w:eastAsia="zh-CN"/>
        </w:rPr>
        <w:t>提交审计的财务报表</w:t>
      </w:r>
      <w:r w:rsidR="00FD55D1" w:rsidRPr="00AA2081">
        <w:rPr>
          <w:rFonts w:ascii="Calibri" w:eastAsia="SimSun" w:hAnsi="Calibri" w:cs="Calibri" w:hint="eastAsia"/>
          <w:lang w:eastAsia="zh-CN"/>
        </w:rPr>
        <w:t>存在</w:t>
      </w:r>
      <w:r w:rsidR="000251A2" w:rsidRPr="00AA2081">
        <w:rPr>
          <w:rFonts w:ascii="Calibri" w:eastAsia="SimSun" w:hAnsi="Calibri" w:cs="Calibri" w:hint="eastAsia"/>
          <w:lang w:eastAsia="zh-CN"/>
        </w:rPr>
        <w:t>重大实质性错误和不确定性，</w:t>
      </w:r>
      <w:r w:rsidR="00FD55D1" w:rsidRPr="00AA2081">
        <w:rPr>
          <w:rFonts w:ascii="Calibri" w:eastAsia="SimSun" w:hAnsi="Calibri" w:cs="Calibri" w:hint="eastAsia"/>
          <w:lang w:eastAsia="zh-CN"/>
        </w:rPr>
        <w:t>原因是会计政策不当，不符合财务报告框架（《国际公共部门会计准则》（</w:t>
      </w:r>
      <w:r w:rsidR="00FD55D1" w:rsidRPr="00AA2081">
        <w:rPr>
          <w:rFonts w:ascii="Calibri" w:eastAsia="SimSun" w:hAnsi="Calibri" w:cs="Calibri"/>
          <w:lang w:eastAsia="zh-CN"/>
        </w:rPr>
        <w:t>IPSAS</w:t>
      </w:r>
      <w:r w:rsidR="00FD55D1" w:rsidRPr="00AA2081">
        <w:rPr>
          <w:rFonts w:ascii="Calibri" w:eastAsia="SimSun" w:hAnsi="Calibri" w:cs="Calibri" w:hint="eastAsia"/>
          <w:lang w:eastAsia="zh-CN"/>
        </w:rPr>
        <w:t>））</w:t>
      </w:r>
      <w:r w:rsidR="000251A2" w:rsidRPr="00AA2081">
        <w:rPr>
          <w:rFonts w:ascii="Calibri" w:eastAsia="SimSun" w:hAnsi="Calibri" w:cs="Calibri" w:hint="eastAsia"/>
          <w:lang w:eastAsia="zh-CN"/>
        </w:rPr>
        <w:t>；</w:t>
      </w:r>
    </w:p>
    <w:p w14:paraId="67F444B5" w14:textId="43035D1B" w:rsidR="00046AD5" w:rsidRPr="00AA2081" w:rsidRDefault="003C0ED8" w:rsidP="003C0ED8">
      <w:pPr>
        <w:pStyle w:val="Bullet"/>
        <w:numPr>
          <w:ilvl w:val="0"/>
          <w:numId w:val="0"/>
        </w:numPr>
        <w:ind w:left="499"/>
        <w:rPr>
          <w:rFonts w:ascii="Calibri" w:eastAsia="SimSun" w:hAnsi="Calibri" w:cs="Calibri"/>
          <w:lang w:eastAsia="zh-CN"/>
        </w:rPr>
      </w:pPr>
      <w:r w:rsidRPr="00AA2081">
        <w:rPr>
          <w:rFonts w:ascii="Calibri" w:eastAsia="SimSun" w:hAnsi="Calibri" w:cs="Calibri"/>
          <w:lang w:eastAsia="zh-CN"/>
        </w:rPr>
        <w:t>•</w:t>
      </w:r>
      <w:r w:rsidRPr="00AA2081">
        <w:rPr>
          <w:rFonts w:ascii="Calibri" w:eastAsia="SimSun" w:hAnsi="Calibri" w:cs="Calibri"/>
          <w:lang w:eastAsia="zh-CN"/>
        </w:rPr>
        <w:tab/>
      </w:r>
      <w:r w:rsidR="0023535C" w:rsidRPr="00AA2081">
        <w:rPr>
          <w:rFonts w:ascii="Calibri" w:eastAsia="SimSun" w:hAnsi="Calibri" w:cs="Calibri" w:hint="eastAsia"/>
          <w:lang w:eastAsia="zh-CN"/>
        </w:rPr>
        <w:t>由于数据质量差，提交审计的财务报表还存在重大错误和不确定性。我们在审计中发现了许多历史交易，包括货币重新估值的处理方法不一致，没有适当入账，预付款和其他应收账款被视为资产，但已无法回收，也没有减值</w:t>
      </w:r>
      <w:r w:rsidR="00AA2081">
        <w:rPr>
          <w:rFonts w:ascii="Calibri" w:eastAsia="SimSun" w:hAnsi="Calibri" w:cs="Calibri" w:hint="eastAsia"/>
          <w:lang w:eastAsia="zh-CN"/>
        </w:rPr>
        <w:t>；</w:t>
      </w:r>
      <w:r w:rsidR="0023535C" w:rsidRPr="00AA2081">
        <w:rPr>
          <w:rFonts w:ascii="Calibri" w:eastAsia="SimSun" w:hAnsi="Calibri" w:cs="Calibri" w:hint="eastAsia"/>
          <w:lang w:eastAsia="zh-CN"/>
        </w:rPr>
        <w:t>及</w:t>
      </w:r>
    </w:p>
    <w:p w14:paraId="20FCB8FC" w14:textId="01CB87BB" w:rsidR="00046AD5" w:rsidRDefault="003C0ED8" w:rsidP="003C0ED8">
      <w:pPr>
        <w:pStyle w:val="Bullet"/>
        <w:numPr>
          <w:ilvl w:val="0"/>
          <w:numId w:val="0"/>
        </w:numPr>
        <w:ind w:left="499"/>
        <w:rPr>
          <w:lang w:eastAsia="zh-CN"/>
        </w:rPr>
      </w:pPr>
      <w:r w:rsidRPr="00AA2081">
        <w:rPr>
          <w:rFonts w:ascii="Calibri" w:eastAsia="SimSun" w:hAnsi="Calibri" w:cs="Calibri"/>
          <w:lang w:eastAsia="zh-CN"/>
        </w:rPr>
        <w:t>•</w:t>
      </w:r>
      <w:r w:rsidRPr="00AA2081">
        <w:rPr>
          <w:rFonts w:ascii="Calibri" w:eastAsia="SimSun" w:hAnsi="Calibri" w:cs="Calibri"/>
          <w:lang w:eastAsia="zh-CN"/>
        </w:rPr>
        <w:tab/>
      </w:r>
      <w:r w:rsidR="0023535C" w:rsidRPr="00AA2081">
        <w:rPr>
          <w:rFonts w:ascii="Calibri" w:eastAsia="SimSun" w:hAnsi="Calibri" w:cs="Calibri" w:hint="eastAsia"/>
          <w:lang w:eastAsia="zh-CN"/>
        </w:rPr>
        <w:t>自</w:t>
      </w:r>
      <w:r w:rsidR="0023535C" w:rsidRPr="00AA2081">
        <w:rPr>
          <w:rFonts w:ascii="Calibri" w:eastAsia="SimSun" w:hAnsi="Calibri" w:cs="Calibri"/>
          <w:lang w:eastAsia="zh-CN"/>
        </w:rPr>
        <w:t>2010</w:t>
      </w:r>
      <w:r w:rsidR="0023535C" w:rsidRPr="00AA2081">
        <w:rPr>
          <w:rFonts w:ascii="Calibri" w:eastAsia="SimSun" w:hAnsi="Calibri" w:cs="Calibri"/>
          <w:lang w:eastAsia="zh-CN"/>
        </w:rPr>
        <w:t>年实施</w:t>
      </w:r>
      <w:r w:rsidR="0023535C" w:rsidRPr="00AA2081">
        <w:rPr>
          <w:rFonts w:ascii="Calibri" w:eastAsia="SimSun" w:hAnsi="Calibri" w:cs="Calibri"/>
          <w:lang w:eastAsia="zh-CN"/>
        </w:rPr>
        <w:t>IPSAS</w:t>
      </w:r>
      <w:r w:rsidR="0023535C" w:rsidRPr="00AA2081">
        <w:rPr>
          <w:rFonts w:ascii="Calibri" w:eastAsia="SimSun" w:hAnsi="Calibri" w:cs="Calibri"/>
          <w:lang w:eastAsia="zh-CN"/>
        </w:rPr>
        <w:t>以来，国际电联财务报表未发生任何变化。我们根据</w:t>
      </w:r>
      <w:r w:rsidR="0023535C" w:rsidRPr="00AA2081">
        <w:rPr>
          <w:rFonts w:ascii="Calibri" w:eastAsia="SimSun" w:hAnsi="Calibri" w:cs="Calibri" w:hint="eastAsia"/>
          <w:lang w:eastAsia="zh-CN"/>
        </w:rPr>
        <w:t>准则</w:t>
      </w:r>
      <w:r w:rsidR="0023535C" w:rsidRPr="00AA2081">
        <w:rPr>
          <w:rFonts w:ascii="Calibri" w:eastAsia="SimSun" w:hAnsi="Calibri" w:cs="Calibri"/>
          <w:lang w:eastAsia="zh-CN"/>
        </w:rPr>
        <w:t>的要求对披露和列报进行了详细审查，并发现了重大缺陷</w:t>
      </w:r>
      <w:r w:rsidR="0023535C" w:rsidRPr="00AA2081">
        <w:rPr>
          <w:rFonts w:ascii="Calibri" w:eastAsia="SimSun" w:hAnsi="Calibri" w:cs="Calibri" w:hint="eastAsia"/>
          <w:lang w:eastAsia="zh-CN"/>
        </w:rPr>
        <w:t>。</w:t>
      </w:r>
    </w:p>
    <w:p w14:paraId="1A515E3C" w14:textId="40E73E73"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11</w:t>
      </w:r>
      <w:r w:rsidRPr="00530F60">
        <w:rPr>
          <w:rFonts w:ascii="Calibri" w:hAnsi="Calibri" w:cs="Calibri"/>
          <w:lang w:eastAsia="zh-CN"/>
        </w:rPr>
        <w:tab/>
      </w:r>
      <w:r w:rsidR="00FB36A7" w:rsidRPr="00530F60">
        <w:rPr>
          <w:rFonts w:ascii="Calibri" w:hAnsi="Calibri" w:cs="Calibri" w:hint="eastAsia"/>
          <w:lang w:eastAsia="zh-CN"/>
        </w:rPr>
        <w:t>我们建议秘书长对我们的审计意见进行反思；除了已发现的错报外，还要考虑我们审查结果的更广泛影响。发现的大多数问题都与前几年有关，我们注意到，由于</w:t>
      </w:r>
      <w:r w:rsidR="00FB36A7" w:rsidRPr="00530F60">
        <w:rPr>
          <w:rFonts w:ascii="Calibri" w:hAnsi="Calibri" w:cs="Calibri" w:hint="eastAsia"/>
          <w:lang w:eastAsia="zh-CN"/>
        </w:rPr>
        <w:t>IPSAS</w:t>
      </w:r>
      <w:r w:rsidR="00FB36A7" w:rsidRPr="00530F60">
        <w:rPr>
          <w:rFonts w:ascii="Calibri" w:hAnsi="Calibri" w:cs="Calibri" w:hint="eastAsia"/>
          <w:lang w:eastAsia="zh-CN"/>
        </w:rPr>
        <w:t>要求重报前一年的财务结果，秘书处有机会反思是否有其他历史判断或会计处理方法应予以审查。</w:t>
      </w:r>
    </w:p>
    <w:p w14:paraId="3E98F099" w14:textId="4C933DED"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12</w:t>
      </w:r>
      <w:r w:rsidRPr="00530F60">
        <w:rPr>
          <w:rFonts w:ascii="Calibri" w:hAnsi="Calibri" w:cs="Calibri"/>
          <w:lang w:eastAsia="zh-CN"/>
        </w:rPr>
        <w:tab/>
      </w:r>
      <w:r w:rsidR="000D46A1" w:rsidRPr="00530F60">
        <w:rPr>
          <w:rFonts w:ascii="Calibri" w:hAnsi="Calibri" w:cs="Calibri" w:hint="eastAsia"/>
          <w:lang w:eastAsia="zh-CN"/>
        </w:rPr>
        <w:t>2023</w:t>
      </w:r>
      <w:r w:rsidR="000D46A1" w:rsidRPr="00530F60">
        <w:rPr>
          <w:rFonts w:ascii="Calibri" w:hAnsi="Calibri" w:cs="Calibri" w:hint="eastAsia"/>
          <w:lang w:eastAsia="zh-CN"/>
        </w:rPr>
        <w:t>年</w:t>
      </w:r>
      <w:r w:rsidR="000D46A1" w:rsidRPr="00530F60">
        <w:rPr>
          <w:rFonts w:ascii="Calibri" w:hAnsi="Calibri" w:cs="Calibri" w:hint="eastAsia"/>
          <w:lang w:eastAsia="zh-CN"/>
        </w:rPr>
        <w:t>8</w:t>
      </w:r>
      <w:r w:rsidR="000D46A1" w:rsidRPr="00530F60">
        <w:rPr>
          <w:rFonts w:ascii="Calibri" w:hAnsi="Calibri" w:cs="Calibri" w:hint="eastAsia"/>
          <w:lang w:eastAsia="zh-CN"/>
        </w:rPr>
        <w:t>月中旬，国际电联提交了一套经修订的财务报表。辅助工作文件不足以核对两个版本的财务报表。因此，无法根据我们的审计结果将所做的改动与预期的改动相一致。此外，我们还发现，修订版中仍存在重大错误，从原始记录到财务报表的</w:t>
      </w:r>
      <w:r w:rsidR="006A2EED" w:rsidRPr="00530F60">
        <w:rPr>
          <w:rFonts w:ascii="Calibri" w:hAnsi="Calibri" w:cs="Calibri" w:hint="eastAsia"/>
          <w:lang w:eastAsia="zh-CN"/>
        </w:rPr>
        <w:t>审核跟踪</w:t>
      </w:r>
      <w:r w:rsidR="000D46A1" w:rsidRPr="00530F60">
        <w:rPr>
          <w:rFonts w:ascii="Calibri" w:hAnsi="Calibri" w:cs="Calibri" w:hint="eastAsia"/>
          <w:lang w:eastAsia="zh-CN"/>
        </w:rPr>
        <w:t>不充分且缺乏完整性。</w:t>
      </w:r>
      <w:r w:rsidR="006A2EED" w:rsidRPr="00530F60">
        <w:rPr>
          <w:rFonts w:ascii="Calibri" w:hAnsi="Calibri" w:cs="Calibri" w:hint="eastAsia"/>
          <w:lang w:eastAsia="zh-CN"/>
        </w:rPr>
        <w:t>同样，</w:t>
      </w:r>
      <w:r w:rsidR="000D46A1" w:rsidRPr="00530F60">
        <w:rPr>
          <w:rFonts w:ascii="Calibri" w:hAnsi="Calibri" w:cs="Calibri" w:hint="eastAsia"/>
          <w:lang w:eastAsia="zh-CN"/>
        </w:rPr>
        <w:t>这些报表在提交审计之前也没有经过充分的管理审查。国际电联低估了为使财务报表达到可审计质量所需的补救工作水平。</w:t>
      </w:r>
    </w:p>
    <w:p w14:paraId="0C52FE65" w14:textId="5F620DB8"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13</w:t>
      </w:r>
      <w:r w:rsidRPr="00530F60">
        <w:rPr>
          <w:rFonts w:ascii="Calibri" w:hAnsi="Calibri" w:cs="Calibri"/>
          <w:lang w:eastAsia="zh-CN"/>
        </w:rPr>
        <w:tab/>
      </w:r>
      <w:r w:rsidR="002C0F04" w:rsidRPr="00530F60">
        <w:rPr>
          <w:rFonts w:ascii="Calibri" w:hAnsi="Calibri" w:cs="Calibri" w:hint="eastAsia"/>
          <w:lang w:eastAsia="zh-CN"/>
        </w:rPr>
        <w:t>在顾问的协助下，国际电联继续解决其财务报表中的</w:t>
      </w:r>
      <w:r w:rsidR="00BB0F81" w:rsidRPr="00530F60">
        <w:rPr>
          <w:rFonts w:ascii="Calibri" w:hAnsi="Calibri" w:cs="Calibri" w:hint="eastAsia"/>
          <w:lang w:eastAsia="zh-CN"/>
        </w:rPr>
        <w:t>基本</w:t>
      </w:r>
      <w:r w:rsidR="002C0F04" w:rsidRPr="00530F60">
        <w:rPr>
          <w:rFonts w:ascii="Calibri" w:hAnsi="Calibri" w:cs="Calibri" w:hint="eastAsia"/>
          <w:lang w:eastAsia="zh-CN"/>
        </w:rPr>
        <w:t>问题，</w:t>
      </w:r>
      <w:r w:rsidR="00BB0F81" w:rsidRPr="00530F60">
        <w:rPr>
          <w:rFonts w:ascii="Calibri" w:hAnsi="Calibri" w:cs="Calibri" w:hint="eastAsia"/>
          <w:lang w:eastAsia="zh-CN"/>
        </w:rPr>
        <w:t>虽然</w:t>
      </w:r>
      <w:r w:rsidR="002C0F04" w:rsidRPr="00530F60">
        <w:rPr>
          <w:rFonts w:ascii="Calibri" w:hAnsi="Calibri" w:cs="Calibri" w:hint="eastAsia"/>
          <w:lang w:eastAsia="zh-CN"/>
        </w:rPr>
        <w:t>所有</w:t>
      </w:r>
      <w:r w:rsidR="00BB0F81" w:rsidRPr="00530F60">
        <w:rPr>
          <w:rFonts w:ascii="Calibri" w:hAnsi="Calibri" w:cs="Calibri" w:hint="eastAsia"/>
          <w:lang w:eastAsia="zh-CN"/>
        </w:rPr>
        <w:t>问题</w:t>
      </w:r>
      <w:r w:rsidR="002C0F04" w:rsidRPr="00530F60">
        <w:rPr>
          <w:rFonts w:ascii="Calibri" w:hAnsi="Calibri" w:cs="Calibri" w:hint="eastAsia"/>
          <w:lang w:eastAsia="zh-CN"/>
        </w:rPr>
        <w:t>未得到</w:t>
      </w:r>
      <w:r w:rsidR="00BB0F81" w:rsidRPr="00530F60">
        <w:rPr>
          <w:rFonts w:ascii="Calibri" w:hAnsi="Calibri" w:cs="Calibri" w:hint="eastAsia"/>
          <w:lang w:eastAsia="zh-CN"/>
        </w:rPr>
        <w:t>充分</w:t>
      </w:r>
      <w:r w:rsidR="002C0F04" w:rsidRPr="00530F60">
        <w:rPr>
          <w:rFonts w:ascii="Calibri" w:hAnsi="Calibri" w:cs="Calibri" w:hint="eastAsia"/>
          <w:lang w:eastAsia="zh-CN"/>
        </w:rPr>
        <w:t>解决，但在</w:t>
      </w:r>
      <w:r w:rsidR="002C0F04" w:rsidRPr="00530F60">
        <w:rPr>
          <w:rFonts w:ascii="Calibri" w:hAnsi="Calibri" w:cs="Calibri" w:hint="eastAsia"/>
          <w:lang w:eastAsia="zh-CN"/>
        </w:rPr>
        <w:t>2023</w:t>
      </w:r>
      <w:r w:rsidR="002C0F04" w:rsidRPr="00530F60">
        <w:rPr>
          <w:rFonts w:ascii="Calibri" w:hAnsi="Calibri" w:cs="Calibri" w:hint="eastAsia"/>
          <w:lang w:eastAsia="zh-CN"/>
        </w:rPr>
        <w:t>年</w:t>
      </w:r>
      <w:r w:rsidR="002C0F04" w:rsidRPr="00530F60">
        <w:rPr>
          <w:rFonts w:ascii="Calibri" w:hAnsi="Calibri" w:cs="Calibri" w:hint="eastAsia"/>
          <w:lang w:eastAsia="zh-CN"/>
        </w:rPr>
        <w:t>11</w:t>
      </w:r>
      <w:r w:rsidR="002C0F04" w:rsidRPr="00530F60">
        <w:rPr>
          <w:rFonts w:ascii="Calibri" w:hAnsi="Calibri" w:cs="Calibri" w:hint="eastAsia"/>
          <w:lang w:eastAsia="zh-CN"/>
        </w:rPr>
        <w:t>月中旬提交审计的版本中已进行了实质性纠正。</w:t>
      </w:r>
      <w:r w:rsidR="002C0F04" w:rsidRPr="00530F60">
        <w:rPr>
          <w:rFonts w:ascii="Calibri" w:hAnsi="Calibri" w:cs="Calibri" w:hint="eastAsia"/>
          <w:lang w:eastAsia="zh-CN"/>
        </w:rPr>
        <w:t xml:space="preserve"> </w:t>
      </w:r>
      <w:r w:rsidR="00BB0F81" w:rsidRPr="00530F60">
        <w:rPr>
          <w:rFonts w:ascii="Calibri" w:hAnsi="Calibri" w:cs="Calibri" w:hint="eastAsia"/>
          <w:lang w:eastAsia="zh-CN"/>
        </w:rPr>
        <w:t>审核</w:t>
      </w:r>
      <w:r w:rsidR="002C0F04" w:rsidRPr="00530F60">
        <w:rPr>
          <w:rFonts w:ascii="Calibri" w:hAnsi="Calibri" w:cs="Calibri" w:hint="eastAsia"/>
          <w:lang w:eastAsia="zh-CN"/>
        </w:rPr>
        <w:t>跟踪</w:t>
      </w:r>
      <w:r w:rsidR="00BB0F81" w:rsidRPr="00530F60">
        <w:rPr>
          <w:rFonts w:ascii="Calibri" w:hAnsi="Calibri" w:cs="Calibri" w:hint="eastAsia"/>
          <w:lang w:eastAsia="zh-CN"/>
        </w:rPr>
        <w:t>并非一清二楚</w:t>
      </w:r>
      <w:r w:rsidR="002C0F04" w:rsidRPr="00530F60">
        <w:rPr>
          <w:rFonts w:ascii="Calibri" w:hAnsi="Calibri" w:cs="Calibri" w:hint="eastAsia"/>
          <w:lang w:eastAsia="zh-CN"/>
        </w:rPr>
        <w:t>，</w:t>
      </w:r>
      <w:r w:rsidR="00BB0F81" w:rsidRPr="00530F60">
        <w:rPr>
          <w:rFonts w:ascii="Calibri" w:hAnsi="Calibri" w:cs="Calibri" w:hint="eastAsia"/>
          <w:lang w:eastAsia="zh-CN"/>
        </w:rPr>
        <w:t>有必要多次审查财务报表的许多方面，这样做效率低下，消耗的审计资源远远超过预期。还发现了更多问题，管理层本应在审查财务报表时解决这些问题。不过，到</w:t>
      </w:r>
      <w:r w:rsidR="00BB0F81" w:rsidRPr="00530F60">
        <w:rPr>
          <w:rFonts w:ascii="Calibri" w:hAnsi="Calibri" w:cs="Calibri" w:hint="eastAsia"/>
          <w:lang w:eastAsia="zh-CN"/>
        </w:rPr>
        <w:t>12</w:t>
      </w:r>
      <w:r w:rsidR="00BB0F81" w:rsidRPr="00530F60">
        <w:rPr>
          <w:rFonts w:ascii="Calibri" w:hAnsi="Calibri" w:cs="Calibri" w:hint="eastAsia"/>
          <w:lang w:eastAsia="zh-CN"/>
        </w:rPr>
        <w:t>月中旬，管理层解决了所有重大问题，使审计工作得以进入结束阶段。</w:t>
      </w:r>
    </w:p>
    <w:p w14:paraId="66F60FE0" w14:textId="103B0BC8"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14</w:t>
      </w:r>
      <w:r w:rsidRPr="00530F60">
        <w:rPr>
          <w:rFonts w:ascii="Calibri" w:hAnsi="Calibri" w:cs="Calibri"/>
          <w:lang w:eastAsia="zh-CN"/>
        </w:rPr>
        <w:tab/>
      </w:r>
      <w:r w:rsidR="003410C5" w:rsidRPr="00530F60">
        <w:rPr>
          <w:rFonts w:ascii="Calibri" w:hAnsi="Calibri" w:cs="Calibri" w:hint="eastAsia"/>
          <w:lang w:eastAsia="zh-CN"/>
        </w:rPr>
        <w:t>国际电联尚未证明其有能力提供高质量的财务报告和基础记录，以支持有效的审计。因此，我们敦促秘书长实事求是地</w:t>
      </w:r>
      <w:r w:rsidR="000D570D" w:rsidRPr="00530F60">
        <w:rPr>
          <w:rFonts w:ascii="Calibri" w:hAnsi="Calibri" w:cs="Calibri" w:hint="eastAsia"/>
          <w:lang w:eastAsia="zh-CN"/>
        </w:rPr>
        <w:t>对交付</w:t>
      </w:r>
      <w:r w:rsidR="003410C5" w:rsidRPr="00530F60">
        <w:rPr>
          <w:rFonts w:ascii="Calibri" w:hAnsi="Calibri" w:cs="Calibri" w:hint="eastAsia"/>
          <w:lang w:eastAsia="zh-CN"/>
        </w:rPr>
        <w:t>2023</w:t>
      </w:r>
      <w:r w:rsidR="003410C5" w:rsidRPr="00530F60">
        <w:rPr>
          <w:rFonts w:ascii="Calibri" w:hAnsi="Calibri" w:cs="Calibri" w:hint="eastAsia"/>
          <w:lang w:eastAsia="zh-CN"/>
        </w:rPr>
        <w:t>年财务报表</w:t>
      </w:r>
      <w:r w:rsidR="000D570D" w:rsidRPr="00530F60">
        <w:rPr>
          <w:rFonts w:ascii="Calibri" w:hAnsi="Calibri" w:cs="Calibri" w:hint="eastAsia"/>
          <w:lang w:eastAsia="zh-CN"/>
        </w:rPr>
        <w:t>做出规划</w:t>
      </w:r>
      <w:r w:rsidR="003410C5" w:rsidRPr="00530F60">
        <w:rPr>
          <w:rFonts w:ascii="Calibri" w:hAnsi="Calibri" w:cs="Calibri" w:hint="eastAsia"/>
          <w:lang w:eastAsia="zh-CN"/>
        </w:rPr>
        <w:t>，并管理成员的预期</w:t>
      </w:r>
      <w:r w:rsidR="000D570D" w:rsidRPr="00530F60">
        <w:rPr>
          <w:rFonts w:ascii="Calibri" w:hAnsi="Calibri" w:cs="Calibri" w:hint="eastAsia"/>
          <w:lang w:eastAsia="zh-CN"/>
        </w:rPr>
        <w:t>，安排好报告这些报表的时间</w:t>
      </w:r>
      <w:r w:rsidR="003410C5" w:rsidRPr="00530F60">
        <w:rPr>
          <w:rFonts w:ascii="Calibri" w:hAnsi="Calibri" w:cs="Calibri" w:hint="eastAsia"/>
          <w:lang w:eastAsia="zh-CN"/>
        </w:rPr>
        <w:t>。国际电联的运作环境和内部能力在</w:t>
      </w:r>
      <w:r w:rsidR="003410C5" w:rsidRPr="00530F60">
        <w:rPr>
          <w:rFonts w:ascii="Calibri" w:hAnsi="Calibri" w:cs="Calibri" w:hint="eastAsia"/>
          <w:lang w:eastAsia="zh-CN"/>
        </w:rPr>
        <w:t>2023</w:t>
      </w:r>
      <w:r w:rsidR="003410C5" w:rsidRPr="00530F60">
        <w:rPr>
          <w:rFonts w:ascii="Calibri" w:hAnsi="Calibri" w:cs="Calibri" w:hint="eastAsia"/>
          <w:lang w:eastAsia="zh-CN"/>
        </w:rPr>
        <w:t>年没有改变，因此，报表的列报和审计所需的辅助信息将仍然具有挑战性，并依赖于使用昂贵的外部顾问。</w:t>
      </w:r>
    </w:p>
    <w:p w14:paraId="08CC0482" w14:textId="156845BE"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lastRenderedPageBreak/>
        <w:t>15</w:t>
      </w:r>
      <w:r w:rsidRPr="00530F60">
        <w:rPr>
          <w:rFonts w:ascii="Calibri" w:hAnsi="Calibri" w:cs="Calibri"/>
          <w:lang w:eastAsia="zh-CN"/>
        </w:rPr>
        <w:tab/>
      </w:r>
      <w:r w:rsidR="004D7899" w:rsidRPr="00530F60">
        <w:rPr>
          <w:rFonts w:ascii="Calibri" w:hAnsi="Calibri" w:cs="Calibri" w:hint="eastAsia"/>
          <w:lang w:eastAsia="zh-CN"/>
        </w:rPr>
        <w:t>我们认为，</w:t>
      </w:r>
      <w:r w:rsidR="004D7899" w:rsidRPr="00530F60">
        <w:rPr>
          <w:rFonts w:ascii="Calibri" w:hAnsi="Calibri" w:cs="Calibri" w:hint="eastAsia"/>
          <w:lang w:eastAsia="zh-CN"/>
        </w:rPr>
        <w:t>2023</w:t>
      </w:r>
      <w:r w:rsidR="004D7899" w:rsidRPr="00530F60">
        <w:rPr>
          <w:rFonts w:ascii="Calibri" w:hAnsi="Calibri" w:cs="Calibri" w:hint="eastAsia"/>
          <w:lang w:eastAsia="zh-CN"/>
        </w:rPr>
        <w:t>年的计划仍不现实，无法提供必要质量的财务报表。国际电联需要大幅提高其财务报告能力，这涉及实施流程、控制和最佳做法，以确保财务信息准确、透明、可靠和高效。一旦以上措施到位，国际电联就可以回到编制财务报表的更为正常的时间表。根据我们在类似组织的经验，这些改进措施的交付和到位不可能在一个周期内实现。重要的是要采取有节奏的方式来建设能力、提高质量和交付效率，以确保改进到位及其可持续性。</w:t>
      </w:r>
    </w:p>
    <w:p w14:paraId="15D59392" w14:textId="5F417B3D" w:rsidR="00046AD5" w:rsidRDefault="003C0ED8" w:rsidP="003C0ED8">
      <w:pPr>
        <w:pStyle w:val="MainTextNumbered"/>
        <w:numPr>
          <w:ilvl w:val="0"/>
          <w:numId w:val="0"/>
        </w:numPr>
        <w:tabs>
          <w:tab w:val="clear" w:pos="1080"/>
        </w:tabs>
        <w:rPr>
          <w:lang w:eastAsia="zh-CN"/>
        </w:rPr>
      </w:pPr>
      <w:r w:rsidRPr="00530F60">
        <w:rPr>
          <w:rFonts w:ascii="Calibri" w:hAnsi="Calibri" w:cs="Calibri"/>
          <w:b/>
          <w:bCs/>
          <w:lang w:eastAsia="zh-CN"/>
        </w:rPr>
        <w:t>16</w:t>
      </w:r>
      <w:r w:rsidRPr="00530F60">
        <w:rPr>
          <w:rFonts w:ascii="Calibri" w:hAnsi="Calibri" w:cs="Calibri"/>
          <w:lang w:eastAsia="zh-CN"/>
        </w:rPr>
        <w:tab/>
      </w:r>
      <w:r w:rsidR="00181154" w:rsidRPr="00530F60">
        <w:rPr>
          <w:rFonts w:ascii="Calibri" w:hAnsi="Calibri" w:cs="Calibri" w:hint="eastAsia"/>
          <w:lang w:eastAsia="zh-CN"/>
        </w:rPr>
        <w:t>财务报表附注</w:t>
      </w:r>
      <w:r w:rsidR="00181154" w:rsidRPr="00530F60">
        <w:rPr>
          <w:rFonts w:ascii="Calibri" w:hAnsi="Calibri" w:cs="Calibri" w:hint="eastAsia"/>
          <w:lang w:eastAsia="zh-CN"/>
        </w:rPr>
        <w:t>30</w:t>
      </w:r>
      <w:r w:rsidR="00181154" w:rsidRPr="00530F60">
        <w:rPr>
          <w:rFonts w:ascii="Calibri" w:hAnsi="Calibri" w:cs="Calibri" w:hint="eastAsia"/>
          <w:lang w:eastAsia="zh-CN"/>
        </w:rPr>
        <w:t>反映了纠正历史错误和不当会计政策对以前财务报表的影响。根据报告准则的要求，本附注说明了对以前发布的财务报表所做调整的影响。我们已与</w:t>
      </w:r>
      <w:r w:rsidR="00181154" w:rsidRPr="00530F60">
        <w:rPr>
          <w:rFonts w:ascii="Calibri" w:hAnsi="Calibri" w:cs="Calibri" w:hint="eastAsia"/>
          <w:lang w:eastAsia="zh-CN"/>
        </w:rPr>
        <w:t>IMAC</w:t>
      </w:r>
      <w:r w:rsidR="00181154" w:rsidRPr="00530F60">
        <w:rPr>
          <w:rFonts w:ascii="Calibri" w:hAnsi="Calibri" w:cs="Calibri" w:hint="eastAsia"/>
          <w:lang w:eastAsia="zh-CN"/>
        </w:rPr>
        <w:t>讨论了本附注的细节。本附注确认了为确保财务报表公允地反映</w:t>
      </w:r>
      <w:r w:rsidR="00181154" w:rsidRPr="00530F60">
        <w:rPr>
          <w:rFonts w:ascii="Calibri" w:hAnsi="Calibri" w:cs="Calibri" w:hint="eastAsia"/>
          <w:lang w:eastAsia="zh-CN"/>
        </w:rPr>
        <w:t>2022</w:t>
      </w:r>
      <w:r w:rsidR="00181154" w:rsidRPr="00530F60">
        <w:rPr>
          <w:rFonts w:ascii="Calibri" w:hAnsi="Calibri" w:cs="Calibri" w:hint="eastAsia"/>
          <w:lang w:eastAsia="zh-CN"/>
        </w:rPr>
        <w:t>年的财务业绩和状况而必须进行的重大修订和重报。在许多经修正的领域，管理层将继续清理和完善基础记录。在编制</w:t>
      </w:r>
      <w:r w:rsidR="00181154" w:rsidRPr="00530F60">
        <w:rPr>
          <w:rFonts w:ascii="Calibri" w:hAnsi="Calibri" w:cs="Calibri" w:hint="eastAsia"/>
          <w:lang w:eastAsia="zh-CN"/>
        </w:rPr>
        <w:t>2023</w:t>
      </w:r>
      <w:r w:rsidR="00181154" w:rsidRPr="00530F60">
        <w:rPr>
          <w:rFonts w:ascii="Calibri" w:hAnsi="Calibri" w:cs="Calibri" w:hint="eastAsia"/>
          <w:lang w:eastAsia="zh-CN"/>
        </w:rPr>
        <w:t>年财务报表之前充分清理和审查这些记录至关重要。</w:t>
      </w:r>
    </w:p>
    <w:p w14:paraId="3D8AFF30" w14:textId="7BC15A73" w:rsidR="00046AD5" w:rsidRPr="00530F60" w:rsidRDefault="00181154" w:rsidP="00046AD5">
      <w:pPr>
        <w:pStyle w:val="MainTextNumbered"/>
        <w:numPr>
          <w:ilvl w:val="0"/>
          <w:numId w:val="0"/>
        </w:numPr>
        <w:rPr>
          <w:rStyle w:val="Bold"/>
          <w:rFonts w:ascii="Calibri" w:hAnsi="Calibri" w:cs="Calibri"/>
          <w:lang w:eastAsia="zh-CN"/>
        </w:rPr>
      </w:pPr>
      <w:r w:rsidRPr="00530F60">
        <w:rPr>
          <w:rStyle w:val="Bold"/>
          <w:rFonts w:ascii="Calibri" w:hAnsi="Calibri" w:cs="Calibri" w:hint="eastAsia"/>
          <w:lang w:eastAsia="zh-CN"/>
        </w:rPr>
        <w:t>国际电联应：</w:t>
      </w:r>
    </w:p>
    <w:p w14:paraId="186CA24A" w14:textId="36646744" w:rsidR="00046AD5" w:rsidRPr="00530F60" w:rsidRDefault="00046AD5" w:rsidP="00046AD5">
      <w:pPr>
        <w:pStyle w:val="KeyFactsStatisticSmall"/>
        <w:rPr>
          <w:rFonts w:ascii="Calibri" w:eastAsia="SimSun" w:hAnsi="Calibri" w:cs="Calibri"/>
          <w:lang w:eastAsia="zh-CN"/>
        </w:rPr>
      </w:pPr>
      <w:r w:rsidRPr="00530F60">
        <w:rPr>
          <w:rFonts w:ascii="Calibri" w:eastAsia="SimSun" w:hAnsi="Calibri" w:cs="Calibri"/>
          <w:lang w:eastAsia="zh-CN"/>
        </w:rPr>
        <w:t>R1</w:t>
      </w:r>
      <w:r w:rsidR="00530F60">
        <w:rPr>
          <w:rFonts w:ascii="Calibri" w:eastAsia="SimSun" w:hAnsi="Calibri" w:cs="Calibri" w:hint="eastAsia"/>
          <w:lang w:eastAsia="zh-CN"/>
        </w:rPr>
        <w:t>：</w:t>
      </w:r>
      <w:r w:rsidR="00181154" w:rsidRPr="00530F60">
        <w:rPr>
          <w:rFonts w:ascii="Calibri" w:eastAsia="SimSun" w:hAnsi="Calibri" w:cs="Calibri" w:hint="eastAsia"/>
          <w:lang w:eastAsia="zh-CN"/>
        </w:rPr>
        <w:t>制定明确的计划，按照切实可行的时间表提供高质量的财务信息和辅助审核跟踪，确保在编制财务报表之前对会计记录的所有方面进行清理和审查。</w:t>
      </w:r>
    </w:p>
    <w:p w14:paraId="1A9AC029" w14:textId="591DD851" w:rsidR="00046AD5" w:rsidRDefault="00046AD5" w:rsidP="00046AD5">
      <w:pPr>
        <w:pStyle w:val="KeyFactsStatisticSmall"/>
        <w:rPr>
          <w:lang w:eastAsia="zh-CN"/>
        </w:rPr>
      </w:pPr>
      <w:r w:rsidRPr="00530F60">
        <w:rPr>
          <w:rFonts w:ascii="Calibri" w:eastAsia="SimSun" w:hAnsi="Calibri" w:cs="Calibri"/>
          <w:lang w:eastAsia="zh-CN"/>
        </w:rPr>
        <w:t>R2</w:t>
      </w:r>
      <w:r w:rsidR="00530F60">
        <w:rPr>
          <w:rFonts w:ascii="Calibri" w:eastAsia="SimSun" w:hAnsi="Calibri" w:cs="Calibri" w:hint="eastAsia"/>
          <w:lang w:eastAsia="zh-CN"/>
        </w:rPr>
        <w:t>：</w:t>
      </w:r>
      <w:r w:rsidR="00181154" w:rsidRPr="00530F60">
        <w:rPr>
          <w:rFonts w:ascii="Calibri" w:eastAsia="SimSun" w:hAnsi="Calibri" w:cs="Calibri" w:hint="eastAsia"/>
          <w:lang w:eastAsia="zh-CN"/>
        </w:rPr>
        <w:t>确保财务报告职能部门拥有适当的资源，能够按计划进行交付。</w:t>
      </w:r>
    </w:p>
    <w:p w14:paraId="3DCA9F1D" w14:textId="1A862032" w:rsidR="00046AD5" w:rsidRPr="00530F60" w:rsidRDefault="00181154" w:rsidP="00530F60">
      <w:pPr>
        <w:pStyle w:val="BodyText"/>
        <w:ind w:firstLineChars="200" w:firstLine="400"/>
        <w:rPr>
          <w:rStyle w:val="Italic"/>
          <w:rFonts w:ascii="Calibri" w:eastAsia="STKaiti" w:hAnsi="Calibri"/>
          <w:i w:val="0"/>
          <w:iCs w:val="0"/>
          <w:lang w:eastAsia="zh-CN"/>
        </w:rPr>
      </w:pPr>
      <w:r w:rsidRPr="00530F60">
        <w:rPr>
          <w:rStyle w:val="Italic"/>
          <w:rFonts w:ascii="Calibri" w:eastAsia="STKaiti" w:hAnsi="Calibri" w:cs="Microsoft YaHei" w:hint="eastAsia"/>
          <w:i w:val="0"/>
          <w:iCs w:val="0"/>
          <w:lang w:eastAsia="zh-CN"/>
        </w:rPr>
        <w:t>管理层接受这些建议，并注意到财务运作报告必须在</w:t>
      </w:r>
      <w:r w:rsidRPr="00530F60">
        <w:rPr>
          <w:rStyle w:val="Italic"/>
          <w:rFonts w:ascii="Calibri" w:eastAsia="STKaiti" w:hAnsi="Calibri" w:hint="eastAsia"/>
          <w:i w:val="0"/>
          <w:iCs w:val="0"/>
          <w:lang w:eastAsia="zh-CN"/>
        </w:rPr>
        <w:t>2024</w:t>
      </w:r>
      <w:r w:rsidRPr="00530F60">
        <w:rPr>
          <w:rStyle w:val="Italic"/>
          <w:rFonts w:ascii="Calibri" w:eastAsia="STKaiti" w:hAnsi="Calibri" w:cs="Microsoft YaHei" w:hint="eastAsia"/>
          <w:i w:val="0"/>
          <w:iCs w:val="0"/>
          <w:lang w:eastAsia="zh-CN"/>
        </w:rPr>
        <w:t>年</w:t>
      </w:r>
      <w:r w:rsidRPr="00530F60">
        <w:rPr>
          <w:rStyle w:val="Italic"/>
          <w:rFonts w:ascii="Calibri" w:eastAsia="STKaiti" w:hAnsi="Calibri" w:hint="eastAsia"/>
          <w:i w:val="0"/>
          <w:iCs w:val="0"/>
          <w:lang w:eastAsia="zh-CN"/>
        </w:rPr>
        <w:t>3</w:t>
      </w:r>
      <w:r w:rsidRPr="00530F60">
        <w:rPr>
          <w:rStyle w:val="Italic"/>
          <w:rFonts w:ascii="Calibri" w:eastAsia="STKaiti" w:hAnsi="Calibri" w:cs="Microsoft YaHei" w:hint="eastAsia"/>
          <w:i w:val="0"/>
          <w:iCs w:val="0"/>
          <w:lang w:eastAsia="zh-CN"/>
        </w:rPr>
        <w:t>月底之前提交，以便</w:t>
      </w:r>
      <w:r w:rsidR="00054646" w:rsidRPr="00530F60">
        <w:rPr>
          <w:rStyle w:val="Italic"/>
          <w:rFonts w:ascii="Calibri" w:eastAsia="STKaiti" w:hAnsi="Calibri" w:cs="Microsoft YaHei" w:hint="eastAsia"/>
          <w:i w:val="0"/>
          <w:iCs w:val="0"/>
          <w:lang w:eastAsia="zh-CN"/>
        </w:rPr>
        <w:t>向</w:t>
      </w:r>
      <w:r w:rsidRPr="00530F60">
        <w:rPr>
          <w:rStyle w:val="Italic"/>
          <w:rFonts w:ascii="Calibri" w:eastAsia="STKaiti" w:hAnsi="Calibri" w:hint="eastAsia"/>
          <w:i w:val="0"/>
          <w:iCs w:val="0"/>
          <w:lang w:eastAsia="zh-CN"/>
        </w:rPr>
        <w:t>2024</w:t>
      </w:r>
      <w:r w:rsidRPr="00530F60">
        <w:rPr>
          <w:rStyle w:val="Italic"/>
          <w:rFonts w:ascii="Calibri" w:eastAsia="STKaiti" w:hAnsi="Calibri" w:cs="Microsoft YaHei" w:hint="eastAsia"/>
          <w:i w:val="0"/>
          <w:iCs w:val="0"/>
          <w:lang w:eastAsia="zh-CN"/>
        </w:rPr>
        <w:t>年</w:t>
      </w:r>
      <w:r w:rsidRPr="00530F60">
        <w:rPr>
          <w:rStyle w:val="Italic"/>
          <w:rFonts w:ascii="Calibri" w:eastAsia="STKaiti" w:hAnsi="Calibri" w:hint="eastAsia"/>
          <w:i w:val="0"/>
          <w:iCs w:val="0"/>
          <w:lang w:eastAsia="zh-CN"/>
        </w:rPr>
        <w:t>6</w:t>
      </w:r>
      <w:r w:rsidRPr="00530F60">
        <w:rPr>
          <w:rStyle w:val="Italic"/>
          <w:rFonts w:ascii="Calibri" w:eastAsia="STKaiti" w:hAnsi="Calibri" w:cs="Microsoft YaHei" w:hint="eastAsia"/>
          <w:i w:val="0"/>
          <w:iCs w:val="0"/>
          <w:lang w:eastAsia="zh-CN"/>
        </w:rPr>
        <w:t>月的理事会会议提供审计意见。为遵守这一时间表，秘书长和副秘书长已着手组建一个任务组，专门负责维持发布符合</w:t>
      </w:r>
      <w:r w:rsidRPr="00530F60">
        <w:rPr>
          <w:rStyle w:val="Italic"/>
          <w:rFonts w:ascii="Calibri" w:eastAsia="STKaiti" w:hAnsi="Calibri" w:cs="Microsoft YaHei" w:hint="eastAsia"/>
          <w:i w:val="0"/>
          <w:iCs w:val="0"/>
          <w:lang w:eastAsia="zh-CN"/>
        </w:rPr>
        <w:t>IPSAS</w:t>
      </w:r>
      <w:r w:rsidRPr="00530F60">
        <w:rPr>
          <w:rStyle w:val="Italic"/>
          <w:rFonts w:ascii="Calibri" w:eastAsia="STKaiti" w:hAnsi="Calibri" w:cs="Microsoft YaHei" w:hint="eastAsia"/>
          <w:i w:val="0"/>
          <w:iCs w:val="0"/>
          <w:lang w:eastAsia="zh-CN"/>
        </w:rPr>
        <w:t>的财务报表的进度。执行管理层得出结论认为，实现这一目标的最有效</w:t>
      </w:r>
      <w:r w:rsidR="00054646" w:rsidRPr="00530F60">
        <w:rPr>
          <w:rStyle w:val="Italic"/>
          <w:rFonts w:ascii="Calibri" w:eastAsia="STKaiti" w:hAnsi="Calibri" w:cs="Microsoft YaHei" w:hint="eastAsia"/>
          <w:i w:val="0"/>
          <w:iCs w:val="0"/>
          <w:lang w:eastAsia="zh-CN"/>
        </w:rPr>
        <w:t>方式</w:t>
      </w:r>
      <w:r w:rsidRPr="00530F60">
        <w:rPr>
          <w:rStyle w:val="Italic"/>
          <w:rFonts w:ascii="Calibri" w:eastAsia="STKaiti" w:hAnsi="Calibri" w:cs="Microsoft YaHei" w:hint="eastAsia"/>
          <w:i w:val="0"/>
          <w:iCs w:val="0"/>
          <w:lang w:eastAsia="zh-CN"/>
        </w:rPr>
        <w:t>是在短期内聘请外部顾问，同时启动</w:t>
      </w:r>
      <w:r w:rsidR="00054646" w:rsidRPr="00530F60">
        <w:rPr>
          <w:rStyle w:val="Italic"/>
          <w:rFonts w:ascii="Calibri" w:eastAsia="STKaiti" w:hAnsi="Calibri" w:cs="Microsoft YaHei" w:hint="eastAsia"/>
          <w:i w:val="0"/>
          <w:iCs w:val="0"/>
          <w:lang w:eastAsia="zh-CN"/>
        </w:rPr>
        <w:t>招聘程序</w:t>
      </w:r>
      <w:r w:rsidRPr="00530F60">
        <w:rPr>
          <w:rStyle w:val="Italic"/>
          <w:rFonts w:ascii="Calibri" w:eastAsia="STKaiti" w:hAnsi="Calibri" w:cs="Microsoft YaHei" w:hint="eastAsia"/>
          <w:i w:val="0"/>
          <w:iCs w:val="0"/>
          <w:lang w:eastAsia="zh-CN"/>
        </w:rPr>
        <w:t>，以便在未来几年让国际电联负责这一职能的工作人员入职。</w:t>
      </w:r>
    </w:p>
    <w:p w14:paraId="2146FA8C" w14:textId="62F9A4AE" w:rsidR="00046AD5" w:rsidRDefault="00046AD5" w:rsidP="00046AD5">
      <w:pPr>
        <w:pStyle w:val="Heading3"/>
        <w:rPr>
          <w:i w:val="0"/>
          <w:lang w:eastAsia="zh-CN"/>
        </w:rPr>
      </w:pPr>
      <w:r w:rsidRPr="003C0ED8">
        <w:rPr>
          <w:rFonts w:ascii="SimSun" w:hAnsi="SimSun" w:hint="eastAsia"/>
          <w:i w:val="0"/>
          <w:iCs/>
          <w:lang w:eastAsia="zh-CN"/>
        </w:rPr>
        <w:t>财务运作报告</w:t>
      </w:r>
    </w:p>
    <w:p w14:paraId="3B068CA0" w14:textId="1BA1F02F"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17</w:t>
      </w:r>
      <w:r w:rsidRPr="00530F60">
        <w:rPr>
          <w:rFonts w:ascii="Calibri" w:hAnsi="Calibri" w:cs="Calibri"/>
          <w:lang w:eastAsia="zh-CN"/>
        </w:rPr>
        <w:tab/>
      </w:r>
      <w:r w:rsidR="00B578DE" w:rsidRPr="00530F60">
        <w:rPr>
          <w:rFonts w:ascii="Calibri" w:hAnsi="Calibri" w:cs="Calibri" w:hint="eastAsia"/>
          <w:lang w:eastAsia="zh-CN"/>
        </w:rPr>
        <w:t>财务运作报告概述了国际电联</w:t>
      </w:r>
      <w:r w:rsidR="00B578DE" w:rsidRPr="00530F60">
        <w:rPr>
          <w:rFonts w:ascii="Calibri" w:hAnsi="Calibri" w:cs="Calibri" w:hint="eastAsia"/>
          <w:lang w:eastAsia="zh-CN"/>
        </w:rPr>
        <w:t>2022</w:t>
      </w:r>
      <w:r w:rsidR="00B578DE" w:rsidRPr="00530F60">
        <w:rPr>
          <w:rFonts w:ascii="Calibri" w:hAnsi="Calibri" w:cs="Calibri" w:hint="eastAsia"/>
          <w:lang w:eastAsia="zh-CN"/>
        </w:rPr>
        <w:t>年的财务业绩和状况。尽管这些信息与报告结果基本一致，但仍有更多机会利用该报告在介绍所报告业绩的同时，丰富提供给成员的信息。我们认为，该报告应更侧重于财务趋势以及国际电联如何管理财务风险。我们还注意到，对成果以及在此期间的支出和取得的成就所作的分析有限。成员需要对财务报表进行公平、平衡的评</w:t>
      </w:r>
      <w:r w:rsidR="00EB039C" w:rsidRPr="00530F60">
        <w:rPr>
          <w:rFonts w:ascii="Calibri" w:hAnsi="Calibri" w:cs="Calibri" w:hint="eastAsia"/>
          <w:lang w:eastAsia="zh-CN"/>
        </w:rPr>
        <w:t>注</w:t>
      </w:r>
      <w:r w:rsidR="00B578DE" w:rsidRPr="00530F60">
        <w:rPr>
          <w:rFonts w:ascii="Calibri" w:hAnsi="Calibri" w:cs="Calibri" w:hint="eastAsia"/>
          <w:lang w:eastAsia="zh-CN"/>
        </w:rPr>
        <w:t>，并全面展现组织的整体业绩、财务健康状况和所用资源产生的主要成果。</w:t>
      </w:r>
    </w:p>
    <w:p w14:paraId="054D9FB5" w14:textId="5C58CF35" w:rsidR="00046AD5" w:rsidRPr="00530F60" w:rsidRDefault="003C0ED8"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18</w:t>
      </w:r>
      <w:r w:rsidRPr="00530F60">
        <w:rPr>
          <w:rFonts w:ascii="Calibri" w:hAnsi="Calibri" w:cs="Calibri"/>
          <w:lang w:eastAsia="zh-CN"/>
        </w:rPr>
        <w:tab/>
      </w:r>
      <w:r w:rsidR="00EB039C" w:rsidRPr="00530F60">
        <w:rPr>
          <w:rFonts w:ascii="Calibri" w:hAnsi="Calibri" w:cs="Calibri" w:hint="eastAsia"/>
          <w:lang w:eastAsia="zh-CN"/>
        </w:rPr>
        <w:t>在更广泛的联合国系统内，人们更加注重使用这种类型的评注来说明资源的使用情况。随着资源捉襟见肘，对各成员来说，了解本组织面临的动向和财务压力以及国际电联如何应对和灵活适应资源配备情况，越来越重要。这将有助于支持问责制，因为将资源与成果联系起来得到更好的信息可以支持各成员改进财务决策。</w:t>
      </w:r>
    </w:p>
    <w:p w14:paraId="0DF4A478" w14:textId="1F8B92FF" w:rsidR="00046AD5" w:rsidRDefault="003C0ED8" w:rsidP="003C0ED8">
      <w:pPr>
        <w:pStyle w:val="MainTextNumbered"/>
        <w:numPr>
          <w:ilvl w:val="0"/>
          <w:numId w:val="0"/>
        </w:numPr>
        <w:tabs>
          <w:tab w:val="clear" w:pos="1080"/>
        </w:tabs>
        <w:rPr>
          <w:lang w:eastAsia="zh-CN"/>
        </w:rPr>
      </w:pPr>
      <w:r w:rsidRPr="00530F60">
        <w:rPr>
          <w:rFonts w:ascii="Calibri" w:hAnsi="Calibri" w:cs="Calibri"/>
          <w:b/>
          <w:bCs/>
          <w:lang w:eastAsia="zh-CN"/>
        </w:rPr>
        <w:t>19</w:t>
      </w:r>
      <w:r w:rsidRPr="00530F60">
        <w:rPr>
          <w:rFonts w:ascii="Calibri" w:hAnsi="Calibri" w:cs="Calibri"/>
          <w:lang w:eastAsia="zh-CN"/>
        </w:rPr>
        <w:tab/>
      </w:r>
      <w:r w:rsidR="00EB039C" w:rsidRPr="00530F60">
        <w:rPr>
          <w:rFonts w:ascii="Calibri" w:hAnsi="Calibri" w:cs="Calibri" w:hint="eastAsia"/>
          <w:lang w:eastAsia="zh-CN"/>
        </w:rPr>
        <w:t>国际电联应考虑进一步发展这类评注，利用</w:t>
      </w:r>
      <w:r w:rsidR="00EB039C" w:rsidRPr="00530F60">
        <w:rPr>
          <w:rFonts w:ascii="Calibri" w:hAnsi="Calibri" w:cs="Calibri" w:hint="eastAsia"/>
          <w:lang w:eastAsia="zh-CN"/>
        </w:rPr>
        <w:t>IPSAS</w:t>
      </w:r>
      <w:r w:rsidR="00EB039C" w:rsidRPr="00530F60">
        <w:rPr>
          <w:rFonts w:ascii="Calibri" w:hAnsi="Calibri" w:cs="Calibri" w:hint="eastAsia"/>
          <w:lang w:eastAsia="zh-CN"/>
        </w:rPr>
        <w:t>委员会关于提出财务报表讨论和分析的导则，并加强对差异根本原因的披露。这将为阅读报表者</w:t>
      </w:r>
      <w:r w:rsidR="009B5E72" w:rsidRPr="00530F60">
        <w:rPr>
          <w:rFonts w:ascii="Calibri" w:hAnsi="Calibri" w:cs="Calibri" w:hint="eastAsia"/>
          <w:lang w:eastAsia="zh-CN"/>
        </w:rPr>
        <w:t>理解财务报表中提出的</w:t>
      </w:r>
      <w:r w:rsidR="00EB039C" w:rsidRPr="00530F60">
        <w:rPr>
          <w:rFonts w:ascii="Calibri" w:hAnsi="Calibri" w:cs="Calibri" w:hint="eastAsia"/>
          <w:lang w:eastAsia="zh-CN"/>
        </w:rPr>
        <w:t>财务状况和现金流</w:t>
      </w:r>
      <w:r w:rsidR="009B5E72" w:rsidRPr="00530F60">
        <w:rPr>
          <w:rFonts w:ascii="Calibri" w:hAnsi="Calibri" w:cs="Calibri" w:hint="eastAsia"/>
          <w:lang w:eastAsia="zh-CN"/>
        </w:rPr>
        <w:t>的</w:t>
      </w:r>
      <w:r w:rsidR="00EB039C" w:rsidRPr="00530F60">
        <w:rPr>
          <w:rFonts w:ascii="Calibri" w:hAnsi="Calibri" w:cs="Calibri" w:hint="eastAsia"/>
          <w:lang w:eastAsia="zh-CN"/>
        </w:rPr>
        <w:t>变动提供更丰富的背景。我们认为，财务报表所附报告应</w:t>
      </w:r>
      <w:r w:rsidR="009B5E72" w:rsidRPr="00530F60">
        <w:rPr>
          <w:rFonts w:ascii="Calibri" w:hAnsi="Calibri" w:cs="Calibri" w:hint="eastAsia"/>
          <w:lang w:eastAsia="zh-CN"/>
        </w:rPr>
        <w:t>便于查阅和全面，涵盖</w:t>
      </w:r>
      <w:r w:rsidR="00EB039C" w:rsidRPr="00530F60">
        <w:rPr>
          <w:rFonts w:ascii="Calibri" w:hAnsi="Calibri" w:cs="Calibri" w:hint="eastAsia"/>
          <w:lang w:eastAsia="zh-CN"/>
        </w:rPr>
        <w:t>业绩和财务信息，这一点日益重要。财务报表中经审计的数字为利益攸关方提供了大量信息，国际电联应考虑如何利用财务业绩部分对此加以补充并提供相关见解。</w:t>
      </w:r>
    </w:p>
    <w:p w14:paraId="7D564E88" w14:textId="7FDB43C2" w:rsidR="00046AD5" w:rsidRPr="00530F60" w:rsidRDefault="001419C8" w:rsidP="00046AD5">
      <w:pPr>
        <w:pStyle w:val="MainTextNumbered"/>
        <w:numPr>
          <w:ilvl w:val="0"/>
          <w:numId w:val="0"/>
        </w:numPr>
        <w:rPr>
          <w:rStyle w:val="Bold"/>
          <w:rFonts w:ascii="Calibri" w:hAnsi="Calibri" w:cs="Calibri"/>
          <w:lang w:eastAsia="zh-CN"/>
        </w:rPr>
      </w:pPr>
      <w:r w:rsidRPr="00530F60">
        <w:rPr>
          <w:rStyle w:val="Bold"/>
          <w:rFonts w:ascii="Calibri" w:hAnsi="Calibri" w:cs="Calibri" w:hint="eastAsia"/>
          <w:lang w:eastAsia="zh-CN"/>
        </w:rPr>
        <w:t>国际电联应：</w:t>
      </w:r>
    </w:p>
    <w:p w14:paraId="730FA76C" w14:textId="745AFC2C" w:rsidR="00046AD5" w:rsidRDefault="00046AD5" w:rsidP="00046AD5">
      <w:pPr>
        <w:pStyle w:val="KeyFactsStatisticSmall"/>
        <w:rPr>
          <w:lang w:eastAsia="zh-CN"/>
        </w:rPr>
      </w:pPr>
      <w:r w:rsidRPr="00530F60">
        <w:rPr>
          <w:rFonts w:ascii="Calibri" w:eastAsia="SimSun" w:hAnsi="Calibri" w:cs="Calibri"/>
          <w:lang w:eastAsia="zh-CN"/>
        </w:rPr>
        <w:t>R3</w:t>
      </w:r>
      <w:r w:rsidR="00530F60">
        <w:rPr>
          <w:rFonts w:ascii="Calibri" w:eastAsia="SimSun" w:hAnsi="Calibri" w:cs="Calibri" w:hint="eastAsia"/>
          <w:lang w:eastAsia="zh-CN"/>
        </w:rPr>
        <w:t>：</w:t>
      </w:r>
      <w:r w:rsidR="001419C8" w:rsidRPr="00530F60">
        <w:rPr>
          <w:rFonts w:ascii="Calibri" w:eastAsia="SimSun" w:hAnsi="Calibri" w:cs="Calibri" w:hint="eastAsia"/>
          <w:lang w:eastAsia="zh-CN"/>
        </w:rPr>
        <w:t>编制其财务报告评注，纳入</w:t>
      </w:r>
      <w:r w:rsidR="001419C8" w:rsidRPr="00530F60">
        <w:rPr>
          <w:rFonts w:ascii="Calibri" w:eastAsia="SimSun" w:hAnsi="Calibri" w:cs="Calibri" w:hint="eastAsia"/>
          <w:lang w:eastAsia="zh-CN"/>
        </w:rPr>
        <w:t>IPSAS</w:t>
      </w:r>
      <w:r w:rsidR="001419C8" w:rsidRPr="00530F60">
        <w:rPr>
          <w:rFonts w:ascii="Calibri" w:eastAsia="SimSun" w:hAnsi="Calibri" w:cs="Calibri" w:hint="eastAsia"/>
          <w:lang w:eastAsia="zh-CN"/>
        </w:rPr>
        <w:t>委员会关于提交财务报表的指导意见，以丰富向</w:t>
      </w:r>
      <w:r w:rsidR="001419C8" w:rsidRPr="00530F60">
        <w:rPr>
          <w:rFonts w:ascii="Calibri" w:eastAsia="SimSun" w:hAnsi="Calibri" w:cs="Calibri" w:hint="eastAsia"/>
          <w:lang w:eastAsia="zh-CN"/>
        </w:rPr>
        <w:lastRenderedPageBreak/>
        <w:t>成员提供的信息，确保这些信息有助于了解趋势和变化的原因，确定风险和机遇，并就所花费的资源产生的成果做出总结。</w:t>
      </w:r>
    </w:p>
    <w:p w14:paraId="3A96C95B" w14:textId="6AF9F0D5" w:rsidR="00046AD5" w:rsidRPr="001419C8" w:rsidRDefault="001419C8" w:rsidP="00530F60">
      <w:pPr>
        <w:pStyle w:val="BodyText"/>
        <w:ind w:firstLineChars="200" w:firstLine="400"/>
        <w:rPr>
          <w:rStyle w:val="Italic"/>
          <w:rFonts w:ascii="STKaiti" w:eastAsia="STKaiti" w:hAnsi="STKaiti"/>
          <w:i w:val="0"/>
          <w:iCs w:val="0"/>
          <w:lang w:eastAsia="zh-CN"/>
        </w:rPr>
      </w:pPr>
      <w:r w:rsidRPr="001419C8">
        <w:rPr>
          <w:rStyle w:val="Italic"/>
          <w:rFonts w:ascii="STKaiti" w:eastAsia="STKaiti" w:hAnsi="STKaiti" w:cs="Microsoft YaHei" w:hint="eastAsia"/>
          <w:i w:val="0"/>
          <w:iCs w:val="0"/>
          <w:lang w:eastAsia="zh-CN"/>
        </w:rPr>
        <w:t>管理层接受</w:t>
      </w:r>
      <w:r w:rsidR="00DD56D7">
        <w:rPr>
          <w:rStyle w:val="Italic"/>
          <w:rFonts w:ascii="STKaiti" w:eastAsia="STKaiti" w:hAnsi="STKaiti" w:cs="Microsoft YaHei" w:hint="eastAsia"/>
          <w:i w:val="0"/>
          <w:iCs w:val="0"/>
          <w:lang w:eastAsia="zh-CN"/>
        </w:rPr>
        <w:t>这项建议</w:t>
      </w:r>
      <w:r w:rsidRPr="001419C8">
        <w:rPr>
          <w:rStyle w:val="Italic"/>
          <w:rFonts w:ascii="STKaiti" w:eastAsia="STKaiti" w:hAnsi="STKaiti" w:cs="Microsoft YaHei" w:hint="eastAsia"/>
          <w:i w:val="0"/>
          <w:iCs w:val="0"/>
          <w:lang w:eastAsia="zh-CN"/>
        </w:rPr>
        <w:t>并将努力改进今后的报告工作。</w:t>
      </w:r>
    </w:p>
    <w:p w14:paraId="698FCD46" w14:textId="2BCECA42" w:rsidR="002E31C4" w:rsidRPr="00F8602D" w:rsidRDefault="001419C8" w:rsidP="00046AD5">
      <w:pPr>
        <w:pStyle w:val="Heading2"/>
        <w:rPr>
          <w:lang w:eastAsia="zh-CN"/>
        </w:rPr>
      </w:pPr>
      <w:bookmarkStart w:id="13" w:name="_Toc161066416"/>
      <w:bookmarkStart w:id="14" w:name="_Toc137224234"/>
      <w:bookmarkStart w:id="15" w:name="_Toc138857879"/>
      <w:r w:rsidRPr="00BE6200">
        <w:rPr>
          <w:rFonts w:hint="eastAsia"/>
          <w:sz w:val="28"/>
          <w:szCs w:val="22"/>
          <w:lang w:val="fr-FR" w:eastAsia="zh-CN"/>
        </w:rPr>
        <w:t>财务评注</w:t>
      </w:r>
      <w:bookmarkEnd w:id="13"/>
    </w:p>
    <w:p w14:paraId="4CC2F6C8" w14:textId="3406745E" w:rsidR="002E31C4" w:rsidRPr="003C0ED8" w:rsidRDefault="001419C8" w:rsidP="00046AD5">
      <w:pPr>
        <w:pStyle w:val="Heading3"/>
        <w:rPr>
          <w:i w:val="0"/>
          <w:iCs/>
          <w:lang w:eastAsia="zh-CN"/>
        </w:rPr>
      </w:pPr>
      <w:r>
        <w:rPr>
          <w:rFonts w:hint="eastAsia"/>
          <w:i w:val="0"/>
          <w:iCs/>
          <w:lang w:eastAsia="zh-CN"/>
        </w:rPr>
        <w:t>财务业绩</w:t>
      </w:r>
    </w:p>
    <w:p w14:paraId="6E823643" w14:textId="3FD0114B" w:rsidR="002E31C4" w:rsidRPr="00530F60" w:rsidRDefault="002E31C4"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20</w:t>
      </w:r>
      <w:r w:rsidRPr="00530F60">
        <w:rPr>
          <w:rFonts w:ascii="Calibri" w:hAnsi="Calibri" w:cs="Calibri"/>
          <w:lang w:eastAsia="zh-CN"/>
        </w:rPr>
        <w:tab/>
      </w:r>
      <w:r w:rsidR="004945DA" w:rsidRPr="00530F60">
        <w:rPr>
          <w:rFonts w:ascii="Calibri" w:hAnsi="Calibri" w:cs="Calibri" w:hint="eastAsia"/>
          <w:lang w:eastAsia="zh-CN"/>
        </w:rPr>
        <w:t>国际电联报告的总体赤字为</w:t>
      </w:r>
      <w:r w:rsidR="004945DA" w:rsidRPr="00530F60">
        <w:rPr>
          <w:rFonts w:ascii="Calibri" w:hAnsi="Calibri" w:cs="Calibri" w:hint="eastAsia"/>
          <w:lang w:eastAsia="zh-CN"/>
        </w:rPr>
        <w:t>2440</w:t>
      </w:r>
      <w:r w:rsidR="004945DA" w:rsidRPr="00530F60">
        <w:rPr>
          <w:rFonts w:ascii="Calibri" w:hAnsi="Calibri" w:cs="Calibri" w:hint="eastAsia"/>
          <w:lang w:eastAsia="zh-CN"/>
        </w:rPr>
        <w:t>万瑞郎（</w:t>
      </w:r>
      <w:r w:rsidR="004945DA" w:rsidRPr="00530F60">
        <w:rPr>
          <w:rFonts w:ascii="Calibri" w:hAnsi="Calibri" w:cs="Calibri" w:hint="eastAsia"/>
          <w:lang w:eastAsia="zh-CN"/>
        </w:rPr>
        <w:t>2021</w:t>
      </w:r>
      <w:r w:rsidR="004945DA" w:rsidRPr="00530F60">
        <w:rPr>
          <w:rFonts w:ascii="Calibri" w:hAnsi="Calibri" w:cs="Calibri" w:hint="eastAsia"/>
          <w:lang w:eastAsia="zh-CN"/>
        </w:rPr>
        <w:t>年：</w:t>
      </w:r>
      <w:r w:rsidR="004945DA" w:rsidRPr="00530F60">
        <w:rPr>
          <w:rFonts w:ascii="Calibri" w:hAnsi="Calibri" w:cs="Calibri" w:hint="eastAsia"/>
          <w:lang w:eastAsia="zh-CN"/>
        </w:rPr>
        <w:t>1</w:t>
      </w:r>
      <w:r w:rsidR="00D86CC6">
        <w:rPr>
          <w:rFonts w:ascii="Calibri" w:hAnsi="Calibri" w:cs="Calibri"/>
          <w:lang w:eastAsia="zh-CN"/>
        </w:rPr>
        <w:t> </w:t>
      </w:r>
      <w:r w:rsidR="004945DA" w:rsidRPr="00530F60">
        <w:rPr>
          <w:rFonts w:ascii="Calibri" w:hAnsi="Calibri" w:cs="Calibri" w:hint="eastAsia"/>
          <w:lang w:eastAsia="zh-CN"/>
        </w:rPr>
        <w:t>330</w:t>
      </w:r>
      <w:r w:rsidR="004945DA" w:rsidRPr="00530F60">
        <w:rPr>
          <w:rFonts w:ascii="Calibri" w:hAnsi="Calibri" w:cs="Calibri" w:hint="eastAsia"/>
          <w:lang w:eastAsia="zh-CN"/>
        </w:rPr>
        <w:t>万瑞郎），总收入为</w:t>
      </w:r>
      <w:r w:rsidR="004945DA" w:rsidRPr="00530F60">
        <w:rPr>
          <w:rFonts w:ascii="Calibri" w:hAnsi="Calibri" w:cs="Calibri" w:hint="eastAsia"/>
          <w:lang w:eastAsia="zh-CN"/>
        </w:rPr>
        <w:t>1.968</w:t>
      </w:r>
      <w:r w:rsidR="004945DA" w:rsidRPr="00530F60">
        <w:rPr>
          <w:rFonts w:ascii="Calibri" w:hAnsi="Calibri" w:cs="Calibri" w:hint="eastAsia"/>
          <w:lang w:eastAsia="zh-CN"/>
        </w:rPr>
        <w:t>亿瑞郎（</w:t>
      </w:r>
      <w:r w:rsidR="004945DA" w:rsidRPr="00530F60">
        <w:rPr>
          <w:rFonts w:ascii="Calibri" w:hAnsi="Calibri" w:cs="Calibri" w:hint="eastAsia"/>
          <w:lang w:eastAsia="zh-CN"/>
        </w:rPr>
        <w:t>2021</w:t>
      </w:r>
      <w:r w:rsidR="004945DA" w:rsidRPr="00530F60">
        <w:rPr>
          <w:rFonts w:ascii="Calibri" w:hAnsi="Calibri" w:cs="Calibri" w:hint="eastAsia"/>
          <w:lang w:eastAsia="zh-CN"/>
        </w:rPr>
        <w:t>年：</w:t>
      </w:r>
      <w:r w:rsidR="004945DA" w:rsidRPr="00530F60">
        <w:rPr>
          <w:rFonts w:ascii="Calibri" w:hAnsi="Calibri" w:cs="Calibri" w:hint="eastAsia"/>
          <w:lang w:eastAsia="zh-CN"/>
        </w:rPr>
        <w:t>1.771</w:t>
      </w:r>
      <w:r w:rsidR="004945DA" w:rsidRPr="00530F60">
        <w:rPr>
          <w:rFonts w:ascii="Calibri" w:hAnsi="Calibri" w:cs="Calibri" w:hint="eastAsia"/>
          <w:lang w:eastAsia="zh-CN"/>
        </w:rPr>
        <w:t>亿瑞郎），支出为</w:t>
      </w:r>
      <w:r w:rsidR="004945DA" w:rsidRPr="00530F60">
        <w:rPr>
          <w:rFonts w:ascii="Calibri" w:hAnsi="Calibri" w:cs="Calibri" w:hint="eastAsia"/>
          <w:lang w:eastAsia="zh-CN"/>
        </w:rPr>
        <w:t>2.03</w:t>
      </w:r>
      <w:r w:rsidR="004945DA" w:rsidRPr="00530F60">
        <w:rPr>
          <w:rFonts w:ascii="Calibri" w:hAnsi="Calibri" w:cs="Calibri" w:hint="eastAsia"/>
          <w:lang w:eastAsia="zh-CN"/>
        </w:rPr>
        <w:t>亿瑞郎（</w:t>
      </w:r>
      <w:r w:rsidR="004945DA" w:rsidRPr="00530F60">
        <w:rPr>
          <w:rFonts w:ascii="Calibri" w:hAnsi="Calibri" w:cs="Calibri" w:hint="eastAsia"/>
          <w:lang w:eastAsia="zh-CN"/>
        </w:rPr>
        <w:t>2021</w:t>
      </w:r>
      <w:r w:rsidR="004945DA" w:rsidRPr="00530F60">
        <w:rPr>
          <w:rFonts w:ascii="Calibri" w:hAnsi="Calibri" w:cs="Calibri" w:hint="eastAsia"/>
          <w:lang w:eastAsia="zh-CN"/>
        </w:rPr>
        <w:t>年：</w:t>
      </w:r>
      <w:r w:rsidR="004945DA" w:rsidRPr="00530F60">
        <w:rPr>
          <w:rFonts w:ascii="Calibri" w:hAnsi="Calibri" w:cs="Calibri" w:hint="eastAsia"/>
          <w:lang w:eastAsia="zh-CN"/>
        </w:rPr>
        <w:t>1.909</w:t>
      </w:r>
      <w:r w:rsidR="004945DA" w:rsidRPr="00530F60">
        <w:rPr>
          <w:rFonts w:ascii="Calibri" w:hAnsi="Calibri" w:cs="Calibri" w:hint="eastAsia"/>
          <w:lang w:eastAsia="zh-CN"/>
        </w:rPr>
        <w:t>亿瑞郎）</w:t>
      </w:r>
      <w:r w:rsidR="004945DA" w:rsidRPr="00530F60">
        <w:rPr>
          <w:rStyle w:val="FootnoteReference"/>
          <w:rFonts w:ascii="Calibri" w:hAnsi="Calibri" w:cs="Calibri"/>
        </w:rPr>
        <w:footnoteReference w:id="1"/>
      </w:r>
      <w:r w:rsidR="004945DA" w:rsidRPr="00530F60">
        <w:rPr>
          <w:rFonts w:ascii="Calibri" w:hAnsi="Calibri" w:cs="Calibri" w:hint="eastAsia"/>
          <w:lang w:eastAsia="zh-CN"/>
        </w:rPr>
        <w:t>。与</w:t>
      </w:r>
      <w:r w:rsidR="004945DA" w:rsidRPr="00530F60">
        <w:rPr>
          <w:rFonts w:ascii="Calibri" w:hAnsi="Calibri" w:cs="Calibri" w:hint="eastAsia"/>
          <w:lang w:eastAsia="zh-CN"/>
        </w:rPr>
        <w:t>2021</w:t>
      </w:r>
      <w:r w:rsidR="004945DA" w:rsidRPr="00530F60">
        <w:rPr>
          <w:rFonts w:ascii="Calibri" w:hAnsi="Calibri" w:cs="Calibri" w:hint="eastAsia"/>
          <w:lang w:eastAsia="zh-CN"/>
        </w:rPr>
        <w:t>年相比，费用的增加主要是由于疫情后恢复了旅行，“差旅”费用从</w:t>
      </w:r>
      <w:r w:rsidR="004945DA" w:rsidRPr="00530F60">
        <w:rPr>
          <w:rFonts w:ascii="Calibri" w:hAnsi="Calibri" w:cs="Calibri" w:hint="eastAsia"/>
          <w:lang w:eastAsia="zh-CN"/>
        </w:rPr>
        <w:t>443</w:t>
      </w:r>
      <w:r w:rsidR="00D86CC6">
        <w:rPr>
          <w:rFonts w:ascii="Calibri" w:hAnsi="Calibri" w:cs="Calibri"/>
          <w:lang w:eastAsia="zh-CN"/>
        </w:rPr>
        <w:t> </w:t>
      </w:r>
      <w:r w:rsidR="004945DA" w:rsidRPr="00530F60">
        <w:rPr>
          <w:rFonts w:ascii="Calibri" w:hAnsi="Calibri" w:cs="Calibri" w:hint="eastAsia"/>
          <w:lang w:eastAsia="zh-CN"/>
        </w:rPr>
        <w:t>000</w:t>
      </w:r>
      <w:r w:rsidR="004945DA" w:rsidRPr="00530F60">
        <w:rPr>
          <w:rFonts w:ascii="Calibri" w:hAnsi="Calibri" w:cs="Calibri" w:hint="eastAsia"/>
          <w:lang w:eastAsia="zh-CN"/>
        </w:rPr>
        <w:t>瑞郎增加到</w:t>
      </w:r>
      <w:r w:rsidR="004945DA" w:rsidRPr="00530F60">
        <w:rPr>
          <w:rFonts w:ascii="Calibri" w:hAnsi="Calibri" w:cs="Calibri" w:hint="eastAsia"/>
          <w:lang w:eastAsia="zh-CN"/>
        </w:rPr>
        <w:t>560</w:t>
      </w:r>
      <w:r w:rsidR="004945DA" w:rsidRPr="00530F60">
        <w:rPr>
          <w:rFonts w:ascii="Calibri" w:hAnsi="Calibri" w:cs="Calibri" w:hint="eastAsia"/>
          <w:lang w:eastAsia="zh-CN"/>
        </w:rPr>
        <w:t>万瑞郎。</w:t>
      </w:r>
    </w:p>
    <w:p w14:paraId="14689FDA" w14:textId="3709F659" w:rsidR="002E31C4" w:rsidRPr="00530F60" w:rsidRDefault="002E31C4"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21</w:t>
      </w:r>
      <w:r w:rsidRPr="00530F60">
        <w:rPr>
          <w:rFonts w:ascii="Calibri" w:hAnsi="Calibri" w:cs="Calibri"/>
          <w:lang w:eastAsia="zh-CN"/>
        </w:rPr>
        <w:tab/>
      </w:r>
      <w:r w:rsidR="004945DA" w:rsidRPr="00530F60">
        <w:rPr>
          <w:rFonts w:ascii="Calibri" w:hAnsi="Calibri" w:cs="Calibri" w:hint="eastAsia"/>
          <w:lang w:eastAsia="zh-CN"/>
        </w:rPr>
        <w:t>正常预算与实际情况对比报表显示了与批准的预算相对照的收入和支出，其中包括</w:t>
      </w:r>
      <w:r w:rsidR="00530F60">
        <w:rPr>
          <w:rFonts w:ascii="Calibri" w:hAnsi="Calibri" w:cs="Calibri" w:hint="eastAsia"/>
          <w:lang w:eastAsia="zh-CN"/>
        </w:rPr>
        <w:t>：</w:t>
      </w:r>
    </w:p>
    <w:p w14:paraId="0CC93D40" w14:textId="62665FE7" w:rsidR="002E31C4" w:rsidRPr="00530F60" w:rsidRDefault="002E31C4" w:rsidP="003C0ED8">
      <w:pPr>
        <w:pStyle w:val="Bullet"/>
        <w:numPr>
          <w:ilvl w:val="0"/>
          <w:numId w:val="0"/>
        </w:numPr>
        <w:ind w:left="499"/>
        <w:rPr>
          <w:rFonts w:ascii="Calibri" w:eastAsia="SimSun" w:hAnsi="Calibri" w:cs="Calibri"/>
          <w:lang w:eastAsia="zh-CN"/>
        </w:rPr>
      </w:pPr>
      <w:r w:rsidRPr="00530F60">
        <w:rPr>
          <w:rFonts w:ascii="Calibri" w:eastAsia="SimSun" w:hAnsi="Calibri" w:cs="Calibri"/>
          <w:lang w:eastAsia="zh-CN"/>
        </w:rPr>
        <w:t>•</w:t>
      </w:r>
      <w:r w:rsidRPr="00530F60">
        <w:rPr>
          <w:rFonts w:ascii="Calibri" w:eastAsia="SimSun" w:hAnsi="Calibri" w:cs="Calibri"/>
          <w:lang w:eastAsia="zh-CN"/>
        </w:rPr>
        <w:tab/>
      </w:r>
      <w:r w:rsidR="004945DA" w:rsidRPr="00530F60">
        <w:rPr>
          <w:rFonts w:ascii="Calibri" w:eastAsia="SimSun" w:hAnsi="Calibri" w:cs="Calibri" w:hint="eastAsia"/>
          <w:lang w:eastAsia="zh-CN"/>
        </w:rPr>
        <w:t>实际收入为</w:t>
      </w:r>
      <w:r w:rsidR="004945DA" w:rsidRPr="00530F60">
        <w:rPr>
          <w:rFonts w:ascii="Calibri" w:eastAsia="SimSun" w:hAnsi="Calibri" w:cs="Calibri" w:hint="eastAsia"/>
          <w:lang w:eastAsia="zh-CN"/>
        </w:rPr>
        <w:t>1.572</w:t>
      </w:r>
      <w:r w:rsidR="004945DA" w:rsidRPr="00530F60">
        <w:rPr>
          <w:rFonts w:ascii="Calibri" w:eastAsia="SimSun" w:hAnsi="Calibri" w:cs="Calibri" w:hint="eastAsia"/>
          <w:lang w:eastAsia="zh-CN"/>
        </w:rPr>
        <w:t>亿</w:t>
      </w:r>
      <w:r w:rsidR="00CC5659" w:rsidRPr="00530F60">
        <w:rPr>
          <w:rFonts w:ascii="Calibri" w:eastAsia="SimSun" w:hAnsi="Calibri" w:cs="Calibri" w:hint="eastAsia"/>
          <w:lang w:eastAsia="zh-CN"/>
        </w:rPr>
        <w:t>瑞郎</w:t>
      </w:r>
      <w:r w:rsidR="004945DA" w:rsidRPr="00530F60">
        <w:rPr>
          <w:rFonts w:ascii="Calibri" w:eastAsia="SimSun" w:hAnsi="Calibri" w:cs="Calibri" w:hint="eastAsia"/>
          <w:lang w:eastAsia="zh-CN"/>
        </w:rPr>
        <w:t>，而平衡预算为</w:t>
      </w:r>
      <w:r w:rsidR="004945DA" w:rsidRPr="00530F60">
        <w:rPr>
          <w:rFonts w:ascii="Calibri" w:eastAsia="SimSun" w:hAnsi="Calibri" w:cs="Calibri" w:hint="eastAsia"/>
          <w:lang w:eastAsia="zh-CN"/>
        </w:rPr>
        <w:t>1.636</w:t>
      </w:r>
      <w:r w:rsidR="004945DA" w:rsidRPr="00530F60">
        <w:rPr>
          <w:rFonts w:ascii="Calibri" w:eastAsia="SimSun" w:hAnsi="Calibri" w:cs="Calibri" w:hint="eastAsia"/>
          <w:lang w:eastAsia="zh-CN"/>
        </w:rPr>
        <w:t>亿</w:t>
      </w:r>
      <w:r w:rsidR="00CC5659" w:rsidRPr="00530F60">
        <w:rPr>
          <w:rFonts w:ascii="Calibri" w:eastAsia="SimSun" w:hAnsi="Calibri" w:cs="Calibri" w:hint="eastAsia"/>
          <w:lang w:eastAsia="zh-CN"/>
        </w:rPr>
        <w:t>瑞郎</w:t>
      </w:r>
      <w:r w:rsidR="004945DA" w:rsidRPr="00530F60">
        <w:rPr>
          <w:rFonts w:ascii="Calibri" w:eastAsia="SimSun" w:hAnsi="Calibri" w:cs="Calibri" w:hint="eastAsia"/>
          <w:lang w:eastAsia="zh-CN"/>
        </w:rPr>
        <w:t>；以及</w:t>
      </w:r>
    </w:p>
    <w:p w14:paraId="1F3F6591" w14:textId="02A3842B" w:rsidR="002E31C4" w:rsidRDefault="002E31C4" w:rsidP="003C0ED8">
      <w:pPr>
        <w:pStyle w:val="Bullet"/>
        <w:numPr>
          <w:ilvl w:val="0"/>
          <w:numId w:val="0"/>
        </w:numPr>
        <w:ind w:left="499"/>
        <w:rPr>
          <w:lang w:eastAsia="zh-CN"/>
        </w:rPr>
      </w:pPr>
      <w:r w:rsidRPr="00530F60">
        <w:rPr>
          <w:rFonts w:ascii="Calibri" w:eastAsia="SimSun" w:hAnsi="Calibri" w:cs="Calibri"/>
          <w:lang w:eastAsia="zh-CN"/>
        </w:rPr>
        <w:t>•</w:t>
      </w:r>
      <w:r w:rsidRPr="00530F60">
        <w:rPr>
          <w:rFonts w:ascii="Calibri" w:eastAsia="SimSun" w:hAnsi="Calibri" w:cs="Calibri"/>
          <w:lang w:eastAsia="zh-CN"/>
        </w:rPr>
        <w:tab/>
      </w:r>
      <w:r w:rsidR="004945DA" w:rsidRPr="00530F60">
        <w:rPr>
          <w:rFonts w:ascii="Calibri" w:eastAsia="SimSun" w:hAnsi="Calibri" w:cs="Calibri" w:hint="eastAsia"/>
          <w:lang w:eastAsia="zh-CN"/>
        </w:rPr>
        <w:t>实际支出为</w:t>
      </w:r>
      <w:r w:rsidR="004945DA" w:rsidRPr="00530F60">
        <w:rPr>
          <w:rFonts w:ascii="Calibri" w:eastAsia="SimSun" w:hAnsi="Calibri" w:cs="Calibri" w:hint="eastAsia"/>
          <w:lang w:eastAsia="zh-CN"/>
        </w:rPr>
        <w:t>1.620</w:t>
      </w:r>
      <w:r w:rsidR="004945DA" w:rsidRPr="00530F60">
        <w:rPr>
          <w:rFonts w:ascii="Calibri" w:eastAsia="SimSun" w:hAnsi="Calibri" w:cs="Calibri" w:hint="eastAsia"/>
          <w:lang w:eastAsia="zh-CN"/>
        </w:rPr>
        <w:t>亿</w:t>
      </w:r>
      <w:r w:rsidR="00CC5659" w:rsidRPr="00530F60">
        <w:rPr>
          <w:rFonts w:ascii="Calibri" w:eastAsia="SimSun" w:hAnsi="Calibri" w:cs="Calibri" w:hint="eastAsia"/>
          <w:lang w:eastAsia="zh-CN"/>
        </w:rPr>
        <w:t>瑞郎</w:t>
      </w:r>
      <w:r w:rsidR="004945DA" w:rsidRPr="00530F60">
        <w:rPr>
          <w:rFonts w:ascii="Calibri" w:eastAsia="SimSun" w:hAnsi="Calibri" w:cs="Calibri" w:hint="eastAsia"/>
          <w:lang w:eastAsia="zh-CN"/>
        </w:rPr>
        <w:t>，而平衡预算为</w:t>
      </w:r>
      <w:r w:rsidR="004945DA" w:rsidRPr="00530F60">
        <w:rPr>
          <w:rFonts w:ascii="Calibri" w:eastAsia="SimSun" w:hAnsi="Calibri" w:cs="Calibri" w:hint="eastAsia"/>
          <w:lang w:eastAsia="zh-CN"/>
        </w:rPr>
        <w:t>1.636</w:t>
      </w:r>
      <w:r w:rsidR="004945DA" w:rsidRPr="00530F60">
        <w:rPr>
          <w:rFonts w:ascii="Calibri" w:eastAsia="SimSun" w:hAnsi="Calibri" w:cs="Calibri" w:hint="eastAsia"/>
          <w:lang w:eastAsia="zh-CN"/>
        </w:rPr>
        <w:t>亿</w:t>
      </w:r>
      <w:r w:rsidR="00CC5659" w:rsidRPr="00530F60">
        <w:rPr>
          <w:rFonts w:ascii="Calibri" w:eastAsia="SimSun" w:hAnsi="Calibri" w:cs="Calibri" w:hint="eastAsia"/>
          <w:lang w:eastAsia="zh-CN"/>
        </w:rPr>
        <w:t>瑞郎</w:t>
      </w:r>
      <w:r w:rsidR="004945DA" w:rsidRPr="00530F60">
        <w:rPr>
          <w:rFonts w:ascii="Calibri" w:eastAsia="SimSun" w:hAnsi="Calibri" w:cs="Calibri" w:hint="eastAsia"/>
          <w:lang w:eastAsia="zh-CN"/>
        </w:rPr>
        <w:t>。</w:t>
      </w:r>
    </w:p>
    <w:p w14:paraId="5E2830AF" w14:textId="7908433B" w:rsidR="002E31C4" w:rsidRPr="00530F60" w:rsidRDefault="002E31C4"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22</w:t>
      </w:r>
      <w:r w:rsidRPr="00530F60">
        <w:rPr>
          <w:rFonts w:ascii="Calibri" w:hAnsi="Calibri" w:cs="Calibri"/>
          <w:lang w:eastAsia="zh-CN"/>
        </w:rPr>
        <w:tab/>
      </w:r>
      <w:r w:rsidR="004945DA" w:rsidRPr="00530F60">
        <w:rPr>
          <w:rFonts w:ascii="Calibri" w:hAnsi="Calibri" w:cs="Calibri" w:hint="eastAsia"/>
          <w:lang w:eastAsia="zh-CN"/>
        </w:rPr>
        <w:t>这导致与收支平衡目标相比的方案预算赤字达到</w:t>
      </w:r>
      <w:r w:rsidR="004945DA" w:rsidRPr="00530F60">
        <w:rPr>
          <w:rFonts w:ascii="Calibri" w:hAnsi="Calibri" w:cs="Calibri" w:hint="eastAsia"/>
          <w:lang w:eastAsia="zh-CN"/>
        </w:rPr>
        <w:t>480</w:t>
      </w:r>
      <w:r w:rsidR="004945DA" w:rsidRPr="00530F60">
        <w:rPr>
          <w:rFonts w:ascii="Calibri" w:hAnsi="Calibri" w:cs="Calibri" w:hint="eastAsia"/>
          <w:lang w:eastAsia="zh-CN"/>
        </w:rPr>
        <w:t>万</w:t>
      </w:r>
      <w:r w:rsidR="00CC5659" w:rsidRPr="00530F60">
        <w:rPr>
          <w:rFonts w:ascii="Calibri" w:hAnsi="Calibri" w:cs="Calibri" w:hint="eastAsia"/>
          <w:lang w:eastAsia="zh-CN"/>
        </w:rPr>
        <w:t>瑞郎</w:t>
      </w:r>
      <w:r w:rsidR="004945DA" w:rsidRPr="00530F60">
        <w:rPr>
          <w:rFonts w:ascii="Calibri" w:hAnsi="Calibri" w:cs="Calibri" w:hint="eastAsia"/>
          <w:lang w:eastAsia="zh-CN"/>
        </w:rPr>
        <w:t>。</w:t>
      </w:r>
      <w:r w:rsidR="00097F84" w:rsidRPr="00530F60">
        <w:rPr>
          <w:rFonts w:ascii="Calibri" w:hAnsi="Calibri" w:cs="Calibri" w:hint="eastAsia"/>
          <w:lang w:eastAsia="zh-CN"/>
        </w:rPr>
        <w:t>造成预算赤字的主要驱动因素是卫星申报资料的减少。</w:t>
      </w:r>
      <w:r w:rsidR="004945DA" w:rsidRPr="00530F60">
        <w:rPr>
          <w:rFonts w:ascii="Calibri" w:hAnsi="Calibri" w:cs="Calibri" w:hint="eastAsia"/>
          <w:lang w:eastAsia="zh-CN"/>
        </w:rPr>
        <w:t>持续预算赤字的结果是进一步消耗国际电联的一般储备金。</w:t>
      </w:r>
      <w:r w:rsidR="00097F84" w:rsidRPr="00530F60">
        <w:rPr>
          <w:rFonts w:ascii="Calibri" w:hAnsi="Calibri" w:cs="Calibri" w:hint="eastAsia"/>
          <w:lang w:eastAsia="zh-CN"/>
        </w:rPr>
        <w:t>对国际电联而言，保持对收入准确预测的关注，并在出现收入下降时采取行动，确保应收收入预测与成本保持一致，这一点至关重要。</w:t>
      </w:r>
      <w:r w:rsidR="004945DA" w:rsidRPr="00530F60">
        <w:rPr>
          <w:rFonts w:ascii="Calibri" w:hAnsi="Calibri" w:cs="Calibri" w:hint="eastAsia"/>
          <w:lang w:eastAsia="zh-CN"/>
        </w:rPr>
        <w:t>同样，必须确保国际电联</w:t>
      </w:r>
      <w:r w:rsidR="00097F84" w:rsidRPr="00530F60">
        <w:rPr>
          <w:rFonts w:ascii="Calibri" w:hAnsi="Calibri" w:cs="Calibri" w:hint="eastAsia"/>
          <w:lang w:eastAsia="zh-CN"/>
        </w:rPr>
        <w:t>能够对其运作实行全部成本回收，以确保它能够在中长期继续实现其目标和履行其财务义务</w:t>
      </w:r>
      <w:r w:rsidR="004945DA" w:rsidRPr="00530F60">
        <w:rPr>
          <w:rFonts w:ascii="Calibri" w:hAnsi="Calibri" w:cs="Calibri" w:hint="eastAsia"/>
          <w:lang w:eastAsia="zh-CN"/>
        </w:rPr>
        <w:t>。我们将在我们任务的稍后阶段审议国际电联的财政可持续性，同时审查</w:t>
      </w:r>
      <w:r w:rsidR="00097F84" w:rsidRPr="00530F60">
        <w:rPr>
          <w:rFonts w:ascii="Calibri" w:hAnsi="Calibri" w:cs="Calibri" w:hint="eastAsia"/>
          <w:lang w:eastAsia="zh-CN"/>
        </w:rPr>
        <w:t>基于结果的管理</w:t>
      </w:r>
      <w:r w:rsidR="004945DA" w:rsidRPr="00530F60">
        <w:rPr>
          <w:rFonts w:ascii="Calibri" w:hAnsi="Calibri" w:cs="Calibri" w:hint="eastAsia"/>
          <w:lang w:eastAsia="zh-CN"/>
        </w:rPr>
        <w:t>如何支持对照</w:t>
      </w:r>
      <w:r w:rsidR="00097F84" w:rsidRPr="00530F60">
        <w:rPr>
          <w:rFonts w:ascii="Calibri" w:hAnsi="Calibri" w:cs="Calibri" w:hint="eastAsia"/>
          <w:lang w:eastAsia="zh-CN"/>
        </w:rPr>
        <w:t>规</w:t>
      </w:r>
      <w:r w:rsidR="004945DA" w:rsidRPr="00530F60">
        <w:rPr>
          <w:rFonts w:ascii="Calibri" w:hAnsi="Calibri" w:cs="Calibri" w:hint="eastAsia"/>
          <w:lang w:eastAsia="zh-CN"/>
        </w:rPr>
        <w:t>划报告所取得的成就，下文将进一步强调这一点。</w:t>
      </w:r>
    </w:p>
    <w:p w14:paraId="46E08E94" w14:textId="5E4F6D66" w:rsidR="002E31C4" w:rsidRPr="00530F60" w:rsidRDefault="002E31C4" w:rsidP="00046AD5">
      <w:pPr>
        <w:pStyle w:val="Heading3"/>
        <w:rPr>
          <w:rFonts w:cs="Calibri"/>
          <w:lang w:eastAsia="zh-CN"/>
        </w:rPr>
      </w:pPr>
      <w:r w:rsidRPr="00530F60">
        <w:rPr>
          <w:rFonts w:cs="Calibri" w:hint="eastAsia"/>
          <w:i w:val="0"/>
          <w:iCs/>
          <w:lang w:eastAsia="zh-CN"/>
        </w:rPr>
        <w:t>财务状况</w:t>
      </w:r>
    </w:p>
    <w:p w14:paraId="2FCA97E9" w14:textId="429AB0BA" w:rsidR="002E31C4" w:rsidRPr="00530F60" w:rsidRDefault="002E31C4"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23</w:t>
      </w:r>
      <w:r w:rsidRPr="00530F60">
        <w:rPr>
          <w:rFonts w:ascii="Calibri" w:hAnsi="Calibri" w:cs="Calibri"/>
          <w:lang w:eastAsia="zh-CN"/>
        </w:rPr>
        <w:tab/>
      </w:r>
      <w:r w:rsidR="0016087D" w:rsidRPr="00530F60">
        <w:rPr>
          <w:rFonts w:ascii="Calibri" w:hAnsi="Calibri" w:cs="Calibri" w:hint="eastAsia"/>
          <w:lang w:eastAsia="zh-CN"/>
        </w:rPr>
        <w:t>总体而言，由于离职后健康保险（</w:t>
      </w:r>
      <w:r w:rsidR="0016087D" w:rsidRPr="00530F60">
        <w:rPr>
          <w:rFonts w:ascii="Calibri" w:hAnsi="Calibri" w:cs="Calibri" w:hint="eastAsia"/>
          <w:lang w:eastAsia="zh-CN"/>
        </w:rPr>
        <w:t>ASHI</w:t>
      </w:r>
      <w:r w:rsidR="0016087D" w:rsidRPr="00530F60">
        <w:rPr>
          <w:rFonts w:ascii="Calibri" w:hAnsi="Calibri" w:cs="Calibri" w:hint="eastAsia"/>
          <w:lang w:eastAsia="zh-CN"/>
        </w:rPr>
        <w:t>）估值的精算收益为</w:t>
      </w:r>
      <w:r w:rsidR="0016087D" w:rsidRPr="00530F60">
        <w:rPr>
          <w:rFonts w:ascii="Calibri" w:hAnsi="Calibri" w:cs="Calibri" w:hint="eastAsia"/>
          <w:lang w:eastAsia="zh-CN"/>
        </w:rPr>
        <w:t>2.155</w:t>
      </w:r>
      <w:r w:rsidR="0016087D" w:rsidRPr="00530F60">
        <w:rPr>
          <w:rFonts w:ascii="Calibri" w:hAnsi="Calibri" w:cs="Calibri" w:hint="eastAsia"/>
          <w:lang w:eastAsia="zh-CN"/>
        </w:rPr>
        <w:t>亿</w:t>
      </w:r>
      <w:r w:rsidR="00CC5659" w:rsidRPr="00530F60">
        <w:rPr>
          <w:rFonts w:ascii="Calibri" w:hAnsi="Calibri" w:cs="Calibri" w:hint="eastAsia"/>
          <w:lang w:eastAsia="zh-CN"/>
        </w:rPr>
        <w:t>瑞郎</w:t>
      </w:r>
      <w:r w:rsidR="0016087D" w:rsidRPr="00530F60">
        <w:rPr>
          <w:rFonts w:ascii="Calibri" w:hAnsi="Calibri" w:cs="Calibri" w:hint="eastAsia"/>
          <w:lang w:eastAsia="zh-CN"/>
        </w:rPr>
        <w:t>，并考虑到收支赤字，净资产赤字减少到负</w:t>
      </w:r>
      <w:r w:rsidR="0016087D" w:rsidRPr="00530F60">
        <w:rPr>
          <w:rFonts w:ascii="Calibri" w:hAnsi="Calibri" w:cs="Calibri" w:hint="eastAsia"/>
          <w:lang w:eastAsia="zh-CN"/>
        </w:rPr>
        <w:t>2.131</w:t>
      </w:r>
      <w:r w:rsidR="0016087D" w:rsidRPr="00530F60">
        <w:rPr>
          <w:rFonts w:ascii="Calibri" w:hAnsi="Calibri" w:cs="Calibri" w:hint="eastAsia"/>
          <w:lang w:eastAsia="zh-CN"/>
        </w:rPr>
        <w:t>亿</w:t>
      </w:r>
      <w:r w:rsidR="00CC5659" w:rsidRPr="00530F60">
        <w:rPr>
          <w:rFonts w:ascii="Calibri" w:hAnsi="Calibri" w:cs="Calibri" w:hint="eastAsia"/>
          <w:lang w:eastAsia="zh-CN"/>
        </w:rPr>
        <w:t>瑞郎</w:t>
      </w:r>
      <w:r w:rsidR="0016087D" w:rsidRPr="00530F60">
        <w:rPr>
          <w:rFonts w:ascii="Calibri" w:hAnsi="Calibri" w:cs="Calibri" w:hint="eastAsia"/>
          <w:lang w:eastAsia="zh-CN"/>
        </w:rPr>
        <w:t>（</w:t>
      </w:r>
      <w:r w:rsidR="0016087D" w:rsidRPr="00530F60">
        <w:rPr>
          <w:rFonts w:ascii="Calibri" w:hAnsi="Calibri" w:cs="Calibri" w:hint="eastAsia"/>
          <w:lang w:eastAsia="zh-CN"/>
        </w:rPr>
        <w:t>2021</w:t>
      </w:r>
      <w:r w:rsidR="0016087D" w:rsidRPr="00530F60">
        <w:rPr>
          <w:rFonts w:ascii="Calibri" w:hAnsi="Calibri" w:cs="Calibri" w:hint="eastAsia"/>
          <w:lang w:eastAsia="zh-CN"/>
        </w:rPr>
        <w:t>年：负</w:t>
      </w:r>
      <w:r w:rsidR="0016087D" w:rsidRPr="00530F60">
        <w:rPr>
          <w:rFonts w:ascii="Calibri" w:hAnsi="Calibri" w:cs="Calibri" w:hint="eastAsia"/>
          <w:lang w:eastAsia="zh-CN"/>
        </w:rPr>
        <w:t>4.108</w:t>
      </w:r>
      <w:r w:rsidR="0016087D" w:rsidRPr="00530F60">
        <w:rPr>
          <w:rFonts w:ascii="Calibri" w:hAnsi="Calibri" w:cs="Calibri" w:hint="eastAsia"/>
          <w:lang w:eastAsia="zh-CN"/>
        </w:rPr>
        <w:t>亿</w:t>
      </w:r>
      <w:r w:rsidR="00CC5659" w:rsidRPr="00530F60">
        <w:rPr>
          <w:rFonts w:ascii="Calibri" w:hAnsi="Calibri" w:cs="Calibri" w:hint="eastAsia"/>
          <w:lang w:eastAsia="zh-CN"/>
        </w:rPr>
        <w:t>瑞郎</w:t>
      </w:r>
      <w:r w:rsidR="0016087D" w:rsidRPr="00530F60">
        <w:rPr>
          <w:rFonts w:ascii="Calibri" w:hAnsi="Calibri" w:cs="Calibri" w:hint="eastAsia"/>
          <w:lang w:eastAsia="zh-CN"/>
        </w:rPr>
        <w:t>）。</w:t>
      </w:r>
    </w:p>
    <w:p w14:paraId="0A329ED0" w14:textId="522907FC" w:rsidR="002E31C4" w:rsidRPr="00530F60" w:rsidRDefault="002E31C4"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24</w:t>
      </w:r>
      <w:r w:rsidRPr="00530F60">
        <w:rPr>
          <w:rFonts w:ascii="Calibri" w:hAnsi="Calibri" w:cs="Calibri"/>
          <w:lang w:eastAsia="zh-CN"/>
        </w:rPr>
        <w:tab/>
      </w:r>
      <w:r w:rsidR="0016087D" w:rsidRPr="00530F60">
        <w:rPr>
          <w:rFonts w:ascii="Calibri" w:hAnsi="Calibri" w:cs="Calibri" w:hint="eastAsia"/>
          <w:lang w:eastAsia="zh-CN"/>
        </w:rPr>
        <w:t>总资产减少了</w:t>
      </w:r>
      <w:r w:rsidR="0016087D" w:rsidRPr="00530F60">
        <w:rPr>
          <w:rFonts w:ascii="Calibri" w:hAnsi="Calibri" w:cs="Calibri" w:hint="eastAsia"/>
          <w:lang w:eastAsia="zh-CN"/>
        </w:rPr>
        <w:t>1</w:t>
      </w:r>
      <w:r w:rsidR="007454FA">
        <w:rPr>
          <w:rFonts w:ascii="Calibri" w:hAnsi="Calibri" w:cs="Calibri"/>
          <w:lang w:eastAsia="zh-CN"/>
        </w:rPr>
        <w:t> </w:t>
      </w:r>
      <w:r w:rsidR="0016087D" w:rsidRPr="00530F60">
        <w:rPr>
          <w:rFonts w:ascii="Calibri" w:hAnsi="Calibri" w:cs="Calibri" w:hint="eastAsia"/>
          <w:lang w:eastAsia="zh-CN"/>
        </w:rPr>
        <w:t>970</w:t>
      </w:r>
      <w:r w:rsidR="0016087D" w:rsidRPr="00530F60">
        <w:rPr>
          <w:rFonts w:ascii="Calibri" w:hAnsi="Calibri" w:cs="Calibri" w:hint="eastAsia"/>
          <w:lang w:eastAsia="zh-CN"/>
        </w:rPr>
        <w:t>万</w:t>
      </w:r>
      <w:r w:rsidR="00CC5659" w:rsidRPr="00530F60">
        <w:rPr>
          <w:rFonts w:ascii="Calibri" w:hAnsi="Calibri" w:cs="Calibri" w:hint="eastAsia"/>
          <w:lang w:eastAsia="zh-CN"/>
        </w:rPr>
        <w:t>瑞郎</w:t>
      </w:r>
      <w:r w:rsidR="0016087D" w:rsidRPr="00530F60">
        <w:rPr>
          <w:rFonts w:ascii="Calibri" w:hAnsi="Calibri" w:cs="Calibri" w:hint="eastAsia"/>
          <w:lang w:eastAsia="zh-CN"/>
        </w:rPr>
        <w:t>，为</w:t>
      </w:r>
      <w:r w:rsidR="0016087D" w:rsidRPr="00530F60">
        <w:rPr>
          <w:rFonts w:ascii="Calibri" w:hAnsi="Calibri" w:cs="Calibri" w:hint="eastAsia"/>
          <w:lang w:eastAsia="zh-CN"/>
        </w:rPr>
        <w:t>3.179</w:t>
      </w:r>
      <w:r w:rsidR="0016087D" w:rsidRPr="00530F60">
        <w:rPr>
          <w:rFonts w:ascii="Calibri" w:hAnsi="Calibri" w:cs="Calibri" w:hint="eastAsia"/>
          <w:lang w:eastAsia="zh-CN"/>
        </w:rPr>
        <w:t>亿</w:t>
      </w:r>
      <w:r w:rsidR="00CC5659" w:rsidRPr="00530F60">
        <w:rPr>
          <w:rFonts w:ascii="Calibri" w:hAnsi="Calibri" w:cs="Calibri" w:hint="eastAsia"/>
          <w:lang w:eastAsia="zh-CN"/>
        </w:rPr>
        <w:t>瑞郎</w:t>
      </w:r>
      <w:r w:rsidR="0016087D" w:rsidRPr="00530F60">
        <w:rPr>
          <w:rFonts w:ascii="Calibri" w:hAnsi="Calibri" w:cs="Calibri" w:hint="eastAsia"/>
          <w:lang w:eastAsia="zh-CN"/>
        </w:rPr>
        <w:t>，包括</w:t>
      </w:r>
      <w:r w:rsidR="0016087D" w:rsidRPr="00530F60">
        <w:rPr>
          <w:rFonts w:ascii="Calibri" w:hAnsi="Calibri" w:cs="Calibri" w:hint="eastAsia"/>
          <w:lang w:eastAsia="zh-CN"/>
        </w:rPr>
        <w:t>2.077</w:t>
      </w:r>
      <w:r w:rsidR="0016087D" w:rsidRPr="00530F60">
        <w:rPr>
          <w:rFonts w:ascii="Calibri" w:hAnsi="Calibri" w:cs="Calibri" w:hint="eastAsia"/>
          <w:lang w:eastAsia="zh-CN"/>
        </w:rPr>
        <w:t>亿</w:t>
      </w:r>
      <w:r w:rsidR="00CC5659" w:rsidRPr="00530F60">
        <w:rPr>
          <w:rFonts w:ascii="Calibri" w:hAnsi="Calibri" w:cs="Calibri" w:hint="eastAsia"/>
          <w:lang w:eastAsia="zh-CN"/>
        </w:rPr>
        <w:t>瑞郎（</w:t>
      </w:r>
      <w:r w:rsidR="00CC5659" w:rsidRPr="00530F60">
        <w:rPr>
          <w:rFonts w:ascii="Calibri" w:hAnsi="Calibri" w:cs="Calibri" w:hint="eastAsia"/>
          <w:lang w:eastAsia="zh-CN"/>
        </w:rPr>
        <w:t>2021</w:t>
      </w:r>
      <w:r w:rsidR="00CC5659" w:rsidRPr="00530F60">
        <w:rPr>
          <w:rFonts w:ascii="Calibri" w:hAnsi="Calibri" w:cs="Calibri" w:hint="eastAsia"/>
          <w:lang w:eastAsia="zh-CN"/>
        </w:rPr>
        <w:t>年：</w:t>
      </w:r>
      <w:r w:rsidR="00CC5659" w:rsidRPr="00530F60">
        <w:rPr>
          <w:rFonts w:ascii="Calibri" w:hAnsi="Calibri" w:cs="Calibri" w:hint="eastAsia"/>
          <w:lang w:eastAsia="zh-CN"/>
        </w:rPr>
        <w:t>2.251</w:t>
      </w:r>
      <w:r w:rsidR="00CC5659" w:rsidRPr="00530F60">
        <w:rPr>
          <w:rFonts w:ascii="Calibri" w:hAnsi="Calibri" w:cs="Calibri" w:hint="eastAsia"/>
          <w:lang w:eastAsia="zh-CN"/>
        </w:rPr>
        <w:t>亿瑞郎）的现金和投资</w:t>
      </w:r>
      <w:r w:rsidR="0016087D" w:rsidRPr="00530F60">
        <w:rPr>
          <w:rFonts w:ascii="Calibri" w:hAnsi="Calibri" w:cs="Calibri" w:hint="eastAsia"/>
          <w:lang w:eastAsia="zh-CN"/>
        </w:rPr>
        <w:t>以及净值为</w:t>
      </w:r>
      <w:r w:rsidR="0016087D" w:rsidRPr="00530F60">
        <w:rPr>
          <w:rFonts w:ascii="Calibri" w:hAnsi="Calibri" w:cs="Calibri" w:hint="eastAsia"/>
          <w:lang w:eastAsia="zh-CN"/>
        </w:rPr>
        <w:t>8</w:t>
      </w:r>
      <w:r w:rsidR="00D86CC6">
        <w:rPr>
          <w:rFonts w:ascii="Calibri" w:hAnsi="Calibri" w:cs="Calibri"/>
          <w:lang w:eastAsia="zh-CN"/>
        </w:rPr>
        <w:t xml:space="preserve"> </w:t>
      </w:r>
      <w:r w:rsidR="0016087D" w:rsidRPr="00530F60">
        <w:rPr>
          <w:rFonts w:ascii="Calibri" w:hAnsi="Calibri" w:cs="Calibri" w:hint="eastAsia"/>
          <w:lang w:eastAsia="zh-CN"/>
        </w:rPr>
        <w:t>660</w:t>
      </w:r>
      <w:r w:rsidR="0016087D" w:rsidRPr="00530F60">
        <w:rPr>
          <w:rFonts w:ascii="Calibri" w:hAnsi="Calibri" w:cs="Calibri" w:hint="eastAsia"/>
          <w:lang w:eastAsia="zh-CN"/>
        </w:rPr>
        <w:t>万</w:t>
      </w:r>
      <w:r w:rsidR="00CC5659" w:rsidRPr="00530F60">
        <w:rPr>
          <w:rFonts w:ascii="Calibri" w:hAnsi="Calibri" w:cs="Calibri" w:hint="eastAsia"/>
          <w:lang w:eastAsia="zh-CN"/>
        </w:rPr>
        <w:t>瑞郎</w:t>
      </w:r>
      <w:r w:rsidR="0016087D" w:rsidRPr="00530F60">
        <w:rPr>
          <w:rFonts w:ascii="Calibri" w:hAnsi="Calibri" w:cs="Calibri" w:hint="eastAsia"/>
          <w:lang w:eastAsia="zh-CN"/>
        </w:rPr>
        <w:t>（</w:t>
      </w:r>
      <w:r w:rsidR="0016087D" w:rsidRPr="00530F60">
        <w:rPr>
          <w:rFonts w:ascii="Calibri" w:hAnsi="Calibri" w:cs="Calibri" w:hint="eastAsia"/>
          <w:lang w:eastAsia="zh-CN"/>
        </w:rPr>
        <w:t>2021</w:t>
      </w:r>
      <w:r w:rsidR="0016087D" w:rsidRPr="00530F60">
        <w:rPr>
          <w:rFonts w:ascii="Calibri" w:hAnsi="Calibri" w:cs="Calibri" w:hint="eastAsia"/>
          <w:lang w:eastAsia="zh-CN"/>
        </w:rPr>
        <w:t>年：</w:t>
      </w:r>
      <w:r w:rsidR="0016087D" w:rsidRPr="00530F60">
        <w:rPr>
          <w:rFonts w:ascii="Calibri" w:hAnsi="Calibri" w:cs="Calibri" w:hint="eastAsia"/>
          <w:lang w:eastAsia="zh-CN"/>
        </w:rPr>
        <w:t>8</w:t>
      </w:r>
      <w:r w:rsidR="00D86CC6">
        <w:rPr>
          <w:rFonts w:ascii="Calibri" w:hAnsi="Calibri" w:cs="Calibri"/>
          <w:lang w:eastAsia="zh-CN"/>
        </w:rPr>
        <w:t xml:space="preserve"> </w:t>
      </w:r>
      <w:r w:rsidR="0016087D" w:rsidRPr="00530F60">
        <w:rPr>
          <w:rFonts w:ascii="Calibri" w:hAnsi="Calibri" w:cs="Calibri" w:hint="eastAsia"/>
          <w:lang w:eastAsia="zh-CN"/>
        </w:rPr>
        <w:t>620</w:t>
      </w:r>
      <w:r w:rsidR="0016087D" w:rsidRPr="00530F60">
        <w:rPr>
          <w:rFonts w:ascii="Calibri" w:hAnsi="Calibri" w:cs="Calibri" w:hint="eastAsia"/>
          <w:lang w:eastAsia="zh-CN"/>
        </w:rPr>
        <w:t>万</w:t>
      </w:r>
      <w:r w:rsidR="00CC5659" w:rsidRPr="00530F60">
        <w:rPr>
          <w:rFonts w:ascii="Calibri" w:hAnsi="Calibri" w:cs="Calibri" w:hint="eastAsia"/>
          <w:lang w:eastAsia="zh-CN"/>
        </w:rPr>
        <w:t>瑞郎</w:t>
      </w:r>
      <w:r w:rsidR="0016087D" w:rsidRPr="00530F60">
        <w:rPr>
          <w:rFonts w:ascii="Calibri" w:hAnsi="Calibri" w:cs="Calibri" w:hint="eastAsia"/>
          <w:lang w:eastAsia="zh-CN"/>
        </w:rPr>
        <w:t>）的不动产、厂房和设备以及无形资产。核心活动应收账款在减值</w:t>
      </w:r>
      <w:r w:rsidR="0016087D" w:rsidRPr="00530F60">
        <w:rPr>
          <w:rFonts w:ascii="Calibri" w:hAnsi="Calibri" w:cs="Calibri" w:hint="eastAsia"/>
          <w:lang w:eastAsia="zh-CN"/>
        </w:rPr>
        <w:t>3</w:t>
      </w:r>
      <w:r w:rsidR="00D86CC6">
        <w:rPr>
          <w:rFonts w:ascii="Calibri" w:hAnsi="Calibri" w:cs="Calibri"/>
          <w:lang w:eastAsia="zh-CN"/>
        </w:rPr>
        <w:t xml:space="preserve"> </w:t>
      </w:r>
      <w:r w:rsidR="0016087D" w:rsidRPr="00530F60">
        <w:rPr>
          <w:rFonts w:ascii="Calibri" w:hAnsi="Calibri" w:cs="Calibri" w:hint="eastAsia"/>
          <w:lang w:eastAsia="zh-CN"/>
        </w:rPr>
        <w:t>610</w:t>
      </w:r>
      <w:r w:rsidR="0016087D" w:rsidRPr="00530F60">
        <w:rPr>
          <w:rFonts w:ascii="Calibri" w:hAnsi="Calibri" w:cs="Calibri" w:hint="eastAsia"/>
          <w:lang w:eastAsia="zh-CN"/>
        </w:rPr>
        <w:t>万</w:t>
      </w:r>
      <w:r w:rsidR="00CC5659" w:rsidRPr="00530F60">
        <w:rPr>
          <w:rFonts w:ascii="Calibri" w:hAnsi="Calibri" w:cs="Calibri" w:hint="eastAsia"/>
          <w:lang w:eastAsia="zh-CN"/>
        </w:rPr>
        <w:t>瑞郎</w:t>
      </w:r>
      <w:r w:rsidR="0016087D" w:rsidRPr="00530F60">
        <w:rPr>
          <w:rFonts w:ascii="Calibri" w:hAnsi="Calibri" w:cs="Calibri" w:hint="eastAsia"/>
          <w:lang w:eastAsia="zh-CN"/>
        </w:rPr>
        <w:t>后降至</w:t>
      </w:r>
      <w:r w:rsidR="0016087D" w:rsidRPr="00530F60">
        <w:rPr>
          <w:rFonts w:ascii="Calibri" w:hAnsi="Calibri" w:cs="Calibri" w:hint="eastAsia"/>
          <w:lang w:eastAsia="zh-CN"/>
        </w:rPr>
        <w:t>1</w:t>
      </w:r>
      <w:r w:rsidR="00D86CC6">
        <w:rPr>
          <w:rFonts w:ascii="Calibri" w:hAnsi="Calibri" w:cs="Calibri"/>
          <w:lang w:eastAsia="zh-CN"/>
        </w:rPr>
        <w:t xml:space="preserve"> </w:t>
      </w:r>
      <w:r w:rsidR="0016087D" w:rsidRPr="00530F60">
        <w:rPr>
          <w:rFonts w:ascii="Calibri" w:hAnsi="Calibri" w:cs="Calibri" w:hint="eastAsia"/>
          <w:lang w:eastAsia="zh-CN"/>
        </w:rPr>
        <w:t>780</w:t>
      </w:r>
      <w:r w:rsidR="0016087D" w:rsidRPr="00530F60">
        <w:rPr>
          <w:rFonts w:ascii="Calibri" w:hAnsi="Calibri" w:cs="Calibri" w:hint="eastAsia"/>
          <w:lang w:eastAsia="zh-CN"/>
        </w:rPr>
        <w:t>万</w:t>
      </w:r>
      <w:r w:rsidR="00CC5659" w:rsidRPr="00530F60">
        <w:rPr>
          <w:rFonts w:ascii="Calibri" w:hAnsi="Calibri" w:cs="Calibri" w:hint="eastAsia"/>
          <w:lang w:eastAsia="zh-CN"/>
        </w:rPr>
        <w:t>瑞郎</w:t>
      </w:r>
      <w:r w:rsidR="0016087D" w:rsidRPr="00530F60">
        <w:rPr>
          <w:rFonts w:ascii="Calibri" w:hAnsi="Calibri" w:cs="Calibri" w:hint="eastAsia"/>
          <w:lang w:eastAsia="zh-CN"/>
        </w:rPr>
        <w:t>（</w:t>
      </w:r>
      <w:r w:rsidR="0016087D" w:rsidRPr="00530F60">
        <w:rPr>
          <w:rFonts w:ascii="Calibri" w:hAnsi="Calibri" w:cs="Calibri" w:hint="eastAsia"/>
          <w:lang w:eastAsia="zh-CN"/>
        </w:rPr>
        <w:t>2021</w:t>
      </w:r>
      <w:r w:rsidR="0016087D" w:rsidRPr="00530F60">
        <w:rPr>
          <w:rFonts w:ascii="Calibri" w:hAnsi="Calibri" w:cs="Calibri" w:hint="eastAsia"/>
          <w:lang w:eastAsia="zh-CN"/>
        </w:rPr>
        <w:t>年：</w:t>
      </w:r>
      <w:r w:rsidR="0016087D" w:rsidRPr="00530F60">
        <w:rPr>
          <w:rFonts w:ascii="Calibri" w:hAnsi="Calibri" w:cs="Calibri" w:hint="eastAsia"/>
          <w:lang w:eastAsia="zh-CN"/>
        </w:rPr>
        <w:t>1</w:t>
      </w:r>
      <w:r w:rsidR="00D86CC6">
        <w:rPr>
          <w:rFonts w:ascii="Calibri" w:hAnsi="Calibri" w:cs="Calibri"/>
          <w:lang w:eastAsia="zh-CN"/>
        </w:rPr>
        <w:t xml:space="preserve"> </w:t>
      </w:r>
      <w:r w:rsidR="0016087D" w:rsidRPr="00530F60">
        <w:rPr>
          <w:rFonts w:ascii="Calibri" w:hAnsi="Calibri" w:cs="Calibri" w:hint="eastAsia"/>
          <w:lang w:eastAsia="zh-CN"/>
        </w:rPr>
        <w:t>950</w:t>
      </w:r>
      <w:r w:rsidR="0016087D" w:rsidRPr="00530F60">
        <w:rPr>
          <w:rFonts w:ascii="Calibri" w:hAnsi="Calibri" w:cs="Calibri" w:hint="eastAsia"/>
          <w:lang w:eastAsia="zh-CN"/>
        </w:rPr>
        <w:t>万</w:t>
      </w:r>
      <w:r w:rsidR="00CC5659" w:rsidRPr="00530F60">
        <w:rPr>
          <w:rFonts w:ascii="Calibri" w:hAnsi="Calibri" w:cs="Calibri" w:hint="eastAsia"/>
          <w:lang w:eastAsia="zh-CN"/>
        </w:rPr>
        <w:t>瑞郎</w:t>
      </w:r>
      <w:r w:rsidR="0016087D" w:rsidRPr="00530F60">
        <w:rPr>
          <w:rFonts w:ascii="Calibri" w:hAnsi="Calibri" w:cs="Calibri" w:hint="eastAsia"/>
          <w:lang w:eastAsia="zh-CN"/>
        </w:rPr>
        <w:t>），管理层认为无法从成员和其他</w:t>
      </w:r>
      <w:r w:rsidR="00CC5659" w:rsidRPr="00530F60">
        <w:rPr>
          <w:rFonts w:ascii="Calibri" w:hAnsi="Calibri" w:cs="Calibri" w:hint="eastAsia"/>
          <w:lang w:eastAsia="zh-CN"/>
        </w:rPr>
        <w:t>业务</w:t>
      </w:r>
      <w:r w:rsidR="0016087D" w:rsidRPr="00530F60">
        <w:rPr>
          <w:rFonts w:ascii="Calibri" w:hAnsi="Calibri" w:cs="Calibri" w:hint="eastAsia"/>
          <w:lang w:eastAsia="zh-CN"/>
        </w:rPr>
        <w:t>用户处收回</w:t>
      </w:r>
      <w:r w:rsidR="00CC5659" w:rsidRPr="00530F60">
        <w:rPr>
          <w:rFonts w:ascii="Calibri" w:hAnsi="Calibri" w:cs="Calibri" w:hint="eastAsia"/>
          <w:lang w:eastAsia="zh-CN"/>
        </w:rPr>
        <w:t>这笔款项</w:t>
      </w:r>
      <w:r w:rsidR="0016087D" w:rsidRPr="00530F60">
        <w:rPr>
          <w:rFonts w:ascii="Calibri" w:hAnsi="Calibri" w:cs="Calibri" w:hint="eastAsia"/>
          <w:lang w:eastAsia="zh-CN"/>
        </w:rPr>
        <w:t>。这意味着秘书处可用于开展活动的资金大幅减少。加强信用控制程序对国际电联的财务健康和稳定至关重要，我们鼓励管理层在这一领域采取以下紧急行动。</w:t>
      </w:r>
    </w:p>
    <w:p w14:paraId="53034AE2" w14:textId="3F69AC4D" w:rsidR="002E31C4" w:rsidRPr="00530F60" w:rsidRDefault="002E31C4" w:rsidP="003C0ED8">
      <w:pPr>
        <w:pStyle w:val="MainTextNumbered"/>
        <w:numPr>
          <w:ilvl w:val="0"/>
          <w:numId w:val="0"/>
        </w:numPr>
        <w:tabs>
          <w:tab w:val="clear" w:pos="1080"/>
        </w:tabs>
        <w:rPr>
          <w:rFonts w:ascii="Calibri" w:hAnsi="Calibri" w:cs="Calibri"/>
          <w:lang w:eastAsia="zh-CN"/>
        </w:rPr>
      </w:pPr>
      <w:r w:rsidRPr="00530F60">
        <w:rPr>
          <w:rFonts w:ascii="Calibri" w:hAnsi="Calibri" w:cs="Calibri"/>
          <w:b/>
          <w:bCs/>
          <w:lang w:eastAsia="zh-CN"/>
        </w:rPr>
        <w:t>25</w:t>
      </w:r>
      <w:r w:rsidRPr="00530F60">
        <w:rPr>
          <w:rFonts w:ascii="Calibri" w:hAnsi="Calibri" w:cs="Calibri"/>
          <w:lang w:eastAsia="zh-CN"/>
        </w:rPr>
        <w:tab/>
      </w:r>
      <w:r w:rsidR="00CC5659" w:rsidRPr="00530F60">
        <w:rPr>
          <w:rFonts w:ascii="Calibri" w:hAnsi="Calibri" w:cs="Calibri" w:hint="eastAsia"/>
          <w:lang w:eastAsia="zh-CN"/>
        </w:rPr>
        <w:t>负债总额减少了</w:t>
      </w:r>
      <w:r w:rsidR="00CC5659" w:rsidRPr="00530F60">
        <w:rPr>
          <w:rFonts w:ascii="Calibri" w:hAnsi="Calibri" w:cs="Calibri" w:hint="eastAsia"/>
          <w:lang w:eastAsia="zh-CN"/>
        </w:rPr>
        <w:t>2.174</w:t>
      </w:r>
      <w:r w:rsidR="00CC5659" w:rsidRPr="00530F60">
        <w:rPr>
          <w:rFonts w:ascii="Calibri" w:hAnsi="Calibri" w:cs="Calibri" w:hint="eastAsia"/>
          <w:lang w:eastAsia="zh-CN"/>
        </w:rPr>
        <w:t>亿瑞郎，降至</w:t>
      </w:r>
      <w:r w:rsidR="00CC5659" w:rsidRPr="00530F60">
        <w:rPr>
          <w:rFonts w:ascii="Calibri" w:hAnsi="Calibri" w:cs="Calibri" w:hint="eastAsia"/>
          <w:lang w:eastAsia="zh-CN"/>
        </w:rPr>
        <w:t>5.309</w:t>
      </w:r>
      <w:r w:rsidR="00CC5659" w:rsidRPr="00530F60">
        <w:rPr>
          <w:rFonts w:ascii="Calibri" w:hAnsi="Calibri" w:cs="Calibri" w:hint="eastAsia"/>
          <w:lang w:eastAsia="zh-CN"/>
        </w:rPr>
        <w:t>亿瑞郎。负债包括提前收到的缴费</w:t>
      </w:r>
      <w:r w:rsidR="00CC5659" w:rsidRPr="00530F60">
        <w:rPr>
          <w:rFonts w:ascii="Calibri" w:hAnsi="Calibri" w:cs="Calibri" w:hint="eastAsia"/>
          <w:lang w:eastAsia="zh-CN"/>
        </w:rPr>
        <w:t>5</w:t>
      </w:r>
      <w:r w:rsidR="00D86CC6">
        <w:rPr>
          <w:rFonts w:ascii="Calibri" w:hAnsi="Calibri" w:cs="Calibri"/>
          <w:lang w:eastAsia="zh-CN"/>
        </w:rPr>
        <w:t> </w:t>
      </w:r>
      <w:r w:rsidR="00CC5659" w:rsidRPr="00530F60">
        <w:rPr>
          <w:rFonts w:ascii="Calibri" w:hAnsi="Calibri" w:cs="Calibri" w:hint="eastAsia"/>
          <w:lang w:eastAsia="zh-CN"/>
        </w:rPr>
        <w:t>080</w:t>
      </w:r>
      <w:r w:rsidR="00CC5659" w:rsidRPr="00530F60">
        <w:rPr>
          <w:rFonts w:ascii="Calibri" w:hAnsi="Calibri" w:cs="Calibri" w:hint="eastAsia"/>
          <w:lang w:eastAsia="zh-CN"/>
        </w:rPr>
        <w:t>万瑞郎（</w:t>
      </w:r>
      <w:r w:rsidR="00CC5659" w:rsidRPr="00530F60">
        <w:rPr>
          <w:rFonts w:ascii="Calibri" w:hAnsi="Calibri" w:cs="Calibri" w:hint="eastAsia"/>
          <w:lang w:eastAsia="zh-CN"/>
        </w:rPr>
        <w:t>2021</w:t>
      </w:r>
      <w:r w:rsidR="00CC5659" w:rsidRPr="00530F60">
        <w:rPr>
          <w:rFonts w:ascii="Calibri" w:hAnsi="Calibri" w:cs="Calibri" w:hint="eastAsia"/>
          <w:lang w:eastAsia="zh-CN"/>
        </w:rPr>
        <w:t>年：</w:t>
      </w:r>
      <w:r w:rsidR="00CC5659" w:rsidRPr="00530F60">
        <w:rPr>
          <w:rFonts w:ascii="Calibri" w:hAnsi="Calibri" w:cs="Calibri" w:hint="eastAsia"/>
          <w:lang w:eastAsia="zh-CN"/>
        </w:rPr>
        <w:t>5</w:t>
      </w:r>
      <w:r w:rsidR="00D86CC6">
        <w:rPr>
          <w:rFonts w:ascii="Calibri" w:hAnsi="Calibri" w:cs="Calibri"/>
          <w:lang w:eastAsia="zh-CN"/>
        </w:rPr>
        <w:t> </w:t>
      </w:r>
      <w:r w:rsidR="00CC5659" w:rsidRPr="00530F60">
        <w:rPr>
          <w:rFonts w:ascii="Calibri" w:hAnsi="Calibri" w:cs="Calibri" w:hint="eastAsia"/>
          <w:lang w:eastAsia="zh-CN"/>
        </w:rPr>
        <w:t>360</w:t>
      </w:r>
      <w:r w:rsidR="00CC5659" w:rsidRPr="00530F60">
        <w:rPr>
          <w:rFonts w:ascii="Calibri" w:hAnsi="Calibri" w:cs="Calibri" w:hint="eastAsia"/>
          <w:lang w:eastAsia="zh-CN"/>
        </w:rPr>
        <w:t>万瑞郎）、第三方（即捐赠方）资金</w:t>
      </w:r>
      <w:r w:rsidR="00CC5659" w:rsidRPr="00530F60">
        <w:rPr>
          <w:rFonts w:ascii="Calibri" w:hAnsi="Calibri" w:cs="Calibri" w:hint="eastAsia"/>
          <w:lang w:eastAsia="zh-CN"/>
        </w:rPr>
        <w:t>3</w:t>
      </w:r>
      <w:r w:rsidR="00D86CC6">
        <w:rPr>
          <w:rFonts w:ascii="Calibri" w:hAnsi="Calibri" w:cs="Calibri"/>
          <w:lang w:eastAsia="zh-CN"/>
        </w:rPr>
        <w:t> </w:t>
      </w:r>
      <w:r w:rsidR="00CC5659" w:rsidRPr="00530F60">
        <w:rPr>
          <w:rFonts w:ascii="Calibri" w:hAnsi="Calibri" w:cs="Calibri" w:hint="eastAsia"/>
          <w:lang w:eastAsia="zh-CN"/>
        </w:rPr>
        <w:t>800</w:t>
      </w:r>
      <w:r w:rsidR="00CC5659" w:rsidRPr="00530F60">
        <w:rPr>
          <w:rFonts w:ascii="Calibri" w:hAnsi="Calibri" w:cs="Calibri" w:hint="eastAsia"/>
          <w:lang w:eastAsia="zh-CN"/>
        </w:rPr>
        <w:t>万瑞郎（</w:t>
      </w:r>
      <w:r w:rsidR="00CC5659" w:rsidRPr="00530F60">
        <w:rPr>
          <w:rFonts w:ascii="Calibri" w:hAnsi="Calibri" w:cs="Calibri" w:hint="eastAsia"/>
          <w:lang w:eastAsia="zh-CN"/>
        </w:rPr>
        <w:t>2021</w:t>
      </w:r>
      <w:r w:rsidR="00CC5659" w:rsidRPr="00530F60">
        <w:rPr>
          <w:rFonts w:ascii="Calibri" w:hAnsi="Calibri" w:cs="Calibri" w:hint="eastAsia"/>
          <w:lang w:eastAsia="zh-CN"/>
        </w:rPr>
        <w:t>年：</w:t>
      </w:r>
      <w:r w:rsidR="00CC5659" w:rsidRPr="00530F60">
        <w:rPr>
          <w:rFonts w:ascii="Calibri" w:hAnsi="Calibri" w:cs="Calibri" w:hint="eastAsia"/>
          <w:lang w:eastAsia="zh-CN"/>
        </w:rPr>
        <w:t>4</w:t>
      </w:r>
      <w:r w:rsidR="00D86CC6">
        <w:rPr>
          <w:rFonts w:ascii="Calibri" w:hAnsi="Calibri" w:cs="Calibri"/>
          <w:lang w:eastAsia="zh-CN"/>
        </w:rPr>
        <w:t> </w:t>
      </w:r>
      <w:r w:rsidR="00CC5659" w:rsidRPr="00530F60">
        <w:rPr>
          <w:rFonts w:ascii="Calibri" w:hAnsi="Calibri" w:cs="Calibri" w:hint="eastAsia"/>
          <w:lang w:eastAsia="zh-CN"/>
        </w:rPr>
        <w:t>970</w:t>
      </w:r>
      <w:r w:rsidR="00CC5659" w:rsidRPr="00530F60">
        <w:rPr>
          <w:rFonts w:ascii="Calibri" w:hAnsi="Calibri" w:cs="Calibri" w:hint="eastAsia"/>
          <w:lang w:eastAsia="zh-CN"/>
        </w:rPr>
        <w:t>万瑞郎）、借款</w:t>
      </w:r>
      <w:r w:rsidR="00CC5659" w:rsidRPr="00530F60">
        <w:rPr>
          <w:rFonts w:ascii="Calibri" w:hAnsi="Calibri" w:cs="Calibri" w:hint="eastAsia"/>
          <w:lang w:eastAsia="zh-CN"/>
        </w:rPr>
        <w:t>4</w:t>
      </w:r>
      <w:r w:rsidR="00D86CC6">
        <w:rPr>
          <w:rFonts w:ascii="Calibri" w:hAnsi="Calibri" w:cs="Calibri"/>
          <w:lang w:eastAsia="zh-CN"/>
        </w:rPr>
        <w:t> </w:t>
      </w:r>
      <w:r w:rsidR="00CC5659" w:rsidRPr="00530F60">
        <w:rPr>
          <w:rFonts w:ascii="Calibri" w:hAnsi="Calibri" w:cs="Calibri" w:hint="eastAsia"/>
          <w:lang w:eastAsia="zh-CN"/>
        </w:rPr>
        <w:t>690</w:t>
      </w:r>
      <w:r w:rsidR="00CC5659" w:rsidRPr="00530F60">
        <w:rPr>
          <w:rFonts w:ascii="Calibri" w:hAnsi="Calibri" w:cs="Calibri" w:hint="eastAsia"/>
          <w:lang w:eastAsia="zh-CN"/>
        </w:rPr>
        <w:t>万瑞郎（</w:t>
      </w:r>
      <w:r w:rsidR="00CC5659" w:rsidRPr="00530F60">
        <w:rPr>
          <w:rFonts w:ascii="Calibri" w:hAnsi="Calibri" w:cs="Calibri" w:hint="eastAsia"/>
          <w:lang w:eastAsia="zh-CN"/>
        </w:rPr>
        <w:t>2021</w:t>
      </w:r>
      <w:r w:rsidR="00CC5659" w:rsidRPr="00530F60">
        <w:rPr>
          <w:rFonts w:ascii="Calibri" w:hAnsi="Calibri" w:cs="Calibri" w:hint="eastAsia"/>
          <w:lang w:eastAsia="zh-CN"/>
        </w:rPr>
        <w:t>年：</w:t>
      </w:r>
      <w:r w:rsidR="00CC5659" w:rsidRPr="00530F60">
        <w:rPr>
          <w:rFonts w:ascii="Calibri" w:hAnsi="Calibri" w:cs="Calibri" w:hint="eastAsia"/>
          <w:lang w:eastAsia="zh-CN"/>
        </w:rPr>
        <w:t>5</w:t>
      </w:r>
      <w:r w:rsidR="00D86CC6">
        <w:rPr>
          <w:rFonts w:ascii="Calibri" w:hAnsi="Calibri" w:cs="Calibri"/>
          <w:lang w:eastAsia="zh-CN"/>
        </w:rPr>
        <w:t> </w:t>
      </w:r>
      <w:r w:rsidR="00CC5659" w:rsidRPr="00530F60">
        <w:rPr>
          <w:rFonts w:ascii="Calibri" w:hAnsi="Calibri" w:cs="Calibri" w:hint="eastAsia"/>
          <w:lang w:eastAsia="zh-CN"/>
        </w:rPr>
        <w:t>200</w:t>
      </w:r>
      <w:r w:rsidR="00CC5659" w:rsidRPr="00530F60">
        <w:rPr>
          <w:rFonts w:ascii="Calibri" w:hAnsi="Calibri" w:cs="Calibri" w:hint="eastAsia"/>
          <w:lang w:eastAsia="zh-CN"/>
        </w:rPr>
        <w:t>万瑞郎）以及</w:t>
      </w:r>
      <w:r w:rsidR="00CC5659" w:rsidRPr="00530F60">
        <w:rPr>
          <w:rFonts w:ascii="Calibri" w:hAnsi="Calibri" w:cs="Calibri" w:hint="eastAsia"/>
          <w:lang w:eastAsia="zh-CN"/>
        </w:rPr>
        <w:t>3.687</w:t>
      </w:r>
      <w:r w:rsidR="00CC5659" w:rsidRPr="00530F60">
        <w:rPr>
          <w:rFonts w:ascii="Calibri" w:hAnsi="Calibri" w:cs="Calibri" w:hint="eastAsia"/>
          <w:lang w:eastAsia="zh-CN"/>
        </w:rPr>
        <w:t>亿瑞郎</w:t>
      </w:r>
      <w:r w:rsidR="00CC5659" w:rsidRPr="00530F60">
        <w:rPr>
          <w:rFonts w:ascii="Calibri" w:hAnsi="Calibri" w:cs="Calibri" w:hint="eastAsia"/>
          <w:lang w:eastAsia="zh-CN"/>
        </w:rPr>
        <w:lastRenderedPageBreak/>
        <w:t>（</w:t>
      </w:r>
      <w:r w:rsidR="00CC5659" w:rsidRPr="00530F60">
        <w:rPr>
          <w:rFonts w:ascii="Calibri" w:hAnsi="Calibri" w:cs="Calibri" w:hint="eastAsia"/>
          <w:lang w:eastAsia="zh-CN"/>
        </w:rPr>
        <w:t>2021</w:t>
      </w:r>
      <w:r w:rsidR="00CC5659" w:rsidRPr="00530F60">
        <w:rPr>
          <w:rFonts w:ascii="Calibri" w:hAnsi="Calibri" w:cs="Calibri" w:hint="eastAsia"/>
          <w:lang w:eastAsia="zh-CN"/>
        </w:rPr>
        <w:t>年：</w:t>
      </w:r>
      <w:r w:rsidR="00CC5659" w:rsidRPr="00530F60">
        <w:rPr>
          <w:rFonts w:ascii="Calibri" w:hAnsi="Calibri" w:cs="Calibri" w:hint="eastAsia"/>
          <w:lang w:eastAsia="zh-CN"/>
        </w:rPr>
        <w:t>5.705</w:t>
      </w:r>
      <w:r w:rsidR="00CC5659" w:rsidRPr="00530F60">
        <w:rPr>
          <w:rFonts w:ascii="Calibri" w:hAnsi="Calibri" w:cs="Calibri" w:hint="eastAsia"/>
          <w:lang w:eastAsia="zh-CN"/>
        </w:rPr>
        <w:t>亿瑞郎）的工作人员福利负债总额，其中</w:t>
      </w:r>
      <w:r w:rsidR="00CC5659" w:rsidRPr="00530F60">
        <w:rPr>
          <w:rFonts w:ascii="Calibri" w:hAnsi="Calibri" w:cs="Calibri" w:hint="eastAsia"/>
          <w:lang w:eastAsia="zh-CN"/>
        </w:rPr>
        <w:t>3.441</w:t>
      </w:r>
      <w:r w:rsidR="00CC5659" w:rsidRPr="00530F60">
        <w:rPr>
          <w:rFonts w:ascii="Calibri" w:hAnsi="Calibri" w:cs="Calibri" w:hint="eastAsia"/>
          <w:lang w:eastAsia="zh-CN"/>
        </w:rPr>
        <w:t>亿瑞郎涉及离职后健康保险，如财务报表注释</w:t>
      </w:r>
      <w:r w:rsidR="00CC5659" w:rsidRPr="00530F60">
        <w:rPr>
          <w:rFonts w:ascii="Calibri" w:hAnsi="Calibri" w:cs="Calibri" w:hint="eastAsia"/>
          <w:lang w:eastAsia="zh-CN"/>
        </w:rPr>
        <w:t>18</w:t>
      </w:r>
      <w:r w:rsidR="00CC5659" w:rsidRPr="00530F60">
        <w:rPr>
          <w:rFonts w:ascii="Calibri" w:hAnsi="Calibri" w:cs="Calibri" w:hint="eastAsia"/>
          <w:lang w:eastAsia="zh-CN"/>
        </w:rPr>
        <w:t>所示。</w:t>
      </w:r>
    </w:p>
    <w:p w14:paraId="405C9838" w14:textId="0490291A" w:rsidR="002E31C4" w:rsidRPr="00AC2D12" w:rsidRDefault="002E31C4" w:rsidP="003C0ED8">
      <w:pPr>
        <w:pStyle w:val="MainTextNumbered"/>
        <w:numPr>
          <w:ilvl w:val="0"/>
          <w:numId w:val="0"/>
        </w:numPr>
        <w:tabs>
          <w:tab w:val="clear" w:pos="1080"/>
        </w:tabs>
        <w:rPr>
          <w:rFonts w:ascii="Calibri" w:hAnsi="Calibri" w:cs="Calibri"/>
          <w:lang w:eastAsia="zh-CN"/>
        </w:rPr>
      </w:pPr>
      <w:r w:rsidRPr="00AC2D12">
        <w:rPr>
          <w:rFonts w:ascii="Calibri" w:hAnsi="Calibri" w:cs="Calibri"/>
          <w:b/>
          <w:bCs/>
          <w:lang w:eastAsia="zh-CN"/>
        </w:rPr>
        <w:t>26</w:t>
      </w:r>
      <w:r w:rsidRPr="00AC2D12">
        <w:rPr>
          <w:rFonts w:ascii="Calibri" w:hAnsi="Calibri" w:cs="Calibri"/>
          <w:lang w:eastAsia="zh-CN"/>
        </w:rPr>
        <w:tab/>
      </w:r>
      <w:r w:rsidR="00252D7B" w:rsidRPr="00AC2D12">
        <w:rPr>
          <w:rFonts w:ascii="Calibri" w:hAnsi="Calibri" w:cs="Calibri" w:hint="eastAsia"/>
          <w:lang w:eastAsia="zh-CN"/>
        </w:rPr>
        <w:t>国际电联的总体财务状况在过去三年中大致保持一致（现已重报），</w:t>
      </w:r>
      <w:r w:rsidR="00CA588E" w:rsidRPr="00AC2D12">
        <w:rPr>
          <w:rFonts w:ascii="Calibri" w:hAnsi="Calibri" w:cs="Calibri" w:hint="eastAsia"/>
          <w:lang w:eastAsia="zh-CN"/>
        </w:rPr>
        <w:t>尽管近期由于更广泛的金融市场的变化，职员福利精算估值</w:t>
      </w:r>
      <w:r w:rsidR="00252D7B" w:rsidRPr="00AC2D12">
        <w:rPr>
          <w:rFonts w:ascii="Calibri" w:hAnsi="Calibri" w:cs="Calibri" w:hint="eastAsia"/>
          <w:lang w:eastAsia="zh-CN"/>
        </w:rPr>
        <w:t>方面取得了重大收益</w:t>
      </w:r>
      <w:r w:rsidR="00CA588E" w:rsidRPr="00AC2D12">
        <w:rPr>
          <w:rFonts w:ascii="Calibri" w:hAnsi="Calibri" w:cs="Calibri" w:hint="eastAsia"/>
          <w:lang w:eastAsia="zh-CN"/>
        </w:rPr>
        <w:t>，</w:t>
      </w:r>
      <w:r w:rsidR="00252D7B" w:rsidRPr="00AC2D12">
        <w:rPr>
          <w:rFonts w:ascii="Calibri" w:hAnsi="Calibri" w:cs="Calibri" w:hint="eastAsia"/>
          <w:lang w:eastAsia="zh-CN"/>
        </w:rPr>
        <w:t>但</w:t>
      </w:r>
      <w:r w:rsidR="00CA588E" w:rsidRPr="00AC2D12">
        <w:rPr>
          <w:rFonts w:ascii="Calibri" w:hAnsi="Calibri" w:cs="Calibri" w:hint="eastAsia"/>
          <w:lang w:eastAsia="zh-CN"/>
        </w:rPr>
        <w:t>国际电联的净资产仍为负数。</w:t>
      </w:r>
      <w:r w:rsidR="00252D7B" w:rsidRPr="00AC2D12">
        <w:rPr>
          <w:rFonts w:ascii="Calibri" w:hAnsi="Calibri" w:cs="Calibri" w:hint="eastAsia"/>
          <w:lang w:eastAsia="zh-CN"/>
        </w:rPr>
        <w:t>我们在所有国际审计中都使用比率分析法来分析一个组织的财务状况，以显示财务状况随时间的变化情况。比率表示一个账项与另一个账项之间的关系。</w:t>
      </w:r>
      <w:r w:rsidR="00CA588E" w:rsidRPr="00AC2D12">
        <w:rPr>
          <w:rFonts w:ascii="Calibri" w:hAnsi="Calibri" w:cs="Calibri" w:hint="eastAsia"/>
          <w:lang w:eastAsia="zh-CN"/>
        </w:rPr>
        <w:t>例如，每</w:t>
      </w:r>
      <w:r w:rsidR="00CA588E" w:rsidRPr="00AC2D12">
        <w:rPr>
          <w:rFonts w:ascii="Calibri" w:hAnsi="Calibri" w:cs="Calibri" w:hint="eastAsia"/>
          <w:lang w:eastAsia="zh-CN"/>
        </w:rPr>
        <w:t>1</w:t>
      </w:r>
      <w:r w:rsidR="00CA588E" w:rsidRPr="00AC2D12">
        <w:rPr>
          <w:rFonts w:ascii="Calibri" w:hAnsi="Calibri" w:cs="Calibri" w:hint="eastAsia"/>
          <w:lang w:eastAsia="zh-CN"/>
        </w:rPr>
        <w:t>瑞郎的流动负债对应</w:t>
      </w:r>
      <w:r w:rsidR="00CA588E" w:rsidRPr="00AC2D12">
        <w:rPr>
          <w:rFonts w:ascii="Calibri" w:hAnsi="Calibri" w:cs="Calibri" w:hint="eastAsia"/>
          <w:lang w:eastAsia="zh-CN"/>
        </w:rPr>
        <w:t>3</w:t>
      </w:r>
      <w:r w:rsidR="00CA588E" w:rsidRPr="00AC2D12">
        <w:rPr>
          <w:rFonts w:ascii="Calibri" w:hAnsi="Calibri" w:cs="Calibri" w:hint="eastAsia"/>
          <w:lang w:eastAsia="zh-CN"/>
        </w:rPr>
        <w:t>瑞郎的流动资产，这表明国际电联能够满足其</w:t>
      </w:r>
      <w:r w:rsidR="00252D7B" w:rsidRPr="00AC2D12">
        <w:rPr>
          <w:rFonts w:ascii="Calibri" w:hAnsi="Calibri" w:cs="Calibri" w:hint="eastAsia"/>
          <w:lang w:eastAsia="zh-CN"/>
        </w:rPr>
        <w:t>即时</w:t>
      </w:r>
      <w:r w:rsidR="00CA588E" w:rsidRPr="00AC2D12">
        <w:rPr>
          <w:rFonts w:ascii="Calibri" w:hAnsi="Calibri" w:cs="Calibri" w:hint="eastAsia"/>
          <w:lang w:eastAsia="zh-CN"/>
        </w:rPr>
        <w:t>现金流需求。这主要是因为国际电联现行的现金管理政策，</w:t>
      </w:r>
      <w:r w:rsidR="00252D7B" w:rsidRPr="00AC2D12">
        <w:rPr>
          <w:rFonts w:ascii="Calibri" w:hAnsi="Calibri" w:cs="Calibri" w:hint="eastAsia"/>
          <w:lang w:eastAsia="zh-CN"/>
        </w:rPr>
        <w:t>该政策意味着其现金和投资作为流动资产持有，即使它们支持非流动负债，如捐赠基金和储备金账户，包括员工福利。</w:t>
      </w:r>
    </w:p>
    <w:tbl>
      <w:tblPr>
        <w:tblW w:w="5000" w:type="pct"/>
        <w:tblLayout w:type="fixed"/>
        <w:tblLook w:val="0600" w:firstRow="0" w:lastRow="0" w:firstColumn="0" w:lastColumn="0" w:noHBand="1" w:noVBand="1"/>
      </w:tblPr>
      <w:tblGrid>
        <w:gridCol w:w="1912"/>
        <w:gridCol w:w="1914"/>
        <w:gridCol w:w="1914"/>
        <w:gridCol w:w="1914"/>
      </w:tblGrid>
      <w:tr w:rsidR="002E31C4" w14:paraId="63ABD49C" w14:textId="77777777" w:rsidTr="00046AD5">
        <w:tc>
          <w:tcPr>
            <w:tcW w:w="7654" w:type="dxa"/>
            <w:gridSpan w:val="4"/>
            <w:hideMark/>
          </w:tcPr>
          <w:p w14:paraId="3B486733" w14:textId="552E1E8A" w:rsidR="002E31C4" w:rsidRPr="00AC2D12" w:rsidRDefault="00CA2164">
            <w:pPr>
              <w:pStyle w:val="Caption"/>
              <w:rPr>
                <w:rFonts w:ascii="Calibri" w:eastAsia="SimSun" w:hAnsi="Calibri" w:cs="Calibri"/>
                <w:lang w:eastAsia="zh-CN"/>
              </w:rPr>
            </w:pPr>
            <w:r w:rsidRPr="00AC2D12">
              <w:rPr>
                <w:rFonts w:ascii="Calibri" w:eastAsia="SimSun" w:hAnsi="Calibri" w:cs="Calibri" w:hint="eastAsia"/>
                <w:lang w:eastAsia="zh-CN"/>
              </w:rPr>
              <w:t>图</w:t>
            </w:r>
            <w:r w:rsidRPr="00AC2D12">
              <w:rPr>
                <w:rFonts w:ascii="Calibri" w:eastAsia="SimSun" w:hAnsi="Calibri" w:cs="Calibri" w:hint="eastAsia"/>
                <w:lang w:eastAsia="zh-CN"/>
              </w:rPr>
              <w:t xml:space="preserve">1 </w:t>
            </w:r>
            <w:r w:rsidR="00AC2D12" w:rsidRPr="00AC2D12">
              <w:rPr>
                <w:rFonts w:ascii="Calibri" w:eastAsia="SimSun" w:hAnsi="Calibri" w:cs="Calibri"/>
                <w:lang w:eastAsia="zh-CN"/>
              </w:rPr>
              <w:t>–</w:t>
            </w:r>
            <w:r w:rsidRPr="00AC2D12">
              <w:rPr>
                <w:rFonts w:ascii="Calibri" w:eastAsia="SimSun" w:hAnsi="Calibri" w:cs="Calibri" w:hint="eastAsia"/>
                <w:lang w:eastAsia="zh-CN"/>
              </w:rPr>
              <w:t xml:space="preserve"> </w:t>
            </w:r>
            <w:r w:rsidRPr="00AC2D12">
              <w:rPr>
                <w:rFonts w:ascii="Calibri" w:eastAsia="SimSun" w:hAnsi="Calibri" w:cs="Calibri" w:hint="eastAsia"/>
                <w:lang w:eastAsia="zh-CN"/>
              </w:rPr>
              <w:t>国际电联主要财务健康比率分析</w:t>
            </w:r>
          </w:p>
        </w:tc>
      </w:tr>
      <w:tr w:rsidR="002E31C4" w14:paraId="0821A3F3" w14:textId="77777777" w:rsidTr="00046AD5">
        <w:tc>
          <w:tcPr>
            <w:tcW w:w="1912" w:type="dxa"/>
            <w:hideMark/>
          </w:tcPr>
          <w:p w14:paraId="520850A5" w14:textId="1CE64352" w:rsidR="002E31C4" w:rsidRPr="00AC2D12" w:rsidRDefault="00CA2164">
            <w:pPr>
              <w:pStyle w:val="ColumnHeading"/>
              <w:rPr>
                <w:rFonts w:ascii="Calibri" w:eastAsia="SimSun" w:hAnsi="Calibri" w:cs="Calibri"/>
              </w:rPr>
            </w:pPr>
            <w:r w:rsidRPr="00AC2D12">
              <w:rPr>
                <w:rFonts w:ascii="Calibri" w:eastAsia="SimSun" w:hAnsi="Calibri" w:cs="Calibri" w:hint="eastAsia"/>
                <w:lang w:eastAsia="zh-CN"/>
              </w:rPr>
              <w:t>比率</w:t>
            </w:r>
          </w:p>
        </w:tc>
        <w:tc>
          <w:tcPr>
            <w:tcW w:w="1914" w:type="dxa"/>
            <w:hideMark/>
          </w:tcPr>
          <w:p w14:paraId="240A99F8" w14:textId="08FF3E38" w:rsidR="002E31C4" w:rsidRPr="00AC2D12" w:rsidRDefault="002E31C4">
            <w:pPr>
              <w:pStyle w:val="ColumnHeading"/>
              <w:rPr>
                <w:rFonts w:ascii="Calibri" w:eastAsia="SimSun" w:hAnsi="Calibri" w:cs="Calibri"/>
              </w:rPr>
            </w:pPr>
            <w:r w:rsidRPr="00AC2D12">
              <w:rPr>
                <w:rFonts w:ascii="Calibri" w:eastAsia="SimSun" w:hAnsi="Calibri" w:cs="Calibri"/>
              </w:rPr>
              <w:t>2022</w:t>
            </w:r>
            <w:r w:rsidR="00CA2164" w:rsidRPr="00AC2D12">
              <w:rPr>
                <w:rFonts w:ascii="Calibri" w:eastAsia="SimSun" w:hAnsi="Calibri" w:cs="Calibri" w:hint="eastAsia"/>
                <w:lang w:eastAsia="zh-CN"/>
              </w:rPr>
              <w:t>年</w:t>
            </w:r>
          </w:p>
        </w:tc>
        <w:tc>
          <w:tcPr>
            <w:tcW w:w="1914" w:type="dxa"/>
            <w:hideMark/>
          </w:tcPr>
          <w:p w14:paraId="45C17245" w14:textId="2145C186" w:rsidR="002E31C4" w:rsidRPr="00AC2D12" w:rsidRDefault="002E31C4">
            <w:pPr>
              <w:pStyle w:val="ColumnHeading"/>
              <w:rPr>
                <w:rFonts w:ascii="Calibri" w:eastAsia="SimSun" w:hAnsi="Calibri" w:cs="Calibri"/>
              </w:rPr>
            </w:pPr>
            <w:r w:rsidRPr="00AC2D12">
              <w:rPr>
                <w:rFonts w:ascii="Calibri" w:eastAsia="SimSun" w:hAnsi="Calibri" w:cs="Calibri"/>
              </w:rPr>
              <w:t>2021</w:t>
            </w:r>
            <w:r w:rsidR="00CA2164" w:rsidRPr="00AC2D12">
              <w:rPr>
                <w:rFonts w:ascii="Calibri" w:eastAsia="SimSun" w:hAnsi="Calibri" w:cs="Calibri" w:hint="eastAsia"/>
                <w:lang w:eastAsia="zh-CN"/>
              </w:rPr>
              <w:t>年</w:t>
            </w:r>
          </w:p>
        </w:tc>
        <w:tc>
          <w:tcPr>
            <w:tcW w:w="1914" w:type="dxa"/>
            <w:hideMark/>
          </w:tcPr>
          <w:p w14:paraId="29499D3B" w14:textId="6166D474" w:rsidR="002E31C4" w:rsidRPr="00AC2D12" w:rsidRDefault="002E31C4">
            <w:pPr>
              <w:pStyle w:val="ColumnHeading"/>
              <w:rPr>
                <w:rFonts w:ascii="Calibri" w:eastAsia="SimSun" w:hAnsi="Calibri" w:cs="Calibri"/>
              </w:rPr>
            </w:pPr>
            <w:r w:rsidRPr="00AC2D12">
              <w:rPr>
                <w:rFonts w:ascii="Calibri" w:eastAsia="SimSun" w:hAnsi="Calibri" w:cs="Calibri"/>
              </w:rPr>
              <w:t>2020</w:t>
            </w:r>
            <w:r w:rsidR="00CA2164" w:rsidRPr="00AC2D12">
              <w:rPr>
                <w:rFonts w:ascii="Calibri" w:eastAsia="SimSun" w:hAnsi="Calibri" w:cs="Calibri" w:hint="eastAsia"/>
                <w:lang w:eastAsia="zh-CN"/>
              </w:rPr>
              <w:t>年</w:t>
            </w:r>
          </w:p>
        </w:tc>
      </w:tr>
      <w:tr w:rsidR="002E31C4" w14:paraId="26AD6B0E" w14:textId="77777777" w:rsidTr="00046AD5">
        <w:tc>
          <w:tcPr>
            <w:tcW w:w="1912" w:type="dxa"/>
            <w:hideMark/>
          </w:tcPr>
          <w:p w14:paraId="4E83591E" w14:textId="61C70CD2" w:rsidR="00CA2164" w:rsidRPr="00F8602D" w:rsidRDefault="00CA2164">
            <w:pPr>
              <w:pStyle w:val="Figuretext"/>
              <w:rPr>
                <w:rStyle w:val="Bold"/>
                <w:rFonts w:ascii="Calibri" w:hAnsi="Calibri" w:cs="Calibri"/>
                <w:lang w:val="en-GB"/>
              </w:rPr>
            </w:pPr>
            <w:r w:rsidRPr="00AC2D12">
              <w:rPr>
                <w:rStyle w:val="Bold"/>
                <w:rFonts w:ascii="Calibri" w:hAnsi="Calibri" w:cs="Calibri" w:hint="eastAsia"/>
                <w:lang w:val="fr-FR"/>
              </w:rPr>
              <w:t>流动比率</w:t>
            </w:r>
          </w:p>
          <w:p w14:paraId="1918386B" w14:textId="1A126397" w:rsidR="002E31C4" w:rsidRPr="00F8602D" w:rsidRDefault="00CA2164">
            <w:pPr>
              <w:pStyle w:val="Figuretext"/>
              <w:rPr>
                <w:rFonts w:ascii="Calibri" w:hAnsi="Calibri" w:cs="Calibri"/>
                <w:b/>
                <w:bCs/>
                <w:lang w:val="en-GB"/>
              </w:rPr>
            </w:pPr>
            <w:r w:rsidRPr="00AC2D12">
              <w:rPr>
                <w:rStyle w:val="Bold"/>
                <w:rFonts w:ascii="Calibri" w:hAnsi="Calibri" w:cs="Calibri" w:hint="eastAsia"/>
                <w:b w:val="0"/>
                <w:bCs w:val="0"/>
                <w:lang w:val="fr-FR"/>
              </w:rPr>
              <w:t>流动资产</w:t>
            </w:r>
            <w:r w:rsidRPr="00F8602D">
              <w:rPr>
                <w:rStyle w:val="Bold"/>
                <w:rFonts w:ascii="Calibri" w:hAnsi="Calibri" w:cs="Calibri" w:hint="eastAsia"/>
                <w:b w:val="0"/>
                <w:bCs w:val="0"/>
                <w:lang w:val="en-GB"/>
              </w:rPr>
              <w:t>：</w:t>
            </w:r>
            <w:r w:rsidRPr="00AC2D12">
              <w:rPr>
                <w:rStyle w:val="Bold"/>
                <w:rFonts w:ascii="Calibri" w:hAnsi="Calibri" w:cs="Calibri" w:hint="eastAsia"/>
                <w:b w:val="0"/>
                <w:bCs w:val="0"/>
                <w:lang w:val="fr-FR"/>
              </w:rPr>
              <w:t>流动负债</w:t>
            </w:r>
          </w:p>
        </w:tc>
        <w:tc>
          <w:tcPr>
            <w:tcW w:w="1914" w:type="dxa"/>
            <w:hideMark/>
          </w:tcPr>
          <w:p w14:paraId="5139328B" w14:textId="77777777" w:rsidR="002E31C4" w:rsidRPr="00AC2D12" w:rsidRDefault="002E31C4">
            <w:pPr>
              <w:pStyle w:val="Figuretext"/>
              <w:rPr>
                <w:rFonts w:ascii="Calibri" w:hAnsi="Calibri" w:cs="Calibri"/>
                <w:lang w:val="fr-FR"/>
              </w:rPr>
            </w:pPr>
            <w:r w:rsidRPr="00AC2D12">
              <w:rPr>
                <w:rFonts w:ascii="Calibri" w:hAnsi="Calibri" w:cs="Calibri"/>
              </w:rPr>
              <w:t>3.0</w:t>
            </w:r>
          </w:p>
        </w:tc>
        <w:tc>
          <w:tcPr>
            <w:tcW w:w="1914" w:type="dxa"/>
            <w:hideMark/>
          </w:tcPr>
          <w:p w14:paraId="1A54D7E3" w14:textId="77777777" w:rsidR="002E31C4" w:rsidRPr="00AC2D12" w:rsidRDefault="002E31C4">
            <w:pPr>
              <w:pStyle w:val="Figuretext"/>
              <w:rPr>
                <w:rFonts w:ascii="Calibri" w:hAnsi="Calibri" w:cs="Calibri"/>
                <w:lang w:val="fr-FR"/>
              </w:rPr>
            </w:pPr>
            <w:r w:rsidRPr="00AC2D12">
              <w:rPr>
                <w:rFonts w:ascii="Calibri" w:hAnsi="Calibri" w:cs="Calibri"/>
              </w:rPr>
              <w:t>3.2</w:t>
            </w:r>
          </w:p>
        </w:tc>
        <w:tc>
          <w:tcPr>
            <w:tcW w:w="1914" w:type="dxa"/>
            <w:hideMark/>
          </w:tcPr>
          <w:p w14:paraId="43EAEDB1" w14:textId="77777777" w:rsidR="002E31C4" w:rsidRPr="00AC2D12" w:rsidRDefault="002E31C4">
            <w:pPr>
              <w:pStyle w:val="Figuretext"/>
              <w:rPr>
                <w:rFonts w:ascii="Calibri" w:hAnsi="Calibri" w:cs="Calibri"/>
                <w:lang w:val="fr-FR"/>
              </w:rPr>
            </w:pPr>
            <w:r w:rsidRPr="00AC2D12">
              <w:rPr>
                <w:rFonts w:ascii="Calibri" w:hAnsi="Calibri" w:cs="Calibri"/>
              </w:rPr>
              <w:t>3.3</w:t>
            </w:r>
          </w:p>
        </w:tc>
      </w:tr>
      <w:tr w:rsidR="002E31C4" w14:paraId="21A7FFBA" w14:textId="77777777" w:rsidTr="00046AD5">
        <w:tc>
          <w:tcPr>
            <w:tcW w:w="1912" w:type="dxa"/>
            <w:hideMark/>
          </w:tcPr>
          <w:p w14:paraId="3756C925" w14:textId="7E4A59E7" w:rsidR="00AC2D12" w:rsidRDefault="00CA2164">
            <w:pPr>
              <w:pStyle w:val="Figuretext"/>
              <w:rPr>
                <w:rStyle w:val="Bold"/>
                <w:rFonts w:ascii="Calibri" w:hAnsi="Calibri" w:cs="Calibri"/>
              </w:rPr>
            </w:pPr>
            <w:r w:rsidRPr="00AC2D12">
              <w:rPr>
                <w:rStyle w:val="Bold"/>
                <w:rFonts w:ascii="Calibri" w:hAnsi="Calibri" w:cs="Calibri" w:hint="eastAsia"/>
              </w:rPr>
              <w:t>资产总额：负债总额</w:t>
            </w:r>
          </w:p>
          <w:p w14:paraId="609E7AB1" w14:textId="4E0387F3" w:rsidR="002E31C4" w:rsidRPr="00F8602D" w:rsidRDefault="00CA2164">
            <w:pPr>
              <w:pStyle w:val="Figuretext"/>
              <w:rPr>
                <w:rFonts w:ascii="Calibri" w:hAnsi="Calibri" w:cs="Calibri"/>
                <w:lang w:val="en-GB"/>
              </w:rPr>
            </w:pPr>
            <w:r w:rsidRPr="00AC2D12">
              <w:rPr>
                <w:rStyle w:val="Bold"/>
                <w:rFonts w:ascii="Calibri" w:hAnsi="Calibri" w:cs="Calibri" w:hint="eastAsia"/>
                <w:b w:val="0"/>
                <w:bCs w:val="0"/>
              </w:rPr>
              <w:t>资产：负债</w:t>
            </w:r>
          </w:p>
        </w:tc>
        <w:tc>
          <w:tcPr>
            <w:tcW w:w="1914" w:type="dxa"/>
            <w:hideMark/>
          </w:tcPr>
          <w:p w14:paraId="3AD5D32F" w14:textId="3870FAE2" w:rsidR="002E31C4" w:rsidRPr="00AC2D12" w:rsidRDefault="002E31C4">
            <w:pPr>
              <w:pStyle w:val="Figuretext"/>
              <w:rPr>
                <w:rFonts w:ascii="Calibri" w:hAnsi="Calibri" w:cs="Calibri"/>
                <w:lang w:val="fr-FR"/>
              </w:rPr>
            </w:pPr>
            <w:r w:rsidRPr="00AC2D12">
              <w:rPr>
                <w:rFonts w:ascii="Calibri" w:hAnsi="Calibri" w:cs="Calibri"/>
              </w:rPr>
              <w:t>0.6</w:t>
            </w:r>
          </w:p>
        </w:tc>
        <w:tc>
          <w:tcPr>
            <w:tcW w:w="1914" w:type="dxa"/>
            <w:hideMark/>
          </w:tcPr>
          <w:p w14:paraId="381387B8" w14:textId="77777777" w:rsidR="002E31C4" w:rsidRPr="00AC2D12" w:rsidRDefault="002E31C4">
            <w:pPr>
              <w:pStyle w:val="Figuretext"/>
              <w:rPr>
                <w:rFonts w:ascii="Calibri" w:hAnsi="Calibri" w:cs="Calibri"/>
                <w:lang w:val="fr-FR"/>
              </w:rPr>
            </w:pPr>
            <w:r w:rsidRPr="00AC2D12">
              <w:rPr>
                <w:rFonts w:ascii="Calibri" w:hAnsi="Calibri" w:cs="Calibri"/>
              </w:rPr>
              <w:t>0.5</w:t>
            </w:r>
          </w:p>
        </w:tc>
        <w:tc>
          <w:tcPr>
            <w:tcW w:w="1914" w:type="dxa"/>
            <w:hideMark/>
          </w:tcPr>
          <w:p w14:paraId="604A68EC" w14:textId="77777777" w:rsidR="002E31C4" w:rsidRPr="00AC2D12" w:rsidRDefault="002E31C4">
            <w:pPr>
              <w:pStyle w:val="Figuretext"/>
              <w:rPr>
                <w:rFonts w:ascii="Calibri" w:hAnsi="Calibri" w:cs="Calibri"/>
                <w:lang w:val="fr-FR"/>
              </w:rPr>
            </w:pPr>
            <w:r w:rsidRPr="00AC2D12">
              <w:rPr>
                <w:rFonts w:ascii="Calibri" w:hAnsi="Calibri" w:cs="Calibri"/>
              </w:rPr>
              <w:t>0.4</w:t>
            </w:r>
          </w:p>
        </w:tc>
      </w:tr>
      <w:tr w:rsidR="002E31C4" w14:paraId="566AEDE9" w14:textId="77777777" w:rsidTr="00046AD5">
        <w:tc>
          <w:tcPr>
            <w:tcW w:w="1912" w:type="dxa"/>
            <w:hideMark/>
          </w:tcPr>
          <w:p w14:paraId="6DAEEABE" w14:textId="77777777" w:rsidR="00CA2164" w:rsidRPr="00AC2D12" w:rsidRDefault="00CA2164">
            <w:pPr>
              <w:pStyle w:val="Figuretext"/>
              <w:rPr>
                <w:rStyle w:val="Bold"/>
                <w:rFonts w:ascii="Calibri" w:hAnsi="Calibri" w:cs="Calibri"/>
              </w:rPr>
            </w:pPr>
            <w:r w:rsidRPr="00AC2D12">
              <w:rPr>
                <w:rStyle w:val="Bold"/>
                <w:rFonts w:ascii="Calibri" w:hAnsi="Calibri" w:cs="Calibri" w:hint="eastAsia"/>
              </w:rPr>
              <w:t>现金比率：</w:t>
            </w:r>
          </w:p>
          <w:p w14:paraId="34A59213" w14:textId="184A0636" w:rsidR="002E31C4" w:rsidRPr="00AC2D12" w:rsidRDefault="00CA2164">
            <w:pPr>
              <w:pStyle w:val="Figuretext"/>
              <w:rPr>
                <w:rFonts w:ascii="Calibri" w:hAnsi="Calibri" w:cs="Calibri"/>
                <w:b/>
                <w:bCs/>
              </w:rPr>
            </w:pPr>
            <w:r w:rsidRPr="00AC2D12">
              <w:rPr>
                <w:rStyle w:val="Bold"/>
                <w:rFonts w:ascii="Calibri" w:hAnsi="Calibri" w:cs="Calibri" w:hint="eastAsia"/>
                <w:b w:val="0"/>
                <w:bCs w:val="0"/>
              </w:rPr>
              <w:t>现金和短期投资：</w:t>
            </w:r>
            <w:r w:rsidR="007454FA">
              <w:rPr>
                <w:rStyle w:val="Bold"/>
                <w:rFonts w:ascii="Calibri" w:hAnsi="Calibri" w:cs="Calibri"/>
                <w:b w:val="0"/>
                <w:bCs w:val="0"/>
              </w:rPr>
              <w:br/>
            </w:r>
            <w:r w:rsidRPr="00AC2D12">
              <w:rPr>
                <w:rStyle w:val="Bold"/>
                <w:rFonts w:ascii="Calibri" w:hAnsi="Calibri" w:cs="Calibri" w:hint="eastAsia"/>
                <w:b w:val="0"/>
                <w:bCs w:val="0"/>
              </w:rPr>
              <w:t>流动负债</w:t>
            </w:r>
          </w:p>
        </w:tc>
        <w:tc>
          <w:tcPr>
            <w:tcW w:w="1914" w:type="dxa"/>
            <w:hideMark/>
          </w:tcPr>
          <w:p w14:paraId="4EE1B1E0" w14:textId="77777777" w:rsidR="002E31C4" w:rsidRPr="00AC2D12" w:rsidRDefault="002E31C4">
            <w:pPr>
              <w:pStyle w:val="Figuretext"/>
              <w:rPr>
                <w:rFonts w:ascii="Calibri" w:hAnsi="Calibri" w:cs="Calibri"/>
              </w:rPr>
            </w:pPr>
            <w:r w:rsidRPr="00AC2D12">
              <w:rPr>
                <w:rFonts w:ascii="Calibri" w:hAnsi="Calibri" w:cs="Calibri"/>
              </w:rPr>
              <w:t>2.7</w:t>
            </w:r>
          </w:p>
        </w:tc>
        <w:tc>
          <w:tcPr>
            <w:tcW w:w="1914" w:type="dxa"/>
            <w:hideMark/>
          </w:tcPr>
          <w:p w14:paraId="4371C973" w14:textId="77777777" w:rsidR="002E31C4" w:rsidRPr="00AC2D12" w:rsidRDefault="002E31C4">
            <w:pPr>
              <w:pStyle w:val="Figuretext"/>
              <w:rPr>
                <w:rFonts w:ascii="Calibri" w:hAnsi="Calibri" w:cs="Calibri"/>
              </w:rPr>
            </w:pPr>
            <w:r w:rsidRPr="00AC2D12">
              <w:rPr>
                <w:rFonts w:ascii="Calibri" w:hAnsi="Calibri" w:cs="Calibri"/>
              </w:rPr>
              <w:t>2.8</w:t>
            </w:r>
          </w:p>
        </w:tc>
        <w:tc>
          <w:tcPr>
            <w:tcW w:w="1914" w:type="dxa"/>
            <w:hideMark/>
          </w:tcPr>
          <w:p w14:paraId="7F4A09E7" w14:textId="77777777" w:rsidR="002E31C4" w:rsidRPr="00AC2D12" w:rsidRDefault="002E31C4">
            <w:pPr>
              <w:pStyle w:val="Figuretext"/>
              <w:rPr>
                <w:rFonts w:ascii="Calibri" w:hAnsi="Calibri" w:cs="Calibri"/>
              </w:rPr>
            </w:pPr>
            <w:r w:rsidRPr="00AC2D12">
              <w:rPr>
                <w:rFonts w:ascii="Calibri" w:hAnsi="Calibri" w:cs="Calibri"/>
              </w:rPr>
              <w:t>2.9</w:t>
            </w:r>
          </w:p>
        </w:tc>
      </w:tr>
      <w:tr w:rsidR="002E31C4" w14:paraId="2BF9BF6C" w14:textId="77777777" w:rsidTr="00046AD5">
        <w:tc>
          <w:tcPr>
            <w:tcW w:w="1912" w:type="dxa"/>
            <w:hideMark/>
          </w:tcPr>
          <w:p w14:paraId="14A4F9D3" w14:textId="77777777" w:rsidR="00CA2164" w:rsidRPr="00AC2D12" w:rsidRDefault="00CA2164">
            <w:pPr>
              <w:pStyle w:val="Figuretext"/>
              <w:rPr>
                <w:rStyle w:val="Bold"/>
                <w:rFonts w:ascii="Calibri" w:hAnsi="Calibri" w:cs="Calibri"/>
              </w:rPr>
            </w:pPr>
            <w:r w:rsidRPr="00AC2D12">
              <w:rPr>
                <w:rStyle w:val="Bold"/>
                <w:rFonts w:ascii="Calibri" w:hAnsi="Calibri" w:cs="Calibri" w:hint="eastAsia"/>
              </w:rPr>
              <w:t>投资比率：</w:t>
            </w:r>
          </w:p>
          <w:p w14:paraId="302E3357" w14:textId="5E2A37A1" w:rsidR="002E31C4" w:rsidRPr="00AC2D12" w:rsidRDefault="00CA2164">
            <w:pPr>
              <w:pStyle w:val="Figuretext"/>
              <w:rPr>
                <w:rFonts w:ascii="Calibri" w:hAnsi="Calibri" w:cs="Calibri"/>
                <w:b/>
                <w:bCs/>
              </w:rPr>
            </w:pPr>
            <w:r w:rsidRPr="00AC2D12">
              <w:rPr>
                <w:rStyle w:val="Bold"/>
                <w:rFonts w:ascii="Calibri" w:hAnsi="Calibri" w:cs="Calibri" w:hint="eastAsia"/>
                <w:b w:val="0"/>
                <w:bCs w:val="0"/>
              </w:rPr>
              <w:t>现金和投资：总资产</w:t>
            </w:r>
          </w:p>
        </w:tc>
        <w:tc>
          <w:tcPr>
            <w:tcW w:w="1914" w:type="dxa"/>
            <w:hideMark/>
          </w:tcPr>
          <w:p w14:paraId="77746A4B" w14:textId="77777777" w:rsidR="002E31C4" w:rsidRPr="00AC2D12" w:rsidRDefault="002E31C4">
            <w:pPr>
              <w:pStyle w:val="Figuretext"/>
              <w:rPr>
                <w:rFonts w:ascii="Calibri" w:hAnsi="Calibri" w:cs="Calibri"/>
              </w:rPr>
            </w:pPr>
            <w:r w:rsidRPr="00AC2D12">
              <w:rPr>
                <w:rFonts w:ascii="Calibri" w:hAnsi="Calibri" w:cs="Calibri"/>
              </w:rPr>
              <w:t>0.7</w:t>
            </w:r>
          </w:p>
        </w:tc>
        <w:tc>
          <w:tcPr>
            <w:tcW w:w="1914" w:type="dxa"/>
            <w:hideMark/>
          </w:tcPr>
          <w:p w14:paraId="481EA958" w14:textId="77777777" w:rsidR="002E31C4" w:rsidRPr="00AC2D12" w:rsidRDefault="002E31C4">
            <w:pPr>
              <w:pStyle w:val="Figuretext"/>
              <w:rPr>
                <w:rFonts w:ascii="Calibri" w:hAnsi="Calibri" w:cs="Calibri"/>
              </w:rPr>
            </w:pPr>
            <w:r w:rsidRPr="00AC2D12">
              <w:rPr>
                <w:rFonts w:ascii="Calibri" w:hAnsi="Calibri" w:cs="Calibri"/>
              </w:rPr>
              <w:t>0.7</w:t>
            </w:r>
          </w:p>
        </w:tc>
        <w:tc>
          <w:tcPr>
            <w:tcW w:w="1914" w:type="dxa"/>
            <w:hideMark/>
          </w:tcPr>
          <w:p w14:paraId="5B537699" w14:textId="77777777" w:rsidR="002E31C4" w:rsidRPr="00AC2D12" w:rsidRDefault="002E31C4">
            <w:pPr>
              <w:pStyle w:val="Figuretext"/>
              <w:rPr>
                <w:rFonts w:ascii="Calibri" w:hAnsi="Calibri" w:cs="Calibri"/>
              </w:rPr>
            </w:pPr>
            <w:r w:rsidRPr="00AC2D12">
              <w:rPr>
                <w:rFonts w:ascii="Calibri" w:hAnsi="Calibri" w:cs="Calibri"/>
              </w:rPr>
              <w:t>0.6</w:t>
            </w:r>
          </w:p>
        </w:tc>
      </w:tr>
      <w:tr w:rsidR="002E31C4" w14:paraId="2CFDB2BB" w14:textId="77777777" w:rsidTr="00046AD5">
        <w:tc>
          <w:tcPr>
            <w:tcW w:w="7654" w:type="dxa"/>
            <w:gridSpan w:val="4"/>
            <w:hideMark/>
          </w:tcPr>
          <w:p w14:paraId="27316508" w14:textId="07B3E12E" w:rsidR="002E31C4" w:rsidRPr="00CA2164" w:rsidRDefault="00CA2164">
            <w:pPr>
              <w:pStyle w:val="FigureSource"/>
              <w:rPr>
                <w:rFonts w:ascii="SimSun" w:eastAsia="SimSun" w:hAnsi="SimSun"/>
                <w:lang w:eastAsia="zh-CN"/>
              </w:rPr>
            </w:pPr>
            <w:r w:rsidRPr="00CA2164">
              <w:rPr>
                <w:rFonts w:ascii="SimSun" w:eastAsia="SimSun" w:hAnsi="SimSun" w:cs="Microsoft YaHei" w:hint="eastAsia"/>
                <w:lang w:eastAsia="zh-CN"/>
              </w:rPr>
              <w:t>来源：国际电联财务报表（经重报）</w:t>
            </w:r>
          </w:p>
        </w:tc>
      </w:tr>
    </w:tbl>
    <w:p w14:paraId="1BBE8D12" w14:textId="77777777" w:rsidR="002E31C4" w:rsidRDefault="002E31C4" w:rsidP="00046AD5">
      <w:pPr>
        <w:pStyle w:val="MainTextNumbered"/>
        <w:numPr>
          <w:ilvl w:val="0"/>
          <w:numId w:val="0"/>
        </w:numPr>
        <w:rPr>
          <w:lang w:eastAsia="zh-CN"/>
        </w:rPr>
      </w:pPr>
    </w:p>
    <w:p w14:paraId="7836BCE8" w14:textId="200032A4" w:rsidR="002E31C4" w:rsidRPr="00AC2D12" w:rsidRDefault="00AE2DA9" w:rsidP="00046AD5">
      <w:pPr>
        <w:pStyle w:val="Heading2"/>
        <w:rPr>
          <w:rFonts w:cs="Calibri"/>
          <w:lang w:eastAsia="zh-CN"/>
        </w:rPr>
      </w:pPr>
      <w:bookmarkStart w:id="16" w:name="_Toc161066417"/>
      <w:r w:rsidRPr="00AC2D12">
        <w:rPr>
          <w:rFonts w:cs="Calibri" w:hint="eastAsia"/>
          <w:lang w:eastAsia="zh-CN"/>
        </w:rPr>
        <w:t>财务管理</w:t>
      </w:r>
      <w:bookmarkEnd w:id="16"/>
    </w:p>
    <w:p w14:paraId="66FA1A86" w14:textId="721217D2" w:rsidR="002E31C4" w:rsidRPr="00AC2D12" w:rsidRDefault="00AE2DA9" w:rsidP="00046AD5">
      <w:pPr>
        <w:pStyle w:val="Heading3"/>
        <w:rPr>
          <w:rFonts w:cs="Calibri"/>
          <w:i w:val="0"/>
          <w:iCs/>
          <w:lang w:eastAsia="zh-CN"/>
        </w:rPr>
      </w:pPr>
      <w:r w:rsidRPr="00AC2D12">
        <w:rPr>
          <w:rFonts w:cs="Calibri" w:hint="eastAsia"/>
          <w:i w:val="0"/>
          <w:iCs/>
          <w:lang w:eastAsia="zh-CN"/>
        </w:rPr>
        <w:t>现金管理</w:t>
      </w:r>
    </w:p>
    <w:p w14:paraId="23D86577" w14:textId="4BF97FD9" w:rsidR="002E31C4" w:rsidRPr="00AC2D12" w:rsidRDefault="002E31C4" w:rsidP="003C0ED8">
      <w:pPr>
        <w:pStyle w:val="MainTextNumbered"/>
        <w:numPr>
          <w:ilvl w:val="0"/>
          <w:numId w:val="0"/>
        </w:numPr>
        <w:tabs>
          <w:tab w:val="clear" w:pos="1080"/>
        </w:tabs>
        <w:rPr>
          <w:rFonts w:ascii="Calibri" w:hAnsi="Calibri" w:cs="Calibri"/>
          <w:lang w:eastAsia="zh-CN"/>
        </w:rPr>
      </w:pPr>
      <w:r w:rsidRPr="00AC2D12">
        <w:rPr>
          <w:rFonts w:ascii="Calibri" w:hAnsi="Calibri" w:cs="Calibri"/>
          <w:b/>
          <w:bCs/>
          <w:lang w:eastAsia="zh-CN"/>
        </w:rPr>
        <w:t>27</w:t>
      </w:r>
      <w:r w:rsidRPr="00AC2D12">
        <w:rPr>
          <w:rFonts w:ascii="Calibri" w:hAnsi="Calibri" w:cs="Calibri"/>
          <w:lang w:eastAsia="zh-CN"/>
        </w:rPr>
        <w:tab/>
      </w:r>
      <w:r w:rsidR="00207670" w:rsidRPr="00AC2D12">
        <w:rPr>
          <w:rFonts w:ascii="Calibri" w:hAnsi="Calibri" w:cs="Calibri" w:hint="eastAsia"/>
          <w:lang w:eastAsia="zh-CN"/>
        </w:rPr>
        <w:t>截至</w:t>
      </w:r>
      <w:r w:rsidR="00207670" w:rsidRPr="00AC2D12">
        <w:rPr>
          <w:rFonts w:ascii="Calibri" w:hAnsi="Calibri" w:cs="Calibri" w:hint="eastAsia"/>
          <w:lang w:eastAsia="zh-CN"/>
        </w:rPr>
        <w:t>2022</w:t>
      </w:r>
      <w:r w:rsidR="00207670" w:rsidRPr="00AC2D12">
        <w:rPr>
          <w:rFonts w:ascii="Calibri" w:hAnsi="Calibri" w:cs="Calibri" w:hint="eastAsia"/>
          <w:lang w:eastAsia="zh-CN"/>
        </w:rPr>
        <w:t>年</w:t>
      </w:r>
      <w:r w:rsidR="00207670" w:rsidRPr="00AC2D12">
        <w:rPr>
          <w:rFonts w:ascii="Calibri" w:hAnsi="Calibri" w:cs="Calibri" w:hint="eastAsia"/>
          <w:lang w:eastAsia="zh-CN"/>
        </w:rPr>
        <w:t>12</w:t>
      </w:r>
      <w:r w:rsidR="00207670" w:rsidRPr="00AC2D12">
        <w:rPr>
          <w:rFonts w:ascii="Calibri" w:hAnsi="Calibri" w:cs="Calibri" w:hint="eastAsia"/>
          <w:lang w:eastAsia="zh-CN"/>
        </w:rPr>
        <w:t>月</w:t>
      </w:r>
      <w:r w:rsidR="00207670" w:rsidRPr="00AC2D12">
        <w:rPr>
          <w:rFonts w:ascii="Calibri" w:hAnsi="Calibri" w:cs="Calibri" w:hint="eastAsia"/>
          <w:lang w:eastAsia="zh-CN"/>
        </w:rPr>
        <w:t>31</w:t>
      </w:r>
      <w:r w:rsidR="00207670" w:rsidRPr="00AC2D12">
        <w:rPr>
          <w:rFonts w:ascii="Calibri" w:hAnsi="Calibri" w:cs="Calibri" w:hint="eastAsia"/>
          <w:lang w:eastAsia="zh-CN"/>
        </w:rPr>
        <w:t>日，现金和投资总额为</w:t>
      </w:r>
      <w:r w:rsidR="00207670" w:rsidRPr="00AC2D12">
        <w:rPr>
          <w:rFonts w:ascii="Calibri" w:hAnsi="Calibri" w:cs="Calibri" w:hint="eastAsia"/>
          <w:lang w:eastAsia="zh-CN"/>
        </w:rPr>
        <w:t>2.077</w:t>
      </w:r>
      <w:r w:rsidR="00207670" w:rsidRPr="00AC2D12">
        <w:rPr>
          <w:rFonts w:ascii="Calibri" w:hAnsi="Calibri" w:cs="Calibri" w:hint="eastAsia"/>
          <w:lang w:eastAsia="zh-CN"/>
        </w:rPr>
        <w:t>亿瑞郎。国际电联《财务规则》要求秘书长将风险降至最低，同时确保必要的流动性，以满足国际电联的现金流要求。《财务规则》还要求根据实现最高合理回报率来选择投资。</w:t>
      </w:r>
    </w:p>
    <w:p w14:paraId="3FB95774" w14:textId="0154E04F" w:rsidR="002E31C4" w:rsidRPr="00AC2D12" w:rsidRDefault="002E31C4" w:rsidP="003C0ED8">
      <w:pPr>
        <w:pStyle w:val="MainTextNumbered"/>
        <w:numPr>
          <w:ilvl w:val="0"/>
          <w:numId w:val="0"/>
        </w:numPr>
        <w:tabs>
          <w:tab w:val="clear" w:pos="1080"/>
        </w:tabs>
        <w:rPr>
          <w:rFonts w:ascii="Calibri" w:hAnsi="Calibri" w:cs="Calibri"/>
          <w:lang w:eastAsia="zh-CN"/>
        </w:rPr>
      </w:pPr>
      <w:r w:rsidRPr="00AC2D12">
        <w:rPr>
          <w:rFonts w:ascii="Calibri" w:hAnsi="Calibri" w:cs="Calibri"/>
          <w:b/>
          <w:bCs/>
          <w:lang w:eastAsia="zh-CN"/>
        </w:rPr>
        <w:t>28</w:t>
      </w:r>
      <w:r w:rsidRPr="00AC2D12">
        <w:rPr>
          <w:rFonts w:ascii="Calibri" w:hAnsi="Calibri" w:cs="Calibri"/>
          <w:lang w:eastAsia="zh-CN"/>
        </w:rPr>
        <w:tab/>
      </w:r>
      <w:r w:rsidR="00403368" w:rsidRPr="00AC2D12">
        <w:rPr>
          <w:rFonts w:ascii="Calibri" w:hAnsi="Calibri" w:cs="Calibri" w:hint="eastAsia"/>
          <w:lang w:eastAsia="zh-CN"/>
        </w:rPr>
        <w:t>根据国际电联的投资导则设立了财务委员会，由副秘书长、行政管理和财务部主任、账务处处长以及工资和财务科科长组成。委员会应至少每季度举行一次会议，以“仲裁往来账户、商业账户和定期存款之间的存款水平和</w:t>
      </w:r>
      <w:r w:rsidR="00403368" w:rsidRPr="00AC2D12">
        <w:rPr>
          <w:rFonts w:ascii="Calibri" w:hAnsi="Calibri" w:cs="Calibri" w:hint="eastAsia"/>
          <w:lang w:eastAsia="zh-CN"/>
        </w:rPr>
        <w:t>/</w:t>
      </w:r>
      <w:r w:rsidR="00403368" w:rsidRPr="00AC2D12">
        <w:rPr>
          <w:rFonts w:ascii="Calibri" w:hAnsi="Calibri" w:cs="Calibri" w:hint="eastAsia"/>
          <w:lang w:eastAsia="zh-CN"/>
        </w:rPr>
        <w:t>或处理利息和长期存款等财务问题”。鉴于国际电联现金资源的规模，这些需求较为薄弱。这些导则于</w:t>
      </w:r>
      <w:r w:rsidR="00403368" w:rsidRPr="00AC2D12">
        <w:rPr>
          <w:rFonts w:ascii="Calibri" w:hAnsi="Calibri" w:cs="Calibri" w:hint="eastAsia"/>
          <w:lang w:eastAsia="zh-CN"/>
        </w:rPr>
        <w:t>2010</w:t>
      </w:r>
      <w:r w:rsidR="00403368" w:rsidRPr="00AC2D12">
        <w:rPr>
          <w:rFonts w:ascii="Calibri" w:hAnsi="Calibri" w:cs="Calibri" w:hint="eastAsia"/>
          <w:lang w:eastAsia="zh-CN"/>
        </w:rPr>
        <w:t>年制定，我们认为，应予以审议和更新，以确保其依然具有相关性。我们希望这样的政策包括：</w:t>
      </w:r>
    </w:p>
    <w:p w14:paraId="445CD315" w14:textId="286ED084"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B922F4" w:rsidRPr="00AC2D12">
        <w:rPr>
          <w:rFonts w:ascii="Calibri" w:eastAsia="SimSun" w:hAnsi="Calibri" w:cs="Calibri" w:hint="eastAsia"/>
          <w:lang w:eastAsia="zh-CN"/>
        </w:rPr>
        <w:t>现金管理政策的目标；</w:t>
      </w:r>
    </w:p>
    <w:p w14:paraId="381AB395" w14:textId="05BB9A94"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B922F4" w:rsidRPr="00AC2D12">
        <w:rPr>
          <w:rFonts w:ascii="Calibri" w:eastAsia="SimSun" w:hAnsi="Calibri" w:cs="Calibri" w:hint="eastAsia"/>
          <w:lang w:eastAsia="zh-CN"/>
        </w:rPr>
        <w:t>参与现金管理的个人或部门的职责。这包括发现、评估和管理与现金管理相关的风险（即货币风险、利率风险和交易对手风险）；</w:t>
      </w:r>
    </w:p>
    <w:p w14:paraId="736824A1" w14:textId="2E277913"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B922F4" w:rsidRPr="00AC2D12">
        <w:rPr>
          <w:rFonts w:ascii="Calibri" w:eastAsia="SimSun" w:hAnsi="Calibri" w:cs="Calibri" w:hint="eastAsia"/>
          <w:lang w:eastAsia="zh-CN"/>
        </w:rPr>
        <w:t>选择和维护银行关系的标准以及过剩现金的短期投资导则。应界定可接受的投资工具、风险承受能力、预期回报和道德考量；</w:t>
      </w:r>
    </w:p>
    <w:p w14:paraId="7D523BF5" w14:textId="7331A62E" w:rsidR="002E31C4" w:rsidRPr="00B922F4" w:rsidRDefault="002E31C4" w:rsidP="003C0ED8">
      <w:pPr>
        <w:pStyle w:val="Bullet"/>
        <w:numPr>
          <w:ilvl w:val="0"/>
          <w:numId w:val="0"/>
        </w:numPr>
        <w:ind w:left="499"/>
        <w:rPr>
          <w:rFonts w:asciiTheme="minorEastAsia" w:eastAsiaTheme="minorEastAsia" w:hAnsiTheme="minorEastAsia" w:cs="Microsoft YaHei"/>
          <w:lang w:eastAsia="zh-CN"/>
        </w:rPr>
      </w:pPr>
      <w:r w:rsidRPr="00AC2D12">
        <w:rPr>
          <w:rFonts w:ascii="Calibri" w:eastAsia="SimSun" w:hAnsi="Calibri" w:cs="Calibri"/>
          <w:lang w:eastAsia="zh-CN"/>
        </w:rPr>
        <w:lastRenderedPageBreak/>
        <w:t>•</w:t>
      </w:r>
      <w:r w:rsidRPr="00AC2D12">
        <w:rPr>
          <w:rFonts w:ascii="Calibri" w:eastAsia="SimSun" w:hAnsi="Calibri" w:cs="Calibri"/>
          <w:lang w:eastAsia="zh-CN"/>
        </w:rPr>
        <w:tab/>
      </w:r>
      <w:r w:rsidR="00B922F4" w:rsidRPr="00AC2D12">
        <w:rPr>
          <w:rFonts w:ascii="Calibri" w:eastAsia="SimSun" w:hAnsi="Calibri" w:cs="Calibri" w:hint="eastAsia"/>
          <w:lang w:eastAsia="zh-CN"/>
        </w:rPr>
        <w:t>概述现金流预测程序，以确保做出适当和积极的决策；</w:t>
      </w:r>
    </w:p>
    <w:p w14:paraId="56D30F6D" w14:textId="1CA14D17"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411B6E" w:rsidRPr="00AC2D12">
        <w:rPr>
          <w:rFonts w:ascii="Calibri" w:eastAsia="SimSun" w:hAnsi="Calibri" w:cs="Calibri" w:hint="eastAsia"/>
          <w:lang w:eastAsia="zh-CN"/>
        </w:rPr>
        <w:t>概述流动性管理方法。这涉及保持最佳现金储备水平，以满足业务需要和未预见到的意外情况</w:t>
      </w:r>
      <w:r w:rsidR="007454FA">
        <w:rPr>
          <w:rFonts w:ascii="Calibri" w:eastAsia="SimSun" w:hAnsi="Calibri" w:cs="Calibri" w:hint="eastAsia"/>
          <w:lang w:eastAsia="zh-CN"/>
        </w:rPr>
        <w:t>；</w:t>
      </w:r>
    </w:p>
    <w:p w14:paraId="7A03B850" w14:textId="54955D5D"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411B6E" w:rsidRPr="00AC2D12">
        <w:rPr>
          <w:rFonts w:ascii="Calibri" w:eastAsia="SimSun" w:hAnsi="Calibri" w:cs="Calibri" w:hint="eastAsia"/>
          <w:lang w:eastAsia="zh-CN"/>
        </w:rPr>
        <w:t>确定监测现金状况、预测和目标绩效的报告要求；以及</w:t>
      </w:r>
    </w:p>
    <w:p w14:paraId="7BC2CE98" w14:textId="4BC3E73B" w:rsidR="002E31C4" w:rsidRPr="00411B6E" w:rsidRDefault="002E31C4" w:rsidP="003C0ED8">
      <w:pPr>
        <w:pStyle w:val="Bullet"/>
        <w:numPr>
          <w:ilvl w:val="0"/>
          <w:numId w:val="0"/>
        </w:numPr>
        <w:ind w:left="499"/>
        <w:rPr>
          <w:rFonts w:asciiTheme="minorEastAsia" w:eastAsiaTheme="minorEastAsia" w:hAnsiTheme="minorEastAsia" w:cs="Microsoft YaHe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411B6E" w:rsidRPr="00AC2D12">
        <w:rPr>
          <w:rFonts w:ascii="Calibri" w:eastAsia="SimSun" w:hAnsi="Calibri" w:cs="Calibri" w:hint="eastAsia"/>
          <w:lang w:eastAsia="zh-CN"/>
        </w:rPr>
        <w:t>需要外部专业力量为投资决策提供信息。</w:t>
      </w:r>
    </w:p>
    <w:p w14:paraId="7B7C8F08" w14:textId="53ED8E5F" w:rsidR="002E31C4" w:rsidRPr="00AC2D12" w:rsidRDefault="002E31C4" w:rsidP="003C0ED8">
      <w:pPr>
        <w:pStyle w:val="MainTextNumbered"/>
        <w:numPr>
          <w:ilvl w:val="0"/>
          <w:numId w:val="0"/>
        </w:numPr>
        <w:tabs>
          <w:tab w:val="clear" w:pos="1080"/>
        </w:tabs>
        <w:rPr>
          <w:rFonts w:ascii="Calibri" w:hAnsi="Calibri" w:cs="Calibri"/>
          <w:lang w:eastAsia="zh-CN"/>
        </w:rPr>
      </w:pPr>
      <w:r w:rsidRPr="00AC2D12">
        <w:rPr>
          <w:rFonts w:ascii="Calibri" w:hAnsi="Calibri" w:cs="Calibri"/>
          <w:b/>
          <w:bCs/>
          <w:lang w:eastAsia="zh-CN"/>
        </w:rPr>
        <w:t>29</w:t>
      </w:r>
      <w:r w:rsidRPr="00AC2D12">
        <w:rPr>
          <w:rFonts w:ascii="Calibri" w:hAnsi="Calibri" w:cs="Calibri"/>
          <w:lang w:eastAsia="zh-CN"/>
        </w:rPr>
        <w:tab/>
      </w:r>
      <w:r w:rsidR="0054190A" w:rsidRPr="00AC2D12">
        <w:rPr>
          <w:rFonts w:ascii="Calibri" w:hAnsi="Calibri" w:cs="Calibri" w:hint="eastAsia"/>
          <w:lang w:eastAsia="zh-CN"/>
        </w:rPr>
        <w:t>鉴于国际电联持有的现金和投资规模，我们希望这样一个委员会能够接触到独立的投资专家，使其能够了解更广泛的市场环境，并向其投资经理提出质疑。鉴于市场不稳定性和利率变动加剧，这一点尤为重要。</w:t>
      </w:r>
    </w:p>
    <w:p w14:paraId="748822CF" w14:textId="23DE28E2" w:rsidR="002E31C4" w:rsidRPr="00AC2D12" w:rsidRDefault="0054190A" w:rsidP="00046AD5">
      <w:pPr>
        <w:pStyle w:val="MainTextNumbered"/>
        <w:numPr>
          <w:ilvl w:val="0"/>
          <w:numId w:val="0"/>
        </w:numPr>
        <w:rPr>
          <w:rFonts w:ascii="Calibri" w:hAnsi="Calibri" w:cs="Calibri"/>
          <w:lang w:eastAsia="zh-CN"/>
        </w:rPr>
      </w:pPr>
      <w:r w:rsidRPr="00AC2D12">
        <w:rPr>
          <w:rStyle w:val="Bold"/>
          <w:rFonts w:ascii="Calibri" w:hAnsi="Calibri" w:cs="Calibri" w:hint="eastAsia"/>
          <w:lang w:eastAsia="zh-CN"/>
        </w:rPr>
        <w:t>国际电联应：</w:t>
      </w:r>
    </w:p>
    <w:p w14:paraId="25AC579C" w14:textId="2F18C6D7" w:rsidR="002E31C4" w:rsidRDefault="002E31C4" w:rsidP="00046AD5">
      <w:pPr>
        <w:pStyle w:val="MainTextNumbered"/>
        <w:numPr>
          <w:ilvl w:val="0"/>
          <w:numId w:val="0"/>
        </w:numPr>
        <w:rPr>
          <w:rStyle w:val="Bold"/>
          <w:lang w:eastAsia="zh-CN"/>
        </w:rPr>
      </w:pPr>
      <w:r w:rsidRPr="00AC2D12">
        <w:rPr>
          <w:rStyle w:val="Bold"/>
          <w:rFonts w:ascii="Calibri" w:hAnsi="Calibri" w:cs="Calibri"/>
          <w:lang w:eastAsia="zh-CN"/>
        </w:rPr>
        <w:t>R4</w:t>
      </w:r>
      <w:r w:rsidR="00AC2D12">
        <w:rPr>
          <w:rStyle w:val="Bold"/>
          <w:rFonts w:ascii="Calibri" w:hAnsi="Calibri" w:cs="Calibri" w:hint="eastAsia"/>
          <w:lang w:eastAsia="zh-CN"/>
        </w:rPr>
        <w:t>：</w:t>
      </w:r>
      <w:r w:rsidR="0054190A" w:rsidRPr="00AC2D12">
        <w:rPr>
          <w:rStyle w:val="Bold"/>
          <w:rFonts w:ascii="Calibri" w:hAnsi="Calibri" w:cs="Calibri" w:hint="eastAsia"/>
          <w:lang w:eastAsia="zh-CN"/>
        </w:rPr>
        <w:t>审查其投资政策和程序，确保它们反映最佳做法，并在商定的风险承受范围内使现金资源获得最佳回报，这应参考外部基准和专业知识。</w:t>
      </w:r>
    </w:p>
    <w:p w14:paraId="5FA9D19D" w14:textId="50D39626" w:rsidR="002E31C4" w:rsidRPr="0054190A" w:rsidRDefault="0054190A" w:rsidP="00AC2D12">
      <w:pPr>
        <w:pStyle w:val="MainTextNumbered"/>
        <w:numPr>
          <w:ilvl w:val="0"/>
          <w:numId w:val="0"/>
        </w:numPr>
        <w:ind w:firstLineChars="200" w:firstLine="400"/>
        <w:rPr>
          <w:rStyle w:val="Italic"/>
          <w:rFonts w:ascii="STKaiti" w:eastAsia="STKaiti" w:hAnsi="STKaiti"/>
          <w:i w:val="0"/>
          <w:iCs w:val="0"/>
          <w:lang w:eastAsia="zh-CN"/>
        </w:rPr>
      </w:pPr>
      <w:r w:rsidRPr="0054190A">
        <w:rPr>
          <w:rStyle w:val="Italic"/>
          <w:rFonts w:ascii="STKaiti" w:eastAsia="STKaiti" w:hAnsi="STKaiti" w:hint="eastAsia"/>
          <w:i w:val="0"/>
          <w:iCs w:val="0"/>
          <w:lang w:eastAsia="zh-CN"/>
        </w:rPr>
        <w:t>管理层接受这项建议，并将借鉴联合国其它总部设在日内瓦的组织的最佳做法。</w:t>
      </w:r>
    </w:p>
    <w:p w14:paraId="10DB5AFD" w14:textId="6C4B43E4" w:rsidR="002E31C4" w:rsidRPr="003C0ED8" w:rsidRDefault="0054190A" w:rsidP="00046AD5">
      <w:pPr>
        <w:pStyle w:val="Heading3"/>
        <w:rPr>
          <w:i w:val="0"/>
          <w:iCs/>
          <w:lang w:eastAsia="zh-CN"/>
        </w:rPr>
      </w:pPr>
      <w:r>
        <w:rPr>
          <w:rFonts w:hint="eastAsia"/>
          <w:i w:val="0"/>
          <w:iCs/>
          <w:lang w:eastAsia="zh-CN"/>
        </w:rPr>
        <w:t>债务方管理</w:t>
      </w:r>
    </w:p>
    <w:p w14:paraId="4A3E656A" w14:textId="356549AA" w:rsidR="002E31C4" w:rsidRPr="00AC2D12" w:rsidRDefault="002E31C4" w:rsidP="003C0ED8">
      <w:pPr>
        <w:pStyle w:val="MainTextNumbered"/>
        <w:numPr>
          <w:ilvl w:val="0"/>
          <w:numId w:val="0"/>
        </w:numPr>
        <w:tabs>
          <w:tab w:val="clear" w:pos="1080"/>
        </w:tabs>
        <w:rPr>
          <w:rFonts w:ascii="Calibri" w:hAnsi="Calibri" w:cs="Calibri"/>
          <w:lang w:eastAsia="zh-CN"/>
        </w:rPr>
      </w:pPr>
      <w:r w:rsidRPr="00AC2D12">
        <w:rPr>
          <w:rFonts w:ascii="Calibri" w:hAnsi="Calibri" w:cs="Calibri"/>
          <w:b/>
          <w:bCs/>
          <w:lang w:eastAsia="zh-CN"/>
        </w:rPr>
        <w:t>30</w:t>
      </w:r>
      <w:r w:rsidRPr="00AC2D12">
        <w:rPr>
          <w:rFonts w:ascii="Calibri" w:hAnsi="Calibri" w:cs="Calibri"/>
          <w:lang w:eastAsia="zh-CN"/>
        </w:rPr>
        <w:tab/>
      </w:r>
      <w:r w:rsidR="004F2F59" w:rsidRPr="00AC2D12">
        <w:rPr>
          <w:rFonts w:ascii="Calibri" w:hAnsi="Calibri" w:cs="Calibri" w:hint="eastAsia"/>
          <w:lang w:eastAsia="zh-CN"/>
        </w:rPr>
        <w:t>为获得稳定和可预测的资源，成员必须及时全面履行其义务。我们注意到，截至</w:t>
      </w:r>
      <w:r w:rsidR="004F2F59" w:rsidRPr="00AC2D12">
        <w:rPr>
          <w:rFonts w:ascii="Calibri" w:hAnsi="Calibri" w:cs="Calibri" w:hint="eastAsia"/>
          <w:lang w:eastAsia="zh-CN"/>
        </w:rPr>
        <w:t>2022</w:t>
      </w:r>
      <w:r w:rsidR="004F2F59" w:rsidRPr="00AC2D12">
        <w:rPr>
          <w:rFonts w:ascii="Calibri" w:hAnsi="Calibri" w:cs="Calibri" w:hint="eastAsia"/>
          <w:lang w:eastAsia="zh-CN"/>
        </w:rPr>
        <w:t>年</w:t>
      </w:r>
      <w:r w:rsidR="004F2F59" w:rsidRPr="00AC2D12">
        <w:rPr>
          <w:rFonts w:ascii="Calibri" w:hAnsi="Calibri" w:cs="Calibri" w:hint="eastAsia"/>
          <w:lang w:eastAsia="zh-CN"/>
        </w:rPr>
        <w:t>12</w:t>
      </w:r>
      <w:r w:rsidR="004F2F59" w:rsidRPr="00AC2D12">
        <w:rPr>
          <w:rFonts w:ascii="Calibri" w:hAnsi="Calibri" w:cs="Calibri" w:hint="eastAsia"/>
          <w:lang w:eastAsia="zh-CN"/>
        </w:rPr>
        <w:t>月</w:t>
      </w:r>
      <w:r w:rsidR="004F2F59" w:rsidRPr="00AC2D12">
        <w:rPr>
          <w:rFonts w:ascii="Calibri" w:hAnsi="Calibri" w:cs="Calibri" w:hint="eastAsia"/>
          <w:lang w:eastAsia="zh-CN"/>
        </w:rPr>
        <w:t>31</w:t>
      </w:r>
      <w:r w:rsidR="004F2F59" w:rsidRPr="00AC2D12">
        <w:rPr>
          <w:rFonts w:ascii="Calibri" w:hAnsi="Calibri" w:cs="Calibri" w:hint="eastAsia"/>
          <w:lang w:eastAsia="zh-CN"/>
        </w:rPr>
        <w:t>日，有</w:t>
      </w:r>
      <w:r w:rsidR="004F2F59" w:rsidRPr="00AC2D12">
        <w:rPr>
          <w:rFonts w:ascii="Calibri" w:hAnsi="Calibri" w:cs="Calibri" w:hint="eastAsia"/>
          <w:lang w:eastAsia="zh-CN"/>
        </w:rPr>
        <w:t>4</w:t>
      </w:r>
      <w:r w:rsidR="00D86CC6">
        <w:rPr>
          <w:rFonts w:ascii="Calibri" w:hAnsi="Calibri" w:cs="Calibri"/>
          <w:lang w:eastAsia="zh-CN"/>
        </w:rPr>
        <w:t> </w:t>
      </w:r>
      <w:r w:rsidR="004F2F59" w:rsidRPr="00AC2D12">
        <w:rPr>
          <w:rFonts w:ascii="Calibri" w:hAnsi="Calibri" w:cs="Calibri" w:hint="eastAsia"/>
          <w:lang w:eastAsia="zh-CN"/>
        </w:rPr>
        <w:t>750</w:t>
      </w:r>
      <w:r w:rsidR="004F2F59" w:rsidRPr="00AC2D12">
        <w:rPr>
          <w:rFonts w:ascii="Calibri" w:hAnsi="Calibri" w:cs="Calibri" w:hint="eastAsia"/>
          <w:lang w:eastAsia="zh-CN"/>
        </w:rPr>
        <w:t>万瑞郎（</w:t>
      </w:r>
      <w:r w:rsidR="004F2F59" w:rsidRPr="00AC2D12">
        <w:rPr>
          <w:rFonts w:ascii="Calibri" w:hAnsi="Calibri" w:cs="Calibri" w:hint="eastAsia"/>
          <w:lang w:eastAsia="zh-CN"/>
        </w:rPr>
        <w:t>2021</w:t>
      </w:r>
      <w:r w:rsidR="004F2F59" w:rsidRPr="00AC2D12">
        <w:rPr>
          <w:rFonts w:ascii="Calibri" w:hAnsi="Calibri" w:cs="Calibri" w:hint="eastAsia"/>
          <w:lang w:eastAsia="zh-CN"/>
        </w:rPr>
        <w:t>年：</w:t>
      </w:r>
      <w:r w:rsidR="004F2F59" w:rsidRPr="00AC2D12">
        <w:rPr>
          <w:rFonts w:ascii="Calibri" w:hAnsi="Calibri" w:cs="Calibri" w:hint="eastAsia"/>
          <w:lang w:eastAsia="zh-CN"/>
        </w:rPr>
        <w:t>4</w:t>
      </w:r>
      <w:r w:rsidR="00D86CC6">
        <w:rPr>
          <w:rFonts w:ascii="Calibri" w:hAnsi="Calibri" w:cs="Calibri"/>
          <w:lang w:eastAsia="zh-CN"/>
        </w:rPr>
        <w:t> </w:t>
      </w:r>
      <w:r w:rsidR="004F2F59" w:rsidRPr="00AC2D12">
        <w:rPr>
          <w:rFonts w:ascii="Calibri" w:hAnsi="Calibri" w:cs="Calibri" w:hint="eastAsia"/>
          <w:lang w:eastAsia="zh-CN"/>
        </w:rPr>
        <w:t>910</w:t>
      </w:r>
      <w:r w:rsidR="004F2F59" w:rsidRPr="00AC2D12">
        <w:rPr>
          <w:rFonts w:ascii="Calibri" w:hAnsi="Calibri" w:cs="Calibri" w:hint="eastAsia"/>
          <w:lang w:eastAsia="zh-CN"/>
        </w:rPr>
        <w:t>万瑞郎）的未缴分摊会费，其中大部分已拖欠超过</w:t>
      </w:r>
      <w:r w:rsidR="004F2F59" w:rsidRPr="00AC2D12">
        <w:rPr>
          <w:rFonts w:ascii="Calibri" w:hAnsi="Calibri" w:cs="Calibri" w:hint="eastAsia"/>
          <w:lang w:eastAsia="zh-CN"/>
        </w:rPr>
        <w:t>12</w:t>
      </w:r>
      <w:r w:rsidR="004F2F59" w:rsidRPr="00AC2D12">
        <w:rPr>
          <w:rFonts w:ascii="Calibri" w:hAnsi="Calibri" w:cs="Calibri" w:hint="eastAsia"/>
          <w:lang w:eastAsia="zh-CN"/>
        </w:rPr>
        <w:t>个月。未付应收账款的水平给国际电联资助其核心活动所需的可用现金资源构成严重的财务负担。为管理现金流，国际电联提前六个月向成员开具发票。利用未来的现金资源并</w:t>
      </w:r>
      <w:r w:rsidR="006A4A34" w:rsidRPr="00AC2D12">
        <w:rPr>
          <w:rFonts w:ascii="Calibri" w:hAnsi="Calibri" w:cs="Calibri" w:hint="eastAsia"/>
          <w:lang w:eastAsia="zh-CN"/>
        </w:rPr>
        <w:t>非</w:t>
      </w:r>
      <w:r w:rsidR="004F2F59" w:rsidRPr="00AC2D12">
        <w:rPr>
          <w:rFonts w:ascii="Calibri" w:hAnsi="Calibri" w:cs="Calibri" w:hint="eastAsia"/>
          <w:lang w:eastAsia="zh-CN"/>
        </w:rPr>
        <w:t>良好的做法，</w:t>
      </w:r>
      <w:r w:rsidR="006A4A34" w:rsidRPr="00AC2D12">
        <w:rPr>
          <w:rFonts w:ascii="Calibri" w:hAnsi="Calibri" w:cs="Calibri" w:hint="eastAsia"/>
          <w:lang w:eastAsia="zh-CN"/>
        </w:rPr>
        <w:t>持续如此行事亦不可保持</w:t>
      </w:r>
      <w:r w:rsidR="004F2F59" w:rsidRPr="00AC2D12">
        <w:rPr>
          <w:rFonts w:ascii="Calibri" w:hAnsi="Calibri" w:cs="Calibri" w:hint="eastAsia"/>
          <w:lang w:eastAsia="zh-CN"/>
        </w:rPr>
        <w:t>资源活动的可持续</w:t>
      </w:r>
      <w:r w:rsidR="006A4A34" w:rsidRPr="00AC2D12">
        <w:rPr>
          <w:rFonts w:ascii="Calibri" w:hAnsi="Calibri" w:cs="Calibri" w:hint="eastAsia"/>
          <w:lang w:eastAsia="zh-CN"/>
        </w:rPr>
        <w:t>性</w:t>
      </w:r>
      <w:r w:rsidR="004F2F59" w:rsidRPr="00AC2D12">
        <w:rPr>
          <w:rFonts w:ascii="Calibri" w:hAnsi="Calibri" w:cs="Calibri" w:hint="eastAsia"/>
          <w:lang w:eastAsia="zh-CN"/>
        </w:rPr>
        <w:t>。由此产生一种风险，</w:t>
      </w:r>
      <w:r w:rsidR="006A4A34" w:rsidRPr="00AC2D12">
        <w:rPr>
          <w:rFonts w:ascii="Calibri" w:hAnsi="Calibri" w:cs="Calibri" w:hint="eastAsia"/>
          <w:lang w:eastAsia="zh-CN"/>
        </w:rPr>
        <w:t>即可能无法获得资源来补充用于其他目的的现有资金</w:t>
      </w:r>
      <w:r w:rsidR="004F2F59" w:rsidRPr="00AC2D12">
        <w:rPr>
          <w:rFonts w:ascii="Calibri" w:hAnsi="Calibri" w:cs="Calibri" w:hint="eastAsia"/>
          <w:lang w:eastAsia="zh-CN"/>
        </w:rPr>
        <w:t>。</w:t>
      </w:r>
    </w:p>
    <w:p w14:paraId="56C5749D" w14:textId="1A7F9A30" w:rsidR="002E31C4" w:rsidRDefault="002E31C4" w:rsidP="003C0ED8">
      <w:pPr>
        <w:pStyle w:val="MainTextNumbered"/>
        <w:numPr>
          <w:ilvl w:val="0"/>
          <w:numId w:val="0"/>
        </w:numPr>
        <w:tabs>
          <w:tab w:val="clear" w:pos="1080"/>
        </w:tabs>
        <w:rPr>
          <w:lang w:eastAsia="zh-CN"/>
        </w:rPr>
      </w:pPr>
      <w:r w:rsidRPr="00AC2D12">
        <w:rPr>
          <w:rFonts w:ascii="Calibri" w:hAnsi="Calibri" w:cs="Calibri"/>
          <w:b/>
          <w:bCs/>
          <w:lang w:eastAsia="zh-CN"/>
        </w:rPr>
        <w:t>31</w:t>
      </w:r>
      <w:r w:rsidRPr="00AC2D12">
        <w:rPr>
          <w:rFonts w:ascii="Calibri" w:hAnsi="Calibri" w:cs="Calibri"/>
          <w:lang w:eastAsia="zh-CN"/>
        </w:rPr>
        <w:tab/>
      </w:r>
      <w:r w:rsidR="00E761ED" w:rsidRPr="00AC2D12">
        <w:rPr>
          <w:rFonts w:ascii="Calibri" w:hAnsi="Calibri" w:cs="Calibri" w:hint="eastAsia"/>
          <w:lang w:eastAsia="zh-CN"/>
        </w:rPr>
        <w:t>为了改善国际电联的现金流和整体财务健康状况，应从根本上审查现有的债务方管理安排。这应包括更积极的信用控制、更有效和确定的收债程序以及确保有效管理应收账款的战略决策。我们的审计发现，在评估这些可能无法收回的债务时存在重大缺陷，如果不能及时评估，则可能导致支持财务决策的信息不准确。我们注意到，预算分配没有考虑到实际收到资金的趋势，因此存在分配资源的风险，</w:t>
      </w:r>
      <w:r w:rsidR="00C70C53" w:rsidRPr="00AC2D12">
        <w:rPr>
          <w:rFonts w:ascii="Calibri" w:hAnsi="Calibri" w:cs="Calibri" w:hint="eastAsia"/>
          <w:lang w:eastAsia="zh-CN"/>
        </w:rPr>
        <w:t>资源</w:t>
      </w:r>
      <w:r w:rsidR="00E761ED" w:rsidRPr="00AC2D12">
        <w:rPr>
          <w:rFonts w:ascii="Calibri" w:hAnsi="Calibri" w:cs="Calibri" w:hint="eastAsia"/>
          <w:lang w:eastAsia="zh-CN"/>
        </w:rPr>
        <w:t>有可能</w:t>
      </w:r>
      <w:r w:rsidR="00C70C53" w:rsidRPr="00AC2D12">
        <w:rPr>
          <w:rFonts w:ascii="Calibri" w:hAnsi="Calibri" w:cs="Calibri" w:hint="eastAsia"/>
          <w:lang w:eastAsia="zh-CN"/>
        </w:rPr>
        <w:t>在</w:t>
      </w:r>
      <w:r w:rsidR="00E761ED" w:rsidRPr="00AC2D12">
        <w:rPr>
          <w:rFonts w:ascii="Calibri" w:hAnsi="Calibri" w:cs="Calibri" w:hint="eastAsia"/>
          <w:lang w:eastAsia="zh-CN"/>
        </w:rPr>
        <w:t>本期实际上</w:t>
      </w:r>
      <w:r w:rsidR="00C70C53" w:rsidRPr="00AC2D12">
        <w:rPr>
          <w:rFonts w:ascii="Calibri" w:hAnsi="Calibri" w:cs="Calibri" w:hint="eastAsia"/>
          <w:lang w:eastAsia="zh-CN"/>
        </w:rPr>
        <w:t>无法收到。</w:t>
      </w:r>
    </w:p>
    <w:p w14:paraId="70179475" w14:textId="29F96DEF" w:rsidR="002E31C4" w:rsidRDefault="00751FFE" w:rsidP="00046AD5">
      <w:pPr>
        <w:pStyle w:val="MainTextNumbered"/>
        <w:numPr>
          <w:ilvl w:val="0"/>
          <w:numId w:val="0"/>
        </w:numPr>
        <w:rPr>
          <w:lang w:eastAsia="zh-CN"/>
        </w:rPr>
      </w:pPr>
      <w:r>
        <w:rPr>
          <w:rStyle w:val="Bold"/>
          <w:rFonts w:hint="eastAsia"/>
          <w:lang w:eastAsia="zh-CN"/>
        </w:rPr>
        <w:t>国际电联应：</w:t>
      </w:r>
    </w:p>
    <w:p w14:paraId="53A73C25" w14:textId="1B1B477A" w:rsidR="002E31C4" w:rsidRPr="00AC2D12" w:rsidRDefault="002E31C4" w:rsidP="00046AD5">
      <w:pPr>
        <w:pStyle w:val="MainTextNumbered"/>
        <w:numPr>
          <w:ilvl w:val="0"/>
          <w:numId w:val="0"/>
        </w:numPr>
        <w:rPr>
          <w:rStyle w:val="Bold"/>
          <w:rFonts w:ascii="Calibri" w:hAnsi="Calibri" w:cs="Calibri"/>
          <w:lang w:eastAsia="zh-CN"/>
        </w:rPr>
      </w:pPr>
      <w:r w:rsidRPr="00AC2D12">
        <w:rPr>
          <w:rStyle w:val="Bold"/>
          <w:rFonts w:ascii="Calibri" w:hAnsi="Calibri" w:cs="Calibri"/>
          <w:lang w:eastAsia="zh-CN"/>
        </w:rPr>
        <w:t>R5</w:t>
      </w:r>
      <w:r w:rsidR="00AC2D12">
        <w:rPr>
          <w:rStyle w:val="Bold"/>
          <w:rFonts w:ascii="Calibri" w:hAnsi="Calibri" w:cs="Calibri" w:hint="eastAsia"/>
          <w:lang w:eastAsia="zh-CN"/>
        </w:rPr>
        <w:t>：</w:t>
      </w:r>
      <w:r w:rsidR="00751FFE" w:rsidRPr="00AC2D12">
        <w:rPr>
          <w:rStyle w:val="Bold"/>
          <w:rFonts w:ascii="Calibri" w:hAnsi="Calibri" w:cs="Calibri" w:hint="eastAsia"/>
          <w:lang w:eastAsia="zh-CN"/>
        </w:rPr>
        <w:t>审查其债务方管理程序，以确保采取更积极的后续行动和回收行动。</w:t>
      </w:r>
    </w:p>
    <w:p w14:paraId="51BB4A28" w14:textId="52C80D3C" w:rsidR="002E31C4" w:rsidRDefault="002E31C4" w:rsidP="00046AD5">
      <w:pPr>
        <w:pStyle w:val="MainTextNumbered"/>
        <w:numPr>
          <w:ilvl w:val="0"/>
          <w:numId w:val="0"/>
        </w:numPr>
        <w:rPr>
          <w:rStyle w:val="Bold"/>
          <w:lang w:eastAsia="zh-CN"/>
        </w:rPr>
      </w:pPr>
      <w:r w:rsidRPr="00AC2D12">
        <w:rPr>
          <w:rStyle w:val="Bold"/>
          <w:rFonts w:ascii="Calibri" w:hAnsi="Calibri" w:cs="Calibri"/>
          <w:lang w:eastAsia="zh-CN"/>
        </w:rPr>
        <w:t>R6</w:t>
      </w:r>
      <w:r w:rsidR="00AC2D12">
        <w:rPr>
          <w:rStyle w:val="Bold"/>
          <w:rFonts w:ascii="Calibri" w:hAnsi="Calibri" w:cs="Calibri" w:hint="eastAsia"/>
          <w:lang w:eastAsia="zh-CN"/>
        </w:rPr>
        <w:t>：</w:t>
      </w:r>
      <w:r w:rsidR="00751FFE" w:rsidRPr="00AC2D12">
        <w:rPr>
          <w:rStyle w:val="Bold"/>
          <w:rFonts w:ascii="Calibri" w:hAnsi="Calibri" w:cs="Calibri" w:hint="eastAsia"/>
          <w:lang w:eastAsia="zh-CN"/>
        </w:rPr>
        <w:t>还要确保预算分配和财务决策根据历史趋势考虑到现金流的实际时间安排，以尽量减少超支风险。</w:t>
      </w:r>
    </w:p>
    <w:p w14:paraId="1918BDE5" w14:textId="57C74280" w:rsidR="002E31C4" w:rsidRPr="00BD1148" w:rsidRDefault="00751FFE" w:rsidP="00AC2D12">
      <w:pPr>
        <w:pStyle w:val="MainTextNumbered"/>
        <w:numPr>
          <w:ilvl w:val="0"/>
          <w:numId w:val="0"/>
        </w:numPr>
        <w:ind w:firstLineChars="200" w:firstLine="400"/>
        <w:rPr>
          <w:rStyle w:val="Italic"/>
          <w:rFonts w:ascii="STKaiti" w:eastAsia="STKaiti" w:hAnsi="STKaiti"/>
          <w:i w:val="0"/>
          <w:iCs w:val="0"/>
          <w:lang w:eastAsia="zh-CN"/>
        </w:rPr>
      </w:pPr>
      <w:r w:rsidRPr="00BD1148">
        <w:rPr>
          <w:rStyle w:val="Italic"/>
          <w:rFonts w:ascii="STKaiti" w:eastAsia="STKaiti" w:hAnsi="STKaiti" w:hint="eastAsia"/>
          <w:i w:val="0"/>
          <w:iCs w:val="0"/>
          <w:lang w:eastAsia="zh-CN"/>
        </w:rPr>
        <w:t>管理层接受这些建议，</w:t>
      </w:r>
      <w:r w:rsidR="00BD1148" w:rsidRPr="00BD1148">
        <w:rPr>
          <w:rStyle w:val="Italic"/>
          <w:rFonts w:ascii="STKaiti" w:eastAsia="STKaiti" w:hAnsi="STKaiti" w:hint="eastAsia"/>
          <w:i w:val="0"/>
          <w:iCs w:val="0"/>
          <w:lang w:eastAsia="zh-CN"/>
        </w:rPr>
        <w:t>并将继续对拖欠本组织的款项进行审查，以便与理事会成员和其他债务</w:t>
      </w:r>
      <w:r w:rsidR="00BD1148">
        <w:rPr>
          <w:rStyle w:val="Italic"/>
          <w:rFonts w:ascii="STKaiti" w:eastAsia="STKaiti" w:hAnsi="STKaiti" w:hint="eastAsia"/>
          <w:i w:val="0"/>
          <w:iCs w:val="0"/>
          <w:lang w:eastAsia="zh-CN"/>
        </w:rPr>
        <w:t>方协作</w:t>
      </w:r>
      <w:r w:rsidR="00BD1148" w:rsidRPr="00BD1148">
        <w:rPr>
          <w:rStyle w:val="Italic"/>
          <w:rFonts w:ascii="STKaiti" w:eastAsia="STKaiti" w:hAnsi="STKaiti" w:hint="eastAsia"/>
          <w:i w:val="0"/>
          <w:iCs w:val="0"/>
          <w:lang w:eastAsia="zh-CN"/>
        </w:rPr>
        <w:t>，对债务</w:t>
      </w:r>
      <w:r w:rsidR="00BD1148">
        <w:rPr>
          <w:rStyle w:val="Italic"/>
          <w:rFonts w:ascii="STKaiti" w:eastAsia="STKaiti" w:hAnsi="STKaiti" w:hint="eastAsia"/>
          <w:i w:val="0"/>
          <w:iCs w:val="0"/>
          <w:lang w:eastAsia="zh-CN"/>
        </w:rPr>
        <w:t>方</w:t>
      </w:r>
      <w:r w:rsidR="00BD1148" w:rsidRPr="00BD1148">
        <w:rPr>
          <w:rStyle w:val="Italic"/>
          <w:rFonts w:ascii="STKaiti" w:eastAsia="STKaiti" w:hAnsi="STKaiti" w:hint="eastAsia"/>
          <w:i w:val="0"/>
          <w:iCs w:val="0"/>
          <w:lang w:eastAsia="zh-CN"/>
        </w:rPr>
        <w:t>进行适当管理。</w:t>
      </w:r>
      <w:r w:rsidRPr="00BD1148">
        <w:rPr>
          <w:rStyle w:val="Italic"/>
          <w:rFonts w:ascii="STKaiti" w:eastAsia="STKaiti" w:hAnsi="STKaiti" w:hint="eastAsia"/>
          <w:i w:val="0"/>
          <w:iCs w:val="0"/>
          <w:lang w:eastAsia="zh-CN"/>
        </w:rPr>
        <w:t>此外，国际电联管理层建议对现行《财务规则和财务细则》进行修改，以确保加强对现金和现金等价物的控制。</w:t>
      </w:r>
    </w:p>
    <w:p w14:paraId="6539BA1A" w14:textId="77777777" w:rsidR="002E31C4" w:rsidRPr="003C0ED8" w:rsidRDefault="002E31C4" w:rsidP="00046AD5">
      <w:pPr>
        <w:pStyle w:val="Heading3"/>
        <w:rPr>
          <w:rFonts w:asciiTheme="minorEastAsia" w:eastAsiaTheme="minorEastAsia" w:hAnsiTheme="minorEastAsia"/>
          <w:i w:val="0"/>
          <w:iCs/>
          <w:lang w:eastAsia="zh-CN"/>
        </w:rPr>
      </w:pPr>
      <w:bookmarkStart w:id="17" w:name="_Hlk155692302"/>
      <w:r w:rsidRPr="003C0ED8">
        <w:rPr>
          <w:rFonts w:asciiTheme="minorEastAsia" w:eastAsiaTheme="minorEastAsia" w:hAnsiTheme="minorEastAsia" w:hint="eastAsia"/>
          <w:i w:val="0"/>
          <w:iCs/>
          <w:lang w:eastAsia="zh-CN"/>
        </w:rPr>
        <w:t>职员福利</w:t>
      </w:r>
    </w:p>
    <w:p w14:paraId="72A57552" w14:textId="2A25E775" w:rsidR="002E31C4" w:rsidRPr="00AC2D12" w:rsidRDefault="002E31C4" w:rsidP="003C0ED8">
      <w:pPr>
        <w:pStyle w:val="MainTextNumbered"/>
        <w:numPr>
          <w:ilvl w:val="0"/>
          <w:numId w:val="0"/>
        </w:numPr>
        <w:tabs>
          <w:tab w:val="clear" w:pos="1080"/>
        </w:tabs>
        <w:rPr>
          <w:rFonts w:ascii="Calibri" w:hAnsi="Calibri" w:cs="Calibri"/>
          <w:lang w:eastAsia="zh-CN"/>
        </w:rPr>
      </w:pPr>
      <w:r w:rsidRPr="00AC2D12">
        <w:rPr>
          <w:rFonts w:ascii="Calibri" w:hAnsi="Calibri" w:cs="Calibri"/>
          <w:b/>
          <w:bCs/>
          <w:lang w:eastAsia="zh-CN"/>
        </w:rPr>
        <w:t>32</w:t>
      </w:r>
      <w:r w:rsidRPr="00AC2D12">
        <w:rPr>
          <w:rFonts w:ascii="Calibri" w:hAnsi="Calibri" w:cs="Calibri"/>
          <w:lang w:eastAsia="zh-CN"/>
        </w:rPr>
        <w:tab/>
      </w:r>
      <w:r w:rsidR="008A7C17" w:rsidRPr="00AC2D12">
        <w:rPr>
          <w:rFonts w:ascii="Calibri" w:hAnsi="Calibri" w:cs="Calibri" w:hint="eastAsia"/>
          <w:lang w:eastAsia="zh-CN"/>
        </w:rPr>
        <w:t>2022</w:t>
      </w:r>
      <w:r w:rsidR="008A7C17" w:rsidRPr="00AC2D12">
        <w:rPr>
          <w:rFonts w:ascii="Calibri" w:hAnsi="Calibri" w:cs="Calibri" w:hint="eastAsia"/>
          <w:lang w:eastAsia="zh-CN"/>
        </w:rPr>
        <w:t>年，财务报表中报告的</w:t>
      </w:r>
      <w:r w:rsidR="00C54DE0" w:rsidRPr="00AC2D12">
        <w:rPr>
          <w:rFonts w:ascii="Calibri" w:hAnsi="Calibri" w:cs="Calibri" w:hint="eastAsia"/>
          <w:lang w:eastAsia="zh-CN"/>
        </w:rPr>
        <w:t>职员</w:t>
      </w:r>
      <w:r w:rsidR="008A7C17" w:rsidRPr="00AC2D12">
        <w:rPr>
          <w:rFonts w:ascii="Calibri" w:hAnsi="Calibri" w:cs="Calibri" w:hint="eastAsia"/>
          <w:lang w:eastAsia="zh-CN"/>
        </w:rPr>
        <w:t>费用总额为</w:t>
      </w:r>
      <w:r w:rsidR="008A7C17" w:rsidRPr="00AC2D12">
        <w:rPr>
          <w:rFonts w:ascii="Calibri" w:hAnsi="Calibri" w:cs="Calibri" w:hint="eastAsia"/>
          <w:lang w:eastAsia="zh-CN"/>
        </w:rPr>
        <w:t>1.535</w:t>
      </w:r>
      <w:r w:rsidR="008A7C17" w:rsidRPr="00AC2D12">
        <w:rPr>
          <w:rFonts w:ascii="Calibri" w:hAnsi="Calibri" w:cs="Calibri" w:hint="eastAsia"/>
          <w:lang w:eastAsia="zh-CN"/>
        </w:rPr>
        <w:t>亿瑞郎（</w:t>
      </w:r>
      <w:r w:rsidR="008A7C17" w:rsidRPr="00AC2D12">
        <w:rPr>
          <w:rFonts w:ascii="Calibri" w:hAnsi="Calibri" w:cs="Calibri" w:hint="eastAsia"/>
          <w:lang w:eastAsia="zh-CN"/>
        </w:rPr>
        <w:t>2021</w:t>
      </w:r>
      <w:r w:rsidR="008A7C17" w:rsidRPr="00AC2D12">
        <w:rPr>
          <w:rFonts w:ascii="Calibri" w:hAnsi="Calibri" w:cs="Calibri" w:hint="eastAsia"/>
          <w:lang w:eastAsia="zh-CN"/>
        </w:rPr>
        <w:t>年：</w:t>
      </w:r>
      <w:r w:rsidR="008A7C17" w:rsidRPr="00AC2D12">
        <w:rPr>
          <w:rFonts w:ascii="Calibri" w:hAnsi="Calibri" w:cs="Calibri" w:hint="eastAsia"/>
          <w:lang w:eastAsia="zh-CN"/>
        </w:rPr>
        <w:t>1.519</w:t>
      </w:r>
      <w:r w:rsidR="008A7C17" w:rsidRPr="00AC2D12">
        <w:rPr>
          <w:rFonts w:ascii="Calibri" w:hAnsi="Calibri" w:cs="Calibri" w:hint="eastAsia"/>
          <w:lang w:eastAsia="zh-CN"/>
        </w:rPr>
        <w:t>亿瑞郎），占同期所有费用的</w:t>
      </w:r>
      <w:r w:rsidR="008A7C17" w:rsidRPr="00AC2D12">
        <w:rPr>
          <w:rFonts w:ascii="Calibri" w:hAnsi="Calibri" w:cs="Calibri" w:hint="eastAsia"/>
          <w:lang w:eastAsia="zh-CN"/>
        </w:rPr>
        <w:t>75.6%</w:t>
      </w:r>
      <w:r w:rsidR="008A7C17" w:rsidRPr="00AC2D12">
        <w:rPr>
          <w:rFonts w:ascii="Calibri" w:hAnsi="Calibri" w:cs="Calibri" w:hint="eastAsia"/>
          <w:lang w:eastAsia="zh-CN"/>
        </w:rPr>
        <w:t>（</w:t>
      </w:r>
      <w:r w:rsidR="008A7C17" w:rsidRPr="00AC2D12">
        <w:rPr>
          <w:rFonts w:ascii="Calibri" w:hAnsi="Calibri" w:cs="Calibri" w:hint="eastAsia"/>
          <w:lang w:eastAsia="zh-CN"/>
        </w:rPr>
        <w:t>2021</w:t>
      </w:r>
      <w:r w:rsidR="008A7C17" w:rsidRPr="00AC2D12">
        <w:rPr>
          <w:rFonts w:ascii="Calibri" w:hAnsi="Calibri" w:cs="Calibri" w:hint="eastAsia"/>
          <w:lang w:eastAsia="zh-CN"/>
        </w:rPr>
        <w:t>年：</w:t>
      </w:r>
      <w:r w:rsidR="008A7C17" w:rsidRPr="00AC2D12">
        <w:rPr>
          <w:rFonts w:ascii="Calibri" w:hAnsi="Calibri" w:cs="Calibri" w:hint="eastAsia"/>
          <w:lang w:eastAsia="zh-CN"/>
        </w:rPr>
        <w:t>79.6%</w:t>
      </w:r>
      <w:r w:rsidR="008A7C17" w:rsidRPr="00AC2D12">
        <w:rPr>
          <w:rFonts w:ascii="Calibri" w:hAnsi="Calibri" w:cs="Calibri" w:hint="eastAsia"/>
          <w:lang w:eastAsia="zh-CN"/>
        </w:rPr>
        <w:t>）。国际电联《人事规则》规定了</w:t>
      </w:r>
      <w:r w:rsidR="00C54DE0" w:rsidRPr="00AC2D12">
        <w:rPr>
          <w:rFonts w:ascii="Calibri" w:hAnsi="Calibri" w:cs="Calibri" w:hint="eastAsia"/>
          <w:lang w:eastAsia="zh-CN"/>
        </w:rPr>
        <w:t>国</w:t>
      </w:r>
      <w:r w:rsidR="00C54DE0" w:rsidRPr="00AC2D12">
        <w:rPr>
          <w:rFonts w:ascii="Calibri" w:hAnsi="Calibri" w:cs="Calibri" w:hint="eastAsia"/>
          <w:lang w:eastAsia="zh-CN"/>
        </w:rPr>
        <w:lastRenderedPageBreak/>
        <w:t>际电联职员的</w:t>
      </w:r>
      <w:r w:rsidR="008A7C17" w:rsidRPr="00AC2D12">
        <w:rPr>
          <w:rFonts w:ascii="Calibri" w:hAnsi="Calibri" w:cs="Calibri" w:hint="eastAsia"/>
          <w:lang w:eastAsia="zh-CN"/>
        </w:rPr>
        <w:t>服务条件以及基本权利、责任和义务。这包括薪金和相关津贴以及社会保障福利，包括加入联合国合办工作人员养恤基金和离职后健康保险。</w:t>
      </w:r>
    </w:p>
    <w:p w14:paraId="5092D0FC" w14:textId="743567A2" w:rsidR="002E31C4" w:rsidRPr="003C0ED8" w:rsidRDefault="00C54DE0" w:rsidP="00046AD5">
      <w:pPr>
        <w:pStyle w:val="Heading4"/>
        <w:rPr>
          <w:i w:val="0"/>
          <w:iCs/>
          <w:lang w:eastAsia="zh-CN"/>
        </w:rPr>
      </w:pPr>
      <w:r w:rsidRPr="00C54DE0">
        <w:rPr>
          <w:rFonts w:hint="eastAsia"/>
          <w:i w:val="0"/>
          <w:iCs/>
          <w:lang w:eastAsia="zh-CN"/>
        </w:rPr>
        <w:t>离职后福利</w:t>
      </w:r>
    </w:p>
    <w:p w14:paraId="2B6839AD" w14:textId="223D3334" w:rsidR="002E31C4" w:rsidRPr="00AC2D12" w:rsidRDefault="002E31C4" w:rsidP="003C0ED8">
      <w:pPr>
        <w:pStyle w:val="MainTextNumbered"/>
        <w:numPr>
          <w:ilvl w:val="0"/>
          <w:numId w:val="0"/>
        </w:numPr>
        <w:tabs>
          <w:tab w:val="clear" w:pos="1080"/>
        </w:tabs>
        <w:rPr>
          <w:rFonts w:ascii="Calibri" w:hAnsi="Calibri" w:cs="Calibri"/>
          <w:lang w:eastAsia="zh-CN"/>
        </w:rPr>
      </w:pPr>
      <w:r w:rsidRPr="002D673C">
        <w:rPr>
          <w:rFonts w:ascii="Calibri" w:hAnsi="Calibri" w:cs="Calibri"/>
          <w:b/>
          <w:bCs/>
          <w:lang w:eastAsia="zh-CN"/>
        </w:rPr>
        <w:t>33</w:t>
      </w:r>
      <w:r w:rsidRPr="00AC2D12">
        <w:rPr>
          <w:rFonts w:ascii="Calibri" w:hAnsi="Calibri" w:cs="Calibri"/>
          <w:lang w:eastAsia="zh-CN"/>
        </w:rPr>
        <w:tab/>
      </w:r>
      <w:r w:rsidR="00AB34CB" w:rsidRPr="00AC2D12">
        <w:rPr>
          <w:rFonts w:ascii="Calibri" w:hAnsi="Calibri" w:cs="Calibri" w:hint="eastAsia"/>
          <w:lang w:eastAsia="zh-CN"/>
        </w:rPr>
        <w:t>国际电联在其财务报表中确认的最为重大负债为职员福利负债。这些负债包括职工离职后健康保险、离职回国待遇和积存年假。这些职员福利的总负债已降至</w:t>
      </w:r>
      <w:r w:rsidR="00AB34CB" w:rsidRPr="00AC2D12">
        <w:rPr>
          <w:rFonts w:ascii="Calibri" w:hAnsi="Calibri" w:cs="Calibri" w:hint="eastAsia"/>
          <w:lang w:eastAsia="zh-CN"/>
        </w:rPr>
        <w:t>3.687</w:t>
      </w:r>
      <w:r w:rsidR="00AB34CB" w:rsidRPr="00AC2D12">
        <w:rPr>
          <w:rFonts w:ascii="Calibri" w:hAnsi="Calibri" w:cs="Calibri" w:hint="eastAsia"/>
          <w:lang w:eastAsia="zh-CN"/>
        </w:rPr>
        <w:t>亿瑞郎（</w:t>
      </w:r>
      <w:r w:rsidR="00AB34CB" w:rsidRPr="00AC2D12">
        <w:rPr>
          <w:rFonts w:ascii="Calibri" w:hAnsi="Calibri" w:cs="Calibri" w:hint="eastAsia"/>
          <w:lang w:eastAsia="zh-CN"/>
        </w:rPr>
        <w:t>2021</w:t>
      </w:r>
      <w:r w:rsidR="00AB34CB" w:rsidRPr="00AC2D12">
        <w:rPr>
          <w:rFonts w:ascii="Calibri" w:hAnsi="Calibri" w:cs="Calibri" w:hint="eastAsia"/>
          <w:lang w:eastAsia="zh-CN"/>
        </w:rPr>
        <w:t>年：</w:t>
      </w:r>
      <w:r w:rsidR="00AB34CB" w:rsidRPr="00AC2D12">
        <w:rPr>
          <w:rFonts w:ascii="Calibri" w:hAnsi="Calibri" w:cs="Calibri" w:hint="eastAsia"/>
          <w:lang w:eastAsia="zh-CN"/>
        </w:rPr>
        <w:t>5.705</w:t>
      </w:r>
      <w:r w:rsidR="00AB34CB" w:rsidRPr="00AC2D12">
        <w:rPr>
          <w:rFonts w:ascii="Calibri" w:hAnsi="Calibri" w:cs="Calibri" w:hint="eastAsia"/>
          <w:lang w:eastAsia="zh-CN"/>
        </w:rPr>
        <w:t>亿瑞郎）。</w:t>
      </w:r>
    </w:p>
    <w:p w14:paraId="58796B6D" w14:textId="7E67AAAD" w:rsidR="002E31C4" w:rsidRPr="00AC2D12" w:rsidRDefault="002E31C4" w:rsidP="003C0ED8">
      <w:pPr>
        <w:pStyle w:val="MainTextNumbered"/>
        <w:numPr>
          <w:ilvl w:val="0"/>
          <w:numId w:val="0"/>
        </w:numPr>
        <w:tabs>
          <w:tab w:val="clear" w:pos="1080"/>
        </w:tabs>
        <w:rPr>
          <w:rFonts w:ascii="Calibri" w:hAnsi="Calibri" w:cs="Calibri"/>
          <w:lang w:eastAsia="zh-CN"/>
        </w:rPr>
      </w:pPr>
      <w:r w:rsidRPr="002D673C">
        <w:rPr>
          <w:rFonts w:ascii="Calibri" w:hAnsi="Calibri" w:cs="Calibri"/>
          <w:b/>
          <w:bCs/>
          <w:lang w:eastAsia="zh-CN"/>
        </w:rPr>
        <w:t>34</w:t>
      </w:r>
      <w:r w:rsidRPr="00AC2D12">
        <w:rPr>
          <w:rFonts w:ascii="Calibri" w:hAnsi="Calibri" w:cs="Calibri"/>
          <w:lang w:eastAsia="zh-CN"/>
        </w:rPr>
        <w:tab/>
      </w:r>
      <w:r w:rsidR="00AB34CB" w:rsidRPr="00AC2D12">
        <w:rPr>
          <w:rFonts w:ascii="Calibri" w:hAnsi="Calibri" w:cs="Calibri" w:hint="eastAsia"/>
          <w:lang w:eastAsia="zh-CN"/>
        </w:rPr>
        <w:t>离职后健康保险负债总额为</w:t>
      </w:r>
      <w:r w:rsidR="00AB34CB" w:rsidRPr="00AC2D12">
        <w:rPr>
          <w:rFonts w:ascii="Calibri" w:hAnsi="Calibri" w:cs="Calibri" w:hint="eastAsia"/>
          <w:lang w:eastAsia="zh-CN"/>
        </w:rPr>
        <w:t>3.441</w:t>
      </w:r>
      <w:r w:rsidR="00AB34CB" w:rsidRPr="00AC2D12">
        <w:rPr>
          <w:rFonts w:ascii="Calibri" w:hAnsi="Calibri" w:cs="Calibri" w:hint="eastAsia"/>
          <w:lang w:eastAsia="zh-CN"/>
        </w:rPr>
        <w:t>亿瑞郎（</w:t>
      </w:r>
      <w:r w:rsidR="00AB34CB" w:rsidRPr="00AC2D12">
        <w:rPr>
          <w:rFonts w:ascii="Calibri" w:hAnsi="Calibri" w:cs="Calibri" w:hint="eastAsia"/>
          <w:lang w:eastAsia="zh-CN"/>
        </w:rPr>
        <w:t>2021</w:t>
      </w:r>
      <w:r w:rsidR="00AB34CB" w:rsidRPr="00AC2D12">
        <w:rPr>
          <w:rFonts w:ascii="Calibri" w:hAnsi="Calibri" w:cs="Calibri" w:hint="eastAsia"/>
          <w:lang w:eastAsia="zh-CN"/>
        </w:rPr>
        <w:t>年：</w:t>
      </w:r>
      <w:r w:rsidR="00AB34CB" w:rsidRPr="00AC2D12">
        <w:rPr>
          <w:rFonts w:ascii="Calibri" w:hAnsi="Calibri" w:cs="Calibri" w:hint="eastAsia"/>
          <w:lang w:eastAsia="zh-CN"/>
        </w:rPr>
        <w:t>5.456</w:t>
      </w:r>
      <w:r w:rsidR="00AB34CB" w:rsidRPr="00AC2D12">
        <w:rPr>
          <w:rFonts w:ascii="Calibri" w:hAnsi="Calibri" w:cs="Calibri" w:hint="eastAsia"/>
          <w:lang w:eastAsia="zh-CN"/>
        </w:rPr>
        <w:t>亿瑞郎），由独立精算师根据基本数据和假设计算得出。这些负债反映了截至</w:t>
      </w:r>
      <w:r w:rsidR="00AB34CB" w:rsidRPr="00AC2D12">
        <w:rPr>
          <w:rFonts w:ascii="Calibri" w:hAnsi="Calibri" w:cs="Calibri" w:hint="eastAsia"/>
          <w:lang w:eastAsia="zh-CN"/>
        </w:rPr>
        <w:t>2022</w:t>
      </w:r>
      <w:r w:rsidR="00AB34CB" w:rsidRPr="00AC2D12">
        <w:rPr>
          <w:rFonts w:ascii="Calibri" w:hAnsi="Calibri" w:cs="Calibri" w:hint="eastAsia"/>
          <w:lang w:eastAsia="zh-CN"/>
        </w:rPr>
        <w:t>年</w:t>
      </w:r>
      <w:r w:rsidR="00AB34CB" w:rsidRPr="00AC2D12">
        <w:rPr>
          <w:rFonts w:ascii="Calibri" w:hAnsi="Calibri" w:cs="Calibri" w:hint="eastAsia"/>
          <w:lang w:eastAsia="zh-CN"/>
        </w:rPr>
        <w:t>12</w:t>
      </w:r>
      <w:r w:rsidR="00AB34CB" w:rsidRPr="00AC2D12">
        <w:rPr>
          <w:rFonts w:ascii="Calibri" w:hAnsi="Calibri" w:cs="Calibri" w:hint="eastAsia"/>
          <w:lang w:eastAsia="zh-CN"/>
        </w:rPr>
        <w:t>月</w:t>
      </w:r>
      <w:r w:rsidR="00AB34CB" w:rsidRPr="00AC2D12">
        <w:rPr>
          <w:rFonts w:ascii="Calibri" w:hAnsi="Calibri" w:cs="Calibri" w:hint="eastAsia"/>
          <w:lang w:eastAsia="zh-CN"/>
        </w:rPr>
        <w:t>31</w:t>
      </w:r>
      <w:r w:rsidR="00AB34CB" w:rsidRPr="00AC2D12">
        <w:rPr>
          <w:rFonts w:ascii="Calibri" w:hAnsi="Calibri" w:cs="Calibri" w:hint="eastAsia"/>
          <w:lang w:eastAsia="zh-CN"/>
        </w:rPr>
        <w:t>日对职工和退休人员的合同义务价值，涉及他们未来预期的基本报销额。同比变动源于精算假设的变化，包括与医疗报销费用有关的假设。</w:t>
      </w:r>
    </w:p>
    <w:p w14:paraId="451B1CAC" w14:textId="2DBB86DC" w:rsidR="002E31C4" w:rsidRPr="00AC2D12" w:rsidRDefault="002E31C4" w:rsidP="003C0ED8">
      <w:pPr>
        <w:pStyle w:val="MainTextNumbered"/>
        <w:numPr>
          <w:ilvl w:val="0"/>
          <w:numId w:val="0"/>
        </w:numPr>
        <w:tabs>
          <w:tab w:val="clear" w:pos="1080"/>
        </w:tabs>
        <w:rPr>
          <w:rFonts w:ascii="Calibri" w:hAnsi="Calibri" w:cs="Calibri"/>
          <w:lang w:eastAsia="zh-CN"/>
        </w:rPr>
      </w:pPr>
      <w:r w:rsidRPr="002D673C">
        <w:rPr>
          <w:rFonts w:ascii="Calibri" w:hAnsi="Calibri" w:cs="Calibri"/>
          <w:b/>
          <w:bCs/>
          <w:lang w:eastAsia="zh-CN"/>
        </w:rPr>
        <w:t>35</w:t>
      </w:r>
      <w:r w:rsidRPr="00AC2D12">
        <w:rPr>
          <w:rFonts w:ascii="Calibri" w:hAnsi="Calibri" w:cs="Calibri"/>
          <w:lang w:eastAsia="zh-CN"/>
        </w:rPr>
        <w:tab/>
      </w:r>
      <w:r w:rsidR="00AB34CB" w:rsidRPr="00AC2D12">
        <w:rPr>
          <w:rFonts w:ascii="Calibri" w:hAnsi="Calibri" w:cs="Calibri" w:hint="eastAsia"/>
          <w:lang w:eastAsia="zh-CN"/>
        </w:rPr>
        <w:t>国际电联设有一个单独账户，用于为离职后健康保险负债的未来供资划拨资金，截至</w:t>
      </w:r>
      <w:r w:rsidR="00AB34CB" w:rsidRPr="00AC2D12">
        <w:rPr>
          <w:rFonts w:ascii="Calibri" w:hAnsi="Calibri" w:cs="Calibri" w:hint="eastAsia"/>
          <w:lang w:eastAsia="zh-CN"/>
        </w:rPr>
        <w:t>2022</w:t>
      </w:r>
      <w:r w:rsidR="00AB34CB" w:rsidRPr="00AC2D12">
        <w:rPr>
          <w:rFonts w:ascii="Calibri" w:hAnsi="Calibri" w:cs="Calibri" w:hint="eastAsia"/>
          <w:lang w:eastAsia="zh-CN"/>
        </w:rPr>
        <w:t>年</w:t>
      </w:r>
      <w:r w:rsidR="00AB34CB" w:rsidRPr="00AC2D12">
        <w:rPr>
          <w:rFonts w:ascii="Calibri" w:hAnsi="Calibri" w:cs="Calibri" w:hint="eastAsia"/>
          <w:lang w:eastAsia="zh-CN"/>
        </w:rPr>
        <w:t>12</w:t>
      </w:r>
      <w:r w:rsidR="00AB34CB" w:rsidRPr="00AC2D12">
        <w:rPr>
          <w:rFonts w:ascii="Calibri" w:hAnsi="Calibri" w:cs="Calibri" w:hint="eastAsia"/>
          <w:lang w:eastAsia="zh-CN"/>
        </w:rPr>
        <w:t>月，该账户的资金总额为</w:t>
      </w:r>
      <w:r w:rsidR="00AB34CB" w:rsidRPr="00AC2D12">
        <w:rPr>
          <w:rFonts w:ascii="Calibri" w:hAnsi="Calibri" w:cs="Calibri" w:hint="eastAsia"/>
          <w:lang w:eastAsia="zh-CN"/>
        </w:rPr>
        <w:t>1</w:t>
      </w:r>
      <w:r w:rsidR="00D86CC6">
        <w:rPr>
          <w:rFonts w:ascii="Calibri" w:hAnsi="Calibri" w:cs="Calibri"/>
          <w:lang w:eastAsia="zh-CN"/>
        </w:rPr>
        <w:t> </w:t>
      </w:r>
      <w:r w:rsidR="00AB34CB" w:rsidRPr="00AC2D12">
        <w:rPr>
          <w:rFonts w:ascii="Calibri" w:hAnsi="Calibri" w:cs="Calibri" w:hint="eastAsia"/>
          <w:lang w:eastAsia="zh-CN"/>
        </w:rPr>
        <w:t>400</w:t>
      </w:r>
      <w:r w:rsidR="00AB34CB" w:rsidRPr="00AC2D12">
        <w:rPr>
          <w:rFonts w:ascii="Calibri" w:hAnsi="Calibri" w:cs="Calibri" w:hint="eastAsia"/>
          <w:lang w:eastAsia="zh-CN"/>
        </w:rPr>
        <w:t>万瑞郎（</w:t>
      </w:r>
      <w:r w:rsidR="00AB34CB" w:rsidRPr="00AC2D12">
        <w:rPr>
          <w:rFonts w:ascii="Calibri" w:hAnsi="Calibri" w:cs="Calibri" w:hint="eastAsia"/>
          <w:lang w:eastAsia="zh-CN"/>
        </w:rPr>
        <w:t>2021</w:t>
      </w:r>
      <w:r w:rsidR="00AB34CB" w:rsidRPr="00AC2D12">
        <w:rPr>
          <w:rFonts w:ascii="Calibri" w:hAnsi="Calibri" w:cs="Calibri" w:hint="eastAsia"/>
          <w:lang w:eastAsia="zh-CN"/>
        </w:rPr>
        <w:t>年：</w:t>
      </w:r>
      <w:r w:rsidR="00AB34CB" w:rsidRPr="00AC2D12">
        <w:rPr>
          <w:rFonts w:ascii="Calibri" w:hAnsi="Calibri" w:cs="Calibri" w:hint="eastAsia"/>
          <w:lang w:eastAsia="zh-CN"/>
        </w:rPr>
        <w:t>1</w:t>
      </w:r>
      <w:r w:rsidR="00D86CC6">
        <w:rPr>
          <w:rFonts w:ascii="Calibri" w:hAnsi="Calibri" w:cs="Calibri"/>
          <w:lang w:eastAsia="zh-CN"/>
        </w:rPr>
        <w:t> </w:t>
      </w:r>
      <w:r w:rsidR="00AB34CB" w:rsidRPr="00AC2D12">
        <w:rPr>
          <w:rFonts w:ascii="Calibri" w:hAnsi="Calibri" w:cs="Calibri" w:hint="eastAsia"/>
          <w:lang w:eastAsia="zh-CN"/>
        </w:rPr>
        <w:t>300</w:t>
      </w:r>
      <w:r w:rsidR="00AB34CB" w:rsidRPr="00AC2D12">
        <w:rPr>
          <w:rFonts w:ascii="Calibri" w:hAnsi="Calibri" w:cs="Calibri" w:hint="eastAsia"/>
          <w:lang w:eastAsia="zh-CN"/>
        </w:rPr>
        <w:t>万瑞郎）。这些资金主要来自储备金账户的转账，因此留下了大量未备基金的负债。这种没有资金准备的负债在联合国系统内司空见惯，但成员定期确定和批准他们希望如何规划为这些方案</w:t>
      </w:r>
      <w:r w:rsidR="00B6300F" w:rsidRPr="00AC2D12">
        <w:rPr>
          <w:rFonts w:ascii="Calibri" w:hAnsi="Calibri" w:cs="Calibri" w:hint="eastAsia"/>
          <w:lang w:eastAsia="zh-CN"/>
        </w:rPr>
        <w:t>负债</w:t>
      </w:r>
      <w:r w:rsidR="00AB34CB" w:rsidRPr="00AC2D12">
        <w:rPr>
          <w:rFonts w:ascii="Calibri" w:hAnsi="Calibri" w:cs="Calibri" w:hint="eastAsia"/>
          <w:lang w:eastAsia="zh-CN"/>
        </w:rPr>
        <w:t>（特别是因预算外资金而产生的</w:t>
      </w:r>
      <w:r w:rsidR="00B6300F" w:rsidRPr="00AC2D12">
        <w:rPr>
          <w:rFonts w:ascii="Calibri" w:hAnsi="Calibri" w:cs="Calibri" w:hint="eastAsia"/>
          <w:lang w:eastAsia="zh-CN"/>
        </w:rPr>
        <w:t>负债</w:t>
      </w:r>
      <w:r w:rsidR="00AB34CB" w:rsidRPr="00AC2D12">
        <w:rPr>
          <w:rFonts w:ascii="Calibri" w:hAnsi="Calibri" w:cs="Calibri" w:hint="eastAsia"/>
          <w:lang w:eastAsia="zh-CN"/>
        </w:rPr>
        <w:t>）提供资金仍然很重要。</w:t>
      </w:r>
    </w:p>
    <w:p w14:paraId="3C27D7CA" w14:textId="3BBC55BE" w:rsidR="002E31C4" w:rsidRPr="00AC2D12" w:rsidRDefault="002E31C4" w:rsidP="003C0ED8">
      <w:pPr>
        <w:pStyle w:val="MainTextNumbered"/>
        <w:numPr>
          <w:ilvl w:val="0"/>
          <w:numId w:val="0"/>
        </w:numPr>
        <w:tabs>
          <w:tab w:val="clear" w:pos="1080"/>
        </w:tabs>
        <w:rPr>
          <w:rFonts w:ascii="Calibri" w:hAnsi="Calibri" w:cs="Calibri"/>
          <w:lang w:eastAsia="zh-CN"/>
        </w:rPr>
      </w:pPr>
      <w:r w:rsidRPr="002D673C">
        <w:rPr>
          <w:rFonts w:ascii="Calibri" w:hAnsi="Calibri" w:cs="Calibri"/>
          <w:b/>
          <w:bCs/>
          <w:lang w:eastAsia="zh-CN"/>
        </w:rPr>
        <w:t>36</w:t>
      </w:r>
      <w:r w:rsidRPr="00AC2D12">
        <w:rPr>
          <w:rFonts w:ascii="Calibri" w:hAnsi="Calibri" w:cs="Calibri"/>
          <w:lang w:eastAsia="zh-CN"/>
        </w:rPr>
        <w:tab/>
      </w:r>
      <w:r w:rsidR="00B6300F" w:rsidRPr="00AC2D12">
        <w:rPr>
          <w:rFonts w:ascii="Calibri" w:hAnsi="Calibri" w:cs="Calibri" w:hint="eastAsia"/>
          <w:lang w:eastAsia="zh-CN"/>
        </w:rPr>
        <w:t>影响负债估值的最重要因素是精算假设，这些假设使负债减少了</w:t>
      </w:r>
      <w:r w:rsidR="00B6300F" w:rsidRPr="00AC2D12">
        <w:rPr>
          <w:rFonts w:ascii="Calibri" w:hAnsi="Calibri" w:cs="Calibri" w:hint="eastAsia"/>
          <w:lang w:eastAsia="zh-CN"/>
        </w:rPr>
        <w:t>2.155</w:t>
      </w:r>
      <w:r w:rsidR="00B6300F" w:rsidRPr="00AC2D12">
        <w:rPr>
          <w:rFonts w:ascii="Calibri" w:hAnsi="Calibri" w:cs="Calibri" w:hint="eastAsia"/>
          <w:lang w:eastAsia="zh-CN"/>
        </w:rPr>
        <w:t>亿瑞郎（图</w:t>
      </w:r>
      <w:r w:rsidR="00B6300F" w:rsidRPr="00AC2D12">
        <w:rPr>
          <w:rFonts w:ascii="Calibri" w:hAnsi="Calibri" w:cs="Calibri" w:hint="eastAsia"/>
          <w:lang w:eastAsia="zh-CN"/>
        </w:rPr>
        <w:t>2</w:t>
      </w:r>
      <w:r w:rsidR="00B6300F" w:rsidRPr="00AC2D12">
        <w:rPr>
          <w:rFonts w:ascii="Calibri" w:hAnsi="Calibri" w:cs="Calibri" w:hint="eastAsia"/>
          <w:lang w:eastAsia="zh-CN"/>
        </w:rPr>
        <w:t>）。其中：</w:t>
      </w:r>
    </w:p>
    <w:p w14:paraId="5F8E2A09" w14:textId="5530ADAB"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B6300F" w:rsidRPr="00AC2D12">
        <w:rPr>
          <w:rFonts w:ascii="Calibri" w:eastAsia="SimSun" w:hAnsi="Calibri" w:cs="Calibri" w:hint="eastAsia"/>
          <w:lang w:eastAsia="zh-CN"/>
        </w:rPr>
        <w:t>1.336</w:t>
      </w:r>
      <w:r w:rsidR="00B6300F" w:rsidRPr="00AC2D12">
        <w:rPr>
          <w:rFonts w:ascii="Calibri" w:eastAsia="SimSun" w:hAnsi="Calibri" w:cs="Calibri" w:hint="eastAsia"/>
          <w:lang w:eastAsia="zh-CN"/>
        </w:rPr>
        <w:t>亿瑞郎的财务假设变动收益。这包括对贴现率、通货膨胀和医疗趋势等假设的更新。此处的收益主要在于贴现率从</w:t>
      </w:r>
      <w:r w:rsidR="00B6300F" w:rsidRPr="00AC2D12">
        <w:rPr>
          <w:rFonts w:ascii="Calibri" w:eastAsia="SimSun" w:hAnsi="Calibri" w:cs="Calibri" w:hint="eastAsia"/>
          <w:lang w:eastAsia="zh-CN"/>
        </w:rPr>
        <w:t>0.5%</w:t>
      </w:r>
      <w:r w:rsidR="00B6300F" w:rsidRPr="00AC2D12">
        <w:rPr>
          <w:rFonts w:ascii="Calibri" w:eastAsia="SimSun" w:hAnsi="Calibri" w:cs="Calibri" w:hint="eastAsia"/>
          <w:lang w:eastAsia="zh-CN"/>
        </w:rPr>
        <w:t>升至</w:t>
      </w:r>
      <w:r w:rsidR="00B6300F" w:rsidRPr="00AC2D12">
        <w:rPr>
          <w:rFonts w:ascii="Calibri" w:eastAsia="SimSun" w:hAnsi="Calibri" w:cs="Calibri" w:hint="eastAsia"/>
          <w:lang w:eastAsia="zh-CN"/>
        </w:rPr>
        <w:t>2.5%</w:t>
      </w:r>
      <w:r w:rsidR="00B6300F" w:rsidRPr="00AC2D12">
        <w:rPr>
          <w:rFonts w:ascii="Calibri" w:eastAsia="SimSun" w:hAnsi="Calibri" w:cs="Calibri" w:hint="eastAsia"/>
          <w:lang w:eastAsia="zh-CN"/>
        </w:rPr>
        <w:t>，从而大大减少了整体负债。</w:t>
      </w:r>
      <w:r w:rsidR="00B6300F" w:rsidRPr="00AC2D12">
        <w:rPr>
          <w:rFonts w:ascii="Calibri" w:eastAsia="SimSun" w:hAnsi="Calibri" w:cs="Calibri" w:hint="eastAsia"/>
          <w:lang w:eastAsia="zh-CN"/>
        </w:rPr>
        <w:t xml:space="preserve"> </w:t>
      </w:r>
      <w:r w:rsidR="00B6300F" w:rsidRPr="00AC2D12">
        <w:rPr>
          <w:rFonts w:ascii="Calibri" w:eastAsia="SimSun" w:hAnsi="Calibri" w:cs="Calibri" w:hint="eastAsia"/>
          <w:lang w:eastAsia="zh-CN"/>
        </w:rPr>
        <w:t>收益虽有利于国际电联</w:t>
      </w:r>
      <w:r w:rsidR="00B6300F" w:rsidRPr="00AC2D12">
        <w:rPr>
          <w:rFonts w:ascii="Calibri" w:eastAsia="SimSun" w:hAnsi="Calibri" w:cs="Calibri" w:hint="eastAsia"/>
          <w:lang w:eastAsia="zh-CN"/>
        </w:rPr>
        <w:t>2022</w:t>
      </w:r>
      <w:r w:rsidR="00B6300F" w:rsidRPr="00AC2D12">
        <w:rPr>
          <w:rFonts w:ascii="Calibri" w:eastAsia="SimSun" w:hAnsi="Calibri" w:cs="Calibri" w:hint="eastAsia"/>
          <w:lang w:eastAsia="zh-CN"/>
        </w:rPr>
        <w:t>年的财务健康，但这是金融市场变动而非国际电联积极管理负债带来的结果，而且如果贴现率降低，未来可能出现逆转。</w:t>
      </w:r>
    </w:p>
    <w:p w14:paraId="6BEF8A50" w14:textId="7FB41B2E" w:rsidR="002E31C4" w:rsidRPr="00AC2D12" w:rsidRDefault="002E31C4" w:rsidP="003C0ED8">
      <w:pPr>
        <w:pStyle w:val="Bullet"/>
        <w:numPr>
          <w:ilvl w:val="0"/>
          <w:numId w:val="0"/>
        </w:numPr>
        <w:ind w:left="499"/>
        <w:rPr>
          <w:rFonts w:ascii="Calibri" w:eastAsia="SimSun" w:hAnsi="Calibri" w:cs="Calibri"/>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B6300F" w:rsidRPr="00AC2D12">
        <w:rPr>
          <w:rFonts w:ascii="Calibri" w:eastAsia="SimSun" w:hAnsi="Calibri" w:cs="Calibri" w:hint="eastAsia"/>
          <w:lang w:eastAsia="zh-CN"/>
        </w:rPr>
        <w:t>人口假设变化带来</w:t>
      </w:r>
      <w:r w:rsidR="00B6300F" w:rsidRPr="00AC2D12">
        <w:rPr>
          <w:rFonts w:ascii="Calibri" w:eastAsia="SimSun" w:hAnsi="Calibri" w:cs="Calibri" w:hint="eastAsia"/>
          <w:lang w:eastAsia="zh-CN"/>
        </w:rPr>
        <w:t>8</w:t>
      </w:r>
      <w:r w:rsidR="00D86CC6">
        <w:rPr>
          <w:rFonts w:ascii="Calibri" w:eastAsia="SimSun" w:hAnsi="Calibri" w:cs="Calibri"/>
          <w:lang w:eastAsia="zh-CN"/>
        </w:rPr>
        <w:t> </w:t>
      </w:r>
      <w:r w:rsidR="00B6300F" w:rsidRPr="00AC2D12">
        <w:rPr>
          <w:rFonts w:ascii="Calibri" w:eastAsia="SimSun" w:hAnsi="Calibri" w:cs="Calibri" w:hint="eastAsia"/>
          <w:lang w:eastAsia="zh-CN"/>
        </w:rPr>
        <w:t>010</w:t>
      </w:r>
      <w:r w:rsidR="00B6300F" w:rsidRPr="00AC2D12">
        <w:rPr>
          <w:rFonts w:ascii="Calibri" w:eastAsia="SimSun" w:hAnsi="Calibri" w:cs="Calibri" w:hint="eastAsia"/>
          <w:lang w:eastAsia="zh-CN"/>
        </w:rPr>
        <w:t>万瑞郎的收益，其中包括对人员更替、死亡率和残疾、退休等假设的更新，最重要的是对医疗费用报销的调整，如下所述。</w:t>
      </w:r>
    </w:p>
    <w:p w14:paraId="5F9A003E" w14:textId="7FC1FB92" w:rsidR="002E31C4" w:rsidRDefault="002E31C4" w:rsidP="003C0ED8">
      <w:pPr>
        <w:pStyle w:val="Bullet"/>
        <w:numPr>
          <w:ilvl w:val="0"/>
          <w:numId w:val="0"/>
        </w:numPr>
        <w:ind w:left="499"/>
        <w:rPr>
          <w:lang w:eastAsia="zh-CN"/>
        </w:rPr>
      </w:pPr>
      <w:r w:rsidRPr="00AC2D12">
        <w:rPr>
          <w:rFonts w:ascii="Calibri" w:eastAsia="SimSun" w:hAnsi="Calibri" w:cs="Calibri"/>
          <w:lang w:eastAsia="zh-CN"/>
        </w:rPr>
        <w:t>•</w:t>
      </w:r>
      <w:r w:rsidRPr="00AC2D12">
        <w:rPr>
          <w:rFonts w:ascii="Calibri" w:eastAsia="SimSun" w:hAnsi="Calibri" w:cs="Calibri"/>
          <w:lang w:eastAsia="zh-CN"/>
        </w:rPr>
        <w:tab/>
      </w:r>
      <w:r w:rsidR="00B6300F" w:rsidRPr="00AC2D12">
        <w:rPr>
          <w:rFonts w:ascii="Calibri" w:eastAsia="SimSun" w:hAnsi="Calibri" w:cs="Calibri" w:hint="eastAsia"/>
          <w:lang w:eastAsia="zh-CN"/>
        </w:rPr>
        <w:t>经验变化收益</w:t>
      </w:r>
      <w:r w:rsidR="00B6300F" w:rsidRPr="00AC2D12">
        <w:rPr>
          <w:rFonts w:ascii="Calibri" w:eastAsia="SimSun" w:hAnsi="Calibri" w:cs="Calibri" w:hint="eastAsia"/>
          <w:lang w:eastAsia="zh-CN"/>
        </w:rPr>
        <w:t>180</w:t>
      </w:r>
      <w:r w:rsidR="00B6300F" w:rsidRPr="00AC2D12">
        <w:rPr>
          <w:rFonts w:ascii="Calibri" w:eastAsia="SimSun" w:hAnsi="Calibri" w:cs="Calibri" w:hint="eastAsia"/>
          <w:lang w:eastAsia="zh-CN"/>
        </w:rPr>
        <w:t>万瑞郎，包括因假设与实际结果之间的差异而需要进行的调整</w:t>
      </w:r>
      <w:r w:rsidR="00B6300F" w:rsidRPr="00B6300F">
        <w:rPr>
          <w:rFonts w:ascii="SimSun" w:eastAsia="SimSun" w:hAnsi="SimSun" w:cs="Microsoft YaHei" w:hint="eastAsia"/>
          <w:lang w:eastAsia="zh-CN"/>
        </w:rPr>
        <w:t>。</w:t>
      </w:r>
    </w:p>
    <w:p w14:paraId="32083AFE" w14:textId="262231FB" w:rsidR="002E31C4" w:rsidRPr="002D673C" w:rsidRDefault="00B6300F" w:rsidP="00046AD5">
      <w:pPr>
        <w:pStyle w:val="Number1"/>
        <w:numPr>
          <w:ilvl w:val="0"/>
          <w:numId w:val="0"/>
        </w:numPr>
        <w:rPr>
          <w:rStyle w:val="Bold"/>
          <w:rFonts w:ascii="Calibri" w:hAnsi="Calibri" w:cs="Calibri"/>
          <w:lang w:eastAsia="zh-CN"/>
        </w:rPr>
      </w:pPr>
      <w:r w:rsidRPr="002D673C">
        <w:rPr>
          <w:rStyle w:val="Bold"/>
          <w:rFonts w:ascii="Calibri" w:hAnsi="Calibri" w:cs="Calibri" w:hint="eastAsia"/>
          <w:lang w:eastAsia="zh-CN"/>
        </w:rPr>
        <w:t>图</w:t>
      </w:r>
      <w:r w:rsidRPr="002D673C">
        <w:rPr>
          <w:rStyle w:val="Bold"/>
          <w:rFonts w:ascii="Calibri" w:hAnsi="Calibri" w:cs="Calibri" w:hint="eastAsia"/>
          <w:lang w:eastAsia="zh-CN"/>
        </w:rPr>
        <w:t>2</w:t>
      </w:r>
      <w:r w:rsidR="00D251A5">
        <w:rPr>
          <w:rStyle w:val="Bold"/>
          <w:rFonts w:ascii="Calibri" w:hAnsi="Calibri" w:cs="Calibri" w:hint="eastAsia"/>
          <w:lang w:eastAsia="zh-CN"/>
        </w:rPr>
        <w:t>：</w:t>
      </w:r>
      <w:r w:rsidRPr="002D673C">
        <w:rPr>
          <w:rStyle w:val="Bold"/>
          <w:rFonts w:ascii="Calibri" w:hAnsi="Calibri" w:cs="Calibri" w:hint="eastAsia"/>
          <w:lang w:eastAsia="zh-CN"/>
        </w:rPr>
        <w:t>ASHI</w:t>
      </w:r>
      <w:r w:rsidR="009D23BF" w:rsidRPr="002D673C">
        <w:rPr>
          <w:rStyle w:val="Bold"/>
          <w:rFonts w:ascii="Calibri" w:hAnsi="Calibri" w:cs="Calibri"/>
          <w:lang w:eastAsia="zh-CN"/>
        </w:rPr>
        <w:t>确定给付承付款项</w:t>
      </w:r>
      <w:r w:rsidRPr="002D673C">
        <w:rPr>
          <w:rStyle w:val="Bold"/>
          <w:rFonts w:ascii="Calibri" w:hAnsi="Calibri" w:cs="Calibri" w:hint="eastAsia"/>
          <w:lang w:eastAsia="zh-CN"/>
        </w:rPr>
        <w:t>的变化情况</w:t>
      </w:r>
    </w:p>
    <w:tbl>
      <w:tblPr>
        <w:tblW w:w="5000" w:type="pct"/>
        <w:tblLayout w:type="fixed"/>
        <w:tblLook w:val="0600" w:firstRow="0" w:lastRow="0" w:firstColumn="0" w:lastColumn="0" w:noHBand="1" w:noVBand="1"/>
      </w:tblPr>
      <w:tblGrid>
        <w:gridCol w:w="2550"/>
        <w:gridCol w:w="2552"/>
        <w:gridCol w:w="2552"/>
      </w:tblGrid>
      <w:tr w:rsidR="002E31C4" w:rsidRPr="002D673C" w14:paraId="03798691" w14:textId="77777777" w:rsidTr="00046AD5">
        <w:tc>
          <w:tcPr>
            <w:tcW w:w="2550" w:type="dxa"/>
          </w:tcPr>
          <w:p w14:paraId="00CBEE68" w14:textId="77777777" w:rsidR="002E31C4" w:rsidRPr="002D673C" w:rsidRDefault="002E31C4">
            <w:pPr>
              <w:pStyle w:val="ColumnHeading"/>
              <w:rPr>
                <w:rFonts w:ascii="Calibri" w:eastAsia="SimSun" w:hAnsi="Calibri" w:cs="Calibri"/>
                <w:lang w:eastAsia="zh-CN"/>
              </w:rPr>
            </w:pPr>
          </w:p>
        </w:tc>
        <w:tc>
          <w:tcPr>
            <w:tcW w:w="2552" w:type="dxa"/>
            <w:hideMark/>
          </w:tcPr>
          <w:p w14:paraId="2A85ADE0" w14:textId="11B3A592" w:rsidR="002E31C4" w:rsidRPr="002D673C" w:rsidRDefault="002E31C4">
            <w:pPr>
              <w:pStyle w:val="ColumnHeading"/>
              <w:rPr>
                <w:rFonts w:ascii="Calibri" w:eastAsia="SimSun" w:hAnsi="Calibri" w:cs="Calibri"/>
              </w:rPr>
            </w:pPr>
            <w:r w:rsidRPr="002D673C">
              <w:rPr>
                <w:rFonts w:ascii="Calibri" w:eastAsia="SimSun" w:hAnsi="Calibri" w:cs="Calibri"/>
              </w:rPr>
              <w:t>2022</w:t>
            </w:r>
            <w:r w:rsidR="009D23BF" w:rsidRPr="002D673C">
              <w:rPr>
                <w:rFonts w:ascii="Calibri" w:eastAsia="SimSun" w:hAnsi="Calibri" w:cs="Calibri" w:hint="eastAsia"/>
                <w:lang w:eastAsia="zh-CN"/>
              </w:rPr>
              <w:t>年</w:t>
            </w:r>
          </w:p>
        </w:tc>
        <w:tc>
          <w:tcPr>
            <w:tcW w:w="2552" w:type="dxa"/>
            <w:hideMark/>
          </w:tcPr>
          <w:p w14:paraId="656C36A7" w14:textId="0FE6E1E5" w:rsidR="002E31C4" w:rsidRPr="002D673C" w:rsidRDefault="002E31C4">
            <w:pPr>
              <w:pStyle w:val="ColumnHeading"/>
              <w:rPr>
                <w:rFonts w:ascii="Calibri" w:eastAsia="SimSun" w:hAnsi="Calibri" w:cs="Calibri"/>
              </w:rPr>
            </w:pPr>
            <w:r w:rsidRPr="002D673C">
              <w:rPr>
                <w:rFonts w:ascii="Calibri" w:eastAsia="SimSun" w:hAnsi="Calibri" w:cs="Calibri"/>
              </w:rPr>
              <w:t>2021</w:t>
            </w:r>
            <w:r w:rsidR="009D23BF" w:rsidRPr="002D673C">
              <w:rPr>
                <w:rFonts w:ascii="Calibri" w:eastAsia="SimSun" w:hAnsi="Calibri" w:cs="Calibri" w:hint="eastAsia"/>
                <w:lang w:eastAsia="zh-CN"/>
              </w:rPr>
              <w:t>年</w:t>
            </w:r>
          </w:p>
        </w:tc>
      </w:tr>
      <w:tr w:rsidR="002E31C4" w:rsidRPr="002D673C" w14:paraId="23DB7D40" w14:textId="77777777" w:rsidTr="00046AD5">
        <w:tc>
          <w:tcPr>
            <w:tcW w:w="2550" w:type="dxa"/>
            <w:hideMark/>
          </w:tcPr>
          <w:p w14:paraId="682C1508" w14:textId="109A7F15" w:rsidR="002E31C4" w:rsidRPr="002D673C" w:rsidRDefault="009D23BF">
            <w:pPr>
              <w:pStyle w:val="Figuretext"/>
              <w:rPr>
                <w:rFonts w:ascii="Calibri" w:hAnsi="Calibri" w:cs="Calibri"/>
                <w:b/>
                <w:bCs/>
              </w:rPr>
            </w:pPr>
            <w:r w:rsidRPr="002D673C">
              <w:rPr>
                <w:rStyle w:val="Bold"/>
                <w:rFonts w:ascii="Calibri" w:hAnsi="Calibri" w:cs="Calibri" w:hint="eastAsia"/>
                <w:b w:val="0"/>
                <w:bCs w:val="0"/>
                <w:szCs w:val="24"/>
              </w:rPr>
              <w:t>1</w:t>
            </w:r>
            <w:r w:rsidRPr="002D673C">
              <w:rPr>
                <w:rStyle w:val="Bold"/>
                <w:rFonts w:ascii="Calibri" w:hAnsi="Calibri" w:cs="Calibri" w:hint="eastAsia"/>
                <w:b w:val="0"/>
                <w:bCs w:val="0"/>
                <w:szCs w:val="24"/>
              </w:rPr>
              <w:t>月</w:t>
            </w:r>
            <w:r w:rsidRPr="002D673C">
              <w:rPr>
                <w:rStyle w:val="Bold"/>
                <w:rFonts w:ascii="Calibri" w:hAnsi="Calibri" w:cs="Calibri" w:hint="eastAsia"/>
                <w:b w:val="0"/>
                <w:bCs w:val="0"/>
                <w:szCs w:val="24"/>
              </w:rPr>
              <w:t>1</w:t>
            </w:r>
            <w:r w:rsidRPr="002D673C">
              <w:rPr>
                <w:rStyle w:val="Bold"/>
                <w:rFonts w:ascii="Calibri" w:hAnsi="Calibri" w:cs="Calibri" w:hint="eastAsia"/>
                <w:b w:val="0"/>
                <w:bCs w:val="0"/>
                <w:szCs w:val="24"/>
              </w:rPr>
              <w:t>日</w:t>
            </w:r>
            <w:r w:rsidRPr="002D673C">
              <w:rPr>
                <w:rStyle w:val="Bold"/>
                <w:rFonts w:ascii="Calibri" w:hAnsi="Calibri" w:cs="Calibri"/>
                <w:b w:val="0"/>
                <w:bCs w:val="0"/>
                <w:szCs w:val="24"/>
              </w:rPr>
              <w:t>确定给付承付款项</w:t>
            </w:r>
          </w:p>
        </w:tc>
        <w:tc>
          <w:tcPr>
            <w:tcW w:w="2552" w:type="dxa"/>
            <w:hideMark/>
          </w:tcPr>
          <w:p w14:paraId="7E2FC21F" w14:textId="77777777" w:rsidR="002E31C4" w:rsidRPr="002D673C" w:rsidRDefault="002E31C4">
            <w:pPr>
              <w:pStyle w:val="Figuretext"/>
              <w:rPr>
                <w:rFonts w:ascii="Calibri" w:hAnsi="Calibri" w:cs="Calibri"/>
              </w:rPr>
            </w:pPr>
            <w:r w:rsidRPr="002D673C">
              <w:rPr>
                <w:rFonts w:ascii="Calibri" w:hAnsi="Calibri" w:cs="Calibri"/>
              </w:rPr>
              <w:t>545,636</w:t>
            </w:r>
          </w:p>
        </w:tc>
        <w:tc>
          <w:tcPr>
            <w:tcW w:w="2552" w:type="dxa"/>
            <w:hideMark/>
          </w:tcPr>
          <w:p w14:paraId="093726E3" w14:textId="77777777" w:rsidR="002E31C4" w:rsidRPr="002D673C" w:rsidRDefault="002E31C4">
            <w:pPr>
              <w:pStyle w:val="Figuretext"/>
              <w:rPr>
                <w:rFonts w:ascii="Calibri" w:hAnsi="Calibri" w:cs="Calibri"/>
              </w:rPr>
            </w:pPr>
            <w:r w:rsidRPr="002D673C">
              <w:rPr>
                <w:rFonts w:ascii="Calibri" w:hAnsi="Calibri" w:cs="Calibri"/>
              </w:rPr>
              <w:t>631,870</w:t>
            </w:r>
          </w:p>
        </w:tc>
      </w:tr>
      <w:tr w:rsidR="009D23BF" w:rsidRPr="002D673C" w14:paraId="072F08A7" w14:textId="77777777" w:rsidTr="00046AD5">
        <w:tc>
          <w:tcPr>
            <w:tcW w:w="2550" w:type="dxa"/>
            <w:hideMark/>
          </w:tcPr>
          <w:p w14:paraId="3660CF3A" w14:textId="64C3AC22" w:rsidR="009D23BF" w:rsidRPr="002D673C" w:rsidRDefault="009D23BF" w:rsidP="009D23BF">
            <w:pPr>
              <w:pStyle w:val="Figuretext"/>
              <w:rPr>
                <w:rFonts w:ascii="Calibri" w:hAnsi="Calibri" w:cs="Calibri"/>
              </w:rPr>
            </w:pPr>
            <w:r w:rsidRPr="002D673C">
              <w:rPr>
                <w:rFonts w:ascii="Calibri" w:hAnsi="Calibri" w:cs="Calibri" w:hint="eastAsia"/>
              </w:rPr>
              <w:t>利息成本</w:t>
            </w:r>
          </w:p>
        </w:tc>
        <w:tc>
          <w:tcPr>
            <w:tcW w:w="2552" w:type="dxa"/>
            <w:hideMark/>
          </w:tcPr>
          <w:p w14:paraId="3AFAA8C8" w14:textId="77777777" w:rsidR="009D23BF" w:rsidRPr="002D673C" w:rsidRDefault="009D23BF" w:rsidP="009D23BF">
            <w:pPr>
              <w:pStyle w:val="Figuretext"/>
              <w:rPr>
                <w:rFonts w:ascii="Calibri" w:hAnsi="Calibri" w:cs="Calibri"/>
              </w:rPr>
            </w:pPr>
            <w:r w:rsidRPr="002D673C">
              <w:rPr>
                <w:rFonts w:ascii="Calibri" w:hAnsi="Calibri" w:cs="Calibri"/>
              </w:rPr>
              <w:t>2,703</w:t>
            </w:r>
          </w:p>
        </w:tc>
        <w:tc>
          <w:tcPr>
            <w:tcW w:w="2552" w:type="dxa"/>
            <w:hideMark/>
          </w:tcPr>
          <w:p w14:paraId="3D29C9C9" w14:textId="77777777" w:rsidR="009D23BF" w:rsidRPr="002D673C" w:rsidRDefault="009D23BF" w:rsidP="009D23BF">
            <w:pPr>
              <w:pStyle w:val="Figuretext"/>
              <w:rPr>
                <w:rFonts w:ascii="Calibri" w:hAnsi="Calibri" w:cs="Calibri"/>
              </w:rPr>
            </w:pPr>
            <w:r w:rsidRPr="002D673C">
              <w:rPr>
                <w:rFonts w:ascii="Calibri" w:hAnsi="Calibri" w:cs="Calibri"/>
              </w:rPr>
              <w:t>1,254</w:t>
            </w:r>
          </w:p>
        </w:tc>
      </w:tr>
      <w:tr w:rsidR="009D23BF" w:rsidRPr="002D673C" w14:paraId="69CE3871" w14:textId="77777777" w:rsidTr="00046AD5">
        <w:tc>
          <w:tcPr>
            <w:tcW w:w="2550" w:type="dxa"/>
            <w:hideMark/>
          </w:tcPr>
          <w:p w14:paraId="326B9FF9" w14:textId="07618315" w:rsidR="009D23BF" w:rsidRPr="002D673C" w:rsidRDefault="009D23BF" w:rsidP="009D23BF">
            <w:pPr>
              <w:pStyle w:val="Figuretext"/>
              <w:rPr>
                <w:rFonts w:ascii="Calibri" w:hAnsi="Calibri" w:cs="Calibri"/>
              </w:rPr>
            </w:pPr>
            <w:r w:rsidRPr="002D673C">
              <w:rPr>
                <w:rFonts w:ascii="Calibri" w:hAnsi="Calibri" w:cs="Calibri" w:hint="eastAsia"/>
              </w:rPr>
              <w:t>当前服务成本</w:t>
            </w:r>
          </w:p>
        </w:tc>
        <w:tc>
          <w:tcPr>
            <w:tcW w:w="2552" w:type="dxa"/>
            <w:hideMark/>
          </w:tcPr>
          <w:p w14:paraId="65E4DADD" w14:textId="77777777" w:rsidR="009D23BF" w:rsidRPr="002D673C" w:rsidRDefault="009D23BF" w:rsidP="009D23BF">
            <w:pPr>
              <w:pStyle w:val="Figuretext"/>
              <w:rPr>
                <w:rFonts w:ascii="Calibri" w:hAnsi="Calibri" w:cs="Calibri"/>
              </w:rPr>
            </w:pPr>
            <w:r w:rsidRPr="002D673C">
              <w:rPr>
                <w:rFonts w:ascii="Calibri" w:hAnsi="Calibri" w:cs="Calibri"/>
              </w:rPr>
              <w:t>19,685</w:t>
            </w:r>
          </w:p>
        </w:tc>
        <w:tc>
          <w:tcPr>
            <w:tcW w:w="2552" w:type="dxa"/>
            <w:hideMark/>
          </w:tcPr>
          <w:p w14:paraId="17AD2E19" w14:textId="77777777" w:rsidR="009D23BF" w:rsidRPr="002D673C" w:rsidRDefault="009D23BF" w:rsidP="009D23BF">
            <w:pPr>
              <w:pStyle w:val="Figuretext"/>
              <w:rPr>
                <w:rFonts w:ascii="Calibri" w:hAnsi="Calibri" w:cs="Calibri"/>
              </w:rPr>
            </w:pPr>
            <w:r w:rsidRPr="002D673C">
              <w:rPr>
                <w:rFonts w:ascii="Calibri" w:hAnsi="Calibri" w:cs="Calibri"/>
              </w:rPr>
              <w:t>25,171</w:t>
            </w:r>
          </w:p>
        </w:tc>
      </w:tr>
      <w:tr w:rsidR="009D23BF" w:rsidRPr="002D673C" w14:paraId="32874EAC" w14:textId="77777777" w:rsidTr="00046AD5">
        <w:tc>
          <w:tcPr>
            <w:tcW w:w="2550" w:type="dxa"/>
            <w:hideMark/>
          </w:tcPr>
          <w:p w14:paraId="27582C35" w14:textId="4F49F940" w:rsidR="009D23BF" w:rsidRPr="002D673C" w:rsidRDefault="009D23BF" w:rsidP="009D23BF">
            <w:pPr>
              <w:pStyle w:val="Figuretext"/>
              <w:rPr>
                <w:rFonts w:ascii="Calibri" w:hAnsi="Calibri" w:cs="Calibri"/>
              </w:rPr>
            </w:pPr>
            <w:r w:rsidRPr="002D673C">
              <w:rPr>
                <w:rFonts w:ascii="Calibri" w:hAnsi="Calibri" w:cs="Calibri" w:hint="eastAsia"/>
              </w:rPr>
              <w:t>已缴会费</w:t>
            </w:r>
          </w:p>
        </w:tc>
        <w:tc>
          <w:tcPr>
            <w:tcW w:w="2552" w:type="dxa"/>
            <w:hideMark/>
          </w:tcPr>
          <w:p w14:paraId="7CA4A8F8" w14:textId="77777777" w:rsidR="009D23BF" w:rsidRPr="002D673C" w:rsidRDefault="009D23BF" w:rsidP="009D23BF">
            <w:pPr>
              <w:pStyle w:val="Figuretext"/>
              <w:rPr>
                <w:rFonts w:ascii="Calibri" w:hAnsi="Calibri" w:cs="Calibri"/>
              </w:rPr>
            </w:pPr>
            <w:r w:rsidRPr="002D673C">
              <w:rPr>
                <w:rFonts w:ascii="Calibri" w:hAnsi="Calibri" w:cs="Calibri"/>
              </w:rPr>
              <w:t>-8,412</w:t>
            </w:r>
          </w:p>
        </w:tc>
        <w:tc>
          <w:tcPr>
            <w:tcW w:w="2552" w:type="dxa"/>
            <w:hideMark/>
          </w:tcPr>
          <w:p w14:paraId="53F32961" w14:textId="77777777" w:rsidR="009D23BF" w:rsidRPr="002D673C" w:rsidRDefault="009D23BF" w:rsidP="009D23BF">
            <w:pPr>
              <w:pStyle w:val="Figuretext"/>
              <w:rPr>
                <w:rFonts w:ascii="Calibri" w:hAnsi="Calibri" w:cs="Calibri"/>
              </w:rPr>
            </w:pPr>
            <w:r w:rsidRPr="002D673C">
              <w:rPr>
                <w:rFonts w:ascii="Calibri" w:hAnsi="Calibri" w:cs="Calibri"/>
              </w:rPr>
              <w:t>-9,160</w:t>
            </w:r>
          </w:p>
        </w:tc>
      </w:tr>
      <w:tr w:rsidR="009D23BF" w:rsidRPr="002D673C" w14:paraId="02903B80" w14:textId="77777777" w:rsidTr="00046AD5">
        <w:tc>
          <w:tcPr>
            <w:tcW w:w="2550" w:type="dxa"/>
            <w:hideMark/>
          </w:tcPr>
          <w:p w14:paraId="0BE1ED8F" w14:textId="6A8B01AC" w:rsidR="009D23BF" w:rsidRPr="002D673C" w:rsidRDefault="009D23BF" w:rsidP="009D23BF">
            <w:pPr>
              <w:pStyle w:val="Figuretext"/>
              <w:rPr>
                <w:rFonts w:ascii="Calibri" w:hAnsi="Calibri" w:cs="Calibri"/>
              </w:rPr>
            </w:pPr>
            <w:r w:rsidRPr="002D673C">
              <w:rPr>
                <w:rFonts w:ascii="Calibri" w:hAnsi="Calibri" w:cs="Calibri" w:hint="eastAsia"/>
              </w:rPr>
              <w:t>精算假设变化</w:t>
            </w:r>
          </w:p>
        </w:tc>
        <w:tc>
          <w:tcPr>
            <w:tcW w:w="2552" w:type="dxa"/>
            <w:hideMark/>
          </w:tcPr>
          <w:p w14:paraId="75634EF4" w14:textId="77777777" w:rsidR="009D23BF" w:rsidRPr="002D673C" w:rsidRDefault="009D23BF" w:rsidP="009D23BF">
            <w:pPr>
              <w:pStyle w:val="Figuretext"/>
              <w:rPr>
                <w:rFonts w:ascii="Calibri" w:hAnsi="Calibri" w:cs="Calibri"/>
              </w:rPr>
            </w:pPr>
            <w:r w:rsidRPr="002D673C">
              <w:rPr>
                <w:rFonts w:ascii="Calibri" w:hAnsi="Calibri" w:cs="Calibri"/>
              </w:rPr>
              <w:t>-215,510</w:t>
            </w:r>
          </w:p>
        </w:tc>
        <w:tc>
          <w:tcPr>
            <w:tcW w:w="2552" w:type="dxa"/>
            <w:hideMark/>
          </w:tcPr>
          <w:p w14:paraId="7DD8D5D5" w14:textId="77777777" w:rsidR="009D23BF" w:rsidRPr="002D673C" w:rsidRDefault="009D23BF" w:rsidP="009D23BF">
            <w:pPr>
              <w:pStyle w:val="Figuretext"/>
              <w:rPr>
                <w:rFonts w:ascii="Calibri" w:hAnsi="Calibri" w:cs="Calibri"/>
              </w:rPr>
            </w:pPr>
            <w:r w:rsidRPr="002D673C">
              <w:rPr>
                <w:rFonts w:ascii="Calibri" w:hAnsi="Calibri" w:cs="Calibri"/>
              </w:rPr>
              <w:t>-103,499</w:t>
            </w:r>
          </w:p>
        </w:tc>
      </w:tr>
      <w:tr w:rsidR="009D23BF" w:rsidRPr="002D673C" w14:paraId="3B949F95" w14:textId="77777777" w:rsidTr="00046AD5">
        <w:tc>
          <w:tcPr>
            <w:tcW w:w="2550" w:type="dxa"/>
            <w:hideMark/>
          </w:tcPr>
          <w:p w14:paraId="72475F5C" w14:textId="2B787439" w:rsidR="009D23BF" w:rsidRPr="002D673C" w:rsidRDefault="009D23BF" w:rsidP="009D23BF">
            <w:pPr>
              <w:pStyle w:val="Figuretext"/>
              <w:rPr>
                <w:rFonts w:ascii="Calibri" w:hAnsi="Calibri" w:cs="Calibri"/>
              </w:rPr>
            </w:pPr>
            <w:r w:rsidRPr="002D673C">
              <w:rPr>
                <w:rFonts w:ascii="Calibri" w:hAnsi="Calibri" w:cs="Calibri" w:hint="eastAsia"/>
              </w:rPr>
              <w:t>12</w:t>
            </w:r>
            <w:r w:rsidRPr="002D673C">
              <w:rPr>
                <w:rFonts w:ascii="Calibri" w:hAnsi="Calibri" w:cs="Calibri" w:hint="eastAsia"/>
              </w:rPr>
              <w:t>月</w:t>
            </w:r>
            <w:r w:rsidRPr="002D673C">
              <w:rPr>
                <w:rFonts w:ascii="Calibri" w:hAnsi="Calibri" w:cs="Calibri" w:hint="eastAsia"/>
              </w:rPr>
              <w:t>31</w:t>
            </w:r>
            <w:r w:rsidRPr="002D673C">
              <w:rPr>
                <w:rFonts w:ascii="Calibri" w:hAnsi="Calibri" w:cs="Calibri" w:hint="eastAsia"/>
              </w:rPr>
              <w:t>日</w:t>
            </w:r>
            <w:r w:rsidRPr="002D673C">
              <w:rPr>
                <w:rStyle w:val="Bold"/>
                <w:rFonts w:ascii="Calibri" w:hAnsi="Calibri" w:cs="Calibri"/>
                <w:b w:val="0"/>
                <w:bCs w:val="0"/>
                <w:szCs w:val="24"/>
              </w:rPr>
              <w:t>确定给付承付款项</w:t>
            </w:r>
          </w:p>
        </w:tc>
        <w:tc>
          <w:tcPr>
            <w:tcW w:w="2552" w:type="dxa"/>
            <w:hideMark/>
          </w:tcPr>
          <w:p w14:paraId="37223FAA" w14:textId="77777777" w:rsidR="009D23BF" w:rsidRPr="002D673C" w:rsidRDefault="009D23BF" w:rsidP="009D23BF">
            <w:pPr>
              <w:pStyle w:val="Figuretext"/>
              <w:rPr>
                <w:rFonts w:ascii="Calibri" w:hAnsi="Calibri" w:cs="Calibri"/>
              </w:rPr>
            </w:pPr>
            <w:r w:rsidRPr="002D673C">
              <w:rPr>
                <w:rFonts w:ascii="Calibri" w:hAnsi="Calibri" w:cs="Calibri"/>
              </w:rPr>
              <w:t>344,102</w:t>
            </w:r>
          </w:p>
        </w:tc>
        <w:tc>
          <w:tcPr>
            <w:tcW w:w="2552" w:type="dxa"/>
            <w:hideMark/>
          </w:tcPr>
          <w:p w14:paraId="37F13540" w14:textId="77777777" w:rsidR="009D23BF" w:rsidRPr="002D673C" w:rsidRDefault="009D23BF" w:rsidP="009D23BF">
            <w:pPr>
              <w:pStyle w:val="Figuretext"/>
              <w:rPr>
                <w:rFonts w:ascii="Calibri" w:hAnsi="Calibri" w:cs="Calibri"/>
              </w:rPr>
            </w:pPr>
            <w:r w:rsidRPr="002D673C">
              <w:rPr>
                <w:rFonts w:ascii="Calibri" w:hAnsi="Calibri" w:cs="Calibri"/>
              </w:rPr>
              <w:t>545,636</w:t>
            </w:r>
          </w:p>
        </w:tc>
      </w:tr>
      <w:tr w:rsidR="002E31C4" w:rsidRPr="002D673C" w14:paraId="514830F0" w14:textId="77777777" w:rsidTr="00046AD5">
        <w:tc>
          <w:tcPr>
            <w:tcW w:w="7654" w:type="dxa"/>
            <w:gridSpan w:val="3"/>
            <w:hideMark/>
          </w:tcPr>
          <w:p w14:paraId="4FBAEDF8" w14:textId="5BD57A97" w:rsidR="002E31C4" w:rsidRPr="002D673C" w:rsidRDefault="009D23BF">
            <w:pPr>
              <w:pStyle w:val="FigureSource"/>
              <w:rPr>
                <w:rFonts w:ascii="Calibri" w:eastAsia="SimSun" w:hAnsi="Calibri" w:cs="Calibri"/>
                <w:lang w:eastAsia="zh-CN"/>
              </w:rPr>
            </w:pPr>
            <w:r w:rsidRPr="002D673C">
              <w:rPr>
                <w:rFonts w:ascii="Calibri" w:eastAsia="SimSun" w:hAnsi="Calibri" w:cs="Calibri" w:hint="eastAsia"/>
                <w:lang w:eastAsia="zh-CN"/>
              </w:rPr>
              <w:t>来源：国际电联财务报表</w:t>
            </w:r>
          </w:p>
        </w:tc>
      </w:tr>
    </w:tbl>
    <w:p w14:paraId="29912856" w14:textId="3A5F0F28" w:rsidR="002E31C4" w:rsidRPr="003C0ED8" w:rsidRDefault="009D23BF" w:rsidP="00046AD5">
      <w:pPr>
        <w:pStyle w:val="Heading4"/>
        <w:rPr>
          <w:i w:val="0"/>
          <w:iCs/>
          <w:lang w:eastAsia="zh-CN"/>
        </w:rPr>
      </w:pPr>
      <w:r>
        <w:rPr>
          <w:rFonts w:hint="eastAsia"/>
          <w:i w:val="0"/>
          <w:iCs/>
          <w:lang w:eastAsia="zh-CN"/>
        </w:rPr>
        <w:lastRenderedPageBreak/>
        <w:t>医疗报销费用</w:t>
      </w:r>
    </w:p>
    <w:p w14:paraId="66F8B657" w14:textId="7CBB8C6C" w:rsidR="002E31C4" w:rsidRPr="002D673C" w:rsidRDefault="002E31C4" w:rsidP="00901DB1">
      <w:pPr>
        <w:pStyle w:val="MainTextNumbered"/>
        <w:numPr>
          <w:ilvl w:val="0"/>
          <w:numId w:val="0"/>
        </w:numPr>
        <w:tabs>
          <w:tab w:val="clear" w:pos="1080"/>
        </w:tabs>
        <w:rPr>
          <w:rFonts w:ascii="Calibri" w:hAnsi="Calibri" w:cs="Calibri"/>
          <w:lang w:eastAsia="zh-CN"/>
        </w:rPr>
      </w:pPr>
      <w:r w:rsidRPr="002D673C">
        <w:rPr>
          <w:rFonts w:ascii="Calibri" w:hAnsi="Calibri" w:cs="Calibri"/>
          <w:b/>
          <w:bCs/>
          <w:lang w:eastAsia="zh-CN"/>
        </w:rPr>
        <w:t>37</w:t>
      </w:r>
      <w:r w:rsidRPr="002D673C">
        <w:rPr>
          <w:rFonts w:ascii="Calibri" w:hAnsi="Calibri" w:cs="Calibri"/>
          <w:lang w:eastAsia="zh-CN"/>
        </w:rPr>
        <w:tab/>
      </w:r>
      <w:r w:rsidR="009D23BF" w:rsidRPr="002D673C">
        <w:rPr>
          <w:rFonts w:ascii="Calibri" w:hAnsi="Calibri" w:cs="Calibri" w:hint="eastAsia"/>
          <w:lang w:eastAsia="zh-CN"/>
        </w:rPr>
        <w:t>国际电联的基本义务是职员、前职员及其受扶养人过去在国际电联工作所得的未来预期报销额。在制定估算时，国际电联的精算师制定了每个年龄</w:t>
      </w:r>
      <w:r w:rsidR="008E6B38" w:rsidRPr="002D673C">
        <w:rPr>
          <w:rFonts w:ascii="Calibri" w:hAnsi="Calibri" w:cs="Calibri" w:hint="eastAsia"/>
          <w:lang w:eastAsia="zh-CN"/>
        </w:rPr>
        <w:t>段</w:t>
      </w:r>
      <w:r w:rsidR="009D23BF" w:rsidRPr="002D673C">
        <w:rPr>
          <w:rFonts w:ascii="Calibri" w:hAnsi="Calibri" w:cs="Calibri" w:hint="eastAsia"/>
          <w:lang w:eastAsia="zh-CN"/>
        </w:rPr>
        <w:t>每份报销的预期报销费用，见</w:t>
      </w:r>
      <w:r w:rsidR="00C464C1" w:rsidRPr="002D673C">
        <w:rPr>
          <w:rFonts w:ascii="Calibri" w:hAnsi="Calibri" w:cs="Calibri" w:hint="eastAsia"/>
          <w:lang w:eastAsia="zh-CN"/>
        </w:rPr>
        <w:t>财务报表注释</w:t>
      </w:r>
      <w:r w:rsidR="009D23BF" w:rsidRPr="002D673C">
        <w:rPr>
          <w:rFonts w:ascii="Calibri" w:hAnsi="Calibri" w:cs="Calibri" w:hint="eastAsia"/>
          <w:lang w:eastAsia="zh-CN"/>
        </w:rPr>
        <w:t>18.1.2</w:t>
      </w:r>
      <w:r w:rsidR="009D23BF" w:rsidRPr="002D673C">
        <w:rPr>
          <w:rFonts w:ascii="Calibri" w:hAnsi="Calibri" w:cs="Calibri" w:hint="eastAsia"/>
          <w:lang w:eastAsia="zh-CN"/>
        </w:rPr>
        <w:t>。</w:t>
      </w:r>
    </w:p>
    <w:tbl>
      <w:tblPr>
        <w:tblW w:w="5000" w:type="pct"/>
        <w:tblLayout w:type="fixed"/>
        <w:tblLook w:val="0600" w:firstRow="0" w:lastRow="0" w:firstColumn="0" w:lastColumn="0" w:noHBand="1" w:noVBand="1"/>
      </w:tblPr>
      <w:tblGrid>
        <w:gridCol w:w="2550"/>
        <w:gridCol w:w="2552"/>
        <w:gridCol w:w="2552"/>
      </w:tblGrid>
      <w:tr w:rsidR="002E31C4" w14:paraId="0E2F74D4" w14:textId="77777777" w:rsidTr="00046AD5">
        <w:tc>
          <w:tcPr>
            <w:tcW w:w="7654" w:type="dxa"/>
            <w:gridSpan w:val="3"/>
            <w:hideMark/>
          </w:tcPr>
          <w:p w14:paraId="6E780A49" w14:textId="0995319A" w:rsidR="002E31C4" w:rsidRPr="00F47629" w:rsidRDefault="008E6B38" w:rsidP="003867DE">
            <w:pPr>
              <w:pStyle w:val="Caption"/>
              <w:spacing w:before="120"/>
              <w:rPr>
                <w:rFonts w:ascii="Calibri" w:eastAsia="SimSun" w:hAnsi="Calibri" w:cs="Calibri"/>
                <w:lang w:eastAsia="zh-CN"/>
              </w:rPr>
            </w:pPr>
            <w:r w:rsidRPr="00F47629">
              <w:rPr>
                <w:rFonts w:ascii="Calibri" w:eastAsia="SimSun" w:hAnsi="Calibri" w:cs="Calibri" w:hint="eastAsia"/>
                <w:lang w:eastAsia="zh-CN"/>
              </w:rPr>
              <w:t>图</w:t>
            </w:r>
            <w:r w:rsidRPr="00F47629">
              <w:rPr>
                <w:rFonts w:ascii="Calibri" w:eastAsia="SimSun" w:hAnsi="Calibri" w:cs="Calibri"/>
                <w:lang w:eastAsia="zh-CN"/>
              </w:rPr>
              <w:t>3</w:t>
            </w:r>
            <w:r w:rsidRPr="00F47629">
              <w:rPr>
                <w:rFonts w:ascii="Calibri" w:eastAsia="SimSun" w:hAnsi="Calibri" w:cs="Calibri" w:hint="eastAsia"/>
                <w:lang w:eastAsia="zh-CN"/>
              </w:rPr>
              <w:t>：医疗报销费用</w:t>
            </w:r>
          </w:p>
        </w:tc>
      </w:tr>
      <w:tr w:rsidR="002E31C4" w14:paraId="1023DA82" w14:textId="77777777" w:rsidTr="00046AD5">
        <w:tc>
          <w:tcPr>
            <w:tcW w:w="2550" w:type="dxa"/>
            <w:hideMark/>
          </w:tcPr>
          <w:p w14:paraId="4DA1A87B" w14:textId="16708C15" w:rsidR="002E31C4" w:rsidRPr="00F47629" w:rsidRDefault="008E6B38">
            <w:pPr>
              <w:pStyle w:val="ColumnHeading"/>
              <w:rPr>
                <w:rFonts w:ascii="Calibri" w:eastAsia="SimSun" w:hAnsi="Calibri" w:cs="Calibri"/>
              </w:rPr>
            </w:pPr>
            <w:r w:rsidRPr="00F47629">
              <w:rPr>
                <w:rFonts w:ascii="Calibri" w:eastAsia="SimSun" w:hAnsi="Calibri" w:cs="Calibri" w:hint="eastAsia"/>
                <w:lang w:eastAsia="zh-CN"/>
              </w:rPr>
              <w:t>年龄段</w:t>
            </w:r>
          </w:p>
        </w:tc>
        <w:tc>
          <w:tcPr>
            <w:tcW w:w="2552" w:type="dxa"/>
            <w:hideMark/>
          </w:tcPr>
          <w:p w14:paraId="4DC94AC1" w14:textId="5CAA1C04" w:rsidR="002E31C4" w:rsidRPr="00F47629" w:rsidRDefault="002E31C4">
            <w:pPr>
              <w:pStyle w:val="ColumnHeading"/>
              <w:rPr>
                <w:rFonts w:ascii="Calibri" w:eastAsia="SimSun" w:hAnsi="Calibri" w:cs="Calibri"/>
              </w:rPr>
            </w:pPr>
            <w:r w:rsidRPr="00F47629">
              <w:rPr>
                <w:rFonts w:ascii="Calibri" w:eastAsia="SimSun" w:hAnsi="Calibri" w:cs="Calibri"/>
              </w:rPr>
              <w:t>2022</w:t>
            </w:r>
            <w:r w:rsidR="008E6B38" w:rsidRPr="00F47629">
              <w:rPr>
                <w:rFonts w:ascii="Calibri" w:eastAsia="SimSun" w:hAnsi="Calibri" w:cs="Calibri" w:hint="eastAsia"/>
                <w:lang w:eastAsia="zh-CN"/>
              </w:rPr>
              <w:t>年报销费用</w:t>
            </w:r>
            <w:r w:rsidR="003867DE">
              <w:rPr>
                <w:rFonts w:ascii="Calibri" w:eastAsia="SimSun" w:hAnsi="Calibri" w:cs="Calibri" w:hint="eastAsia"/>
                <w:lang w:eastAsia="zh-CN"/>
              </w:rPr>
              <w:t>（</w:t>
            </w:r>
            <w:r w:rsidRPr="00F47629">
              <w:rPr>
                <w:rFonts w:ascii="Calibri" w:eastAsia="SimSun" w:hAnsi="Calibri" w:cs="Calibri"/>
              </w:rPr>
              <w:t>CHF</w:t>
            </w:r>
            <w:r w:rsidR="003867DE">
              <w:rPr>
                <w:rFonts w:ascii="Calibri" w:eastAsia="SimSun" w:hAnsi="Calibri" w:cs="Calibri" w:hint="eastAsia"/>
                <w:lang w:eastAsia="zh-CN"/>
              </w:rPr>
              <w:t>）</w:t>
            </w:r>
          </w:p>
        </w:tc>
        <w:tc>
          <w:tcPr>
            <w:tcW w:w="2552" w:type="dxa"/>
            <w:hideMark/>
          </w:tcPr>
          <w:p w14:paraId="3E45A04F" w14:textId="1CF2EACC" w:rsidR="002E31C4" w:rsidRPr="00F47629" w:rsidRDefault="002E31C4">
            <w:pPr>
              <w:pStyle w:val="ColumnHeading"/>
              <w:rPr>
                <w:rFonts w:ascii="Calibri" w:eastAsia="SimSun" w:hAnsi="Calibri" w:cs="Calibri"/>
              </w:rPr>
            </w:pPr>
            <w:r w:rsidRPr="00F47629">
              <w:rPr>
                <w:rFonts w:ascii="Calibri" w:eastAsia="SimSun" w:hAnsi="Calibri" w:cs="Calibri"/>
              </w:rPr>
              <w:t>2021</w:t>
            </w:r>
            <w:r w:rsidR="008E6B38" w:rsidRPr="00F47629">
              <w:rPr>
                <w:rFonts w:ascii="Calibri" w:eastAsia="SimSun" w:hAnsi="Calibri" w:cs="Calibri" w:hint="eastAsia"/>
                <w:lang w:eastAsia="zh-CN"/>
              </w:rPr>
              <w:t>年报销费用</w:t>
            </w:r>
            <w:r w:rsidR="003867DE">
              <w:rPr>
                <w:rFonts w:ascii="Calibri" w:eastAsia="SimSun" w:hAnsi="Calibri" w:cs="Calibri" w:hint="eastAsia"/>
                <w:lang w:eastAsia="zh-CN"/>
              </w:rPr>
              <w:t>（</w:t>
            </w:r>
            <w:r w:rsidRPr="00F47629">
              <w:rPr>
                <w:rFonts w:ascii="Calibri" w:eastAsia="SimSun" w:hAnsi="Calibri" w:cs="Calibri"/>
              </w:rPr>
              <w:t>CHF</w:t>
            </w:r>
            <w:r w:rsidR="003867DE">
              <w:rPr>
                <w:rFonts w:ascii="Calibri" w:eastAsia="SimSun" w:hAnsi="Calibri" w:cs="Calibri" w:hint="eastAsia"/>
                <w:lang w:eastAsia="zh-CN"/>
              </w:rPr>
              <w:t>）</w:t>
            </w:r>
          </w:p>
        </w:tc>
      </w:tr>
      <w:tr w:rsidR="002E31C4" w14:paraId="6E48F970" w14:textId="77777777" w:rsidTr="00046AD5">
        <w:tc>
          <w:tcPr>
            <w:tcW w:w="2550" w:type="dxa"/>
            <w:hideMark/>
          </w:tcPr>
          <w:p w14:paraId="4A825E9B" w14:textId="77777777" w:rsidR="002E31C4" w:rsidRPr="00F47629" w:rsidRDefault="002E31C4">
            <w:pPr>
              <w:pStyle w:val="Figuretext"/>
              <w:rPr>
                <w:rFonts w:ascii="Calibri" w:hAnsi="Calibri" w:cs="Calibri"/>
              </w:rPr>
            </w:pPr>
            <w:r w:rsidRPr="00F47629">
              <w:rPr>
                <w:rFonts w:ascii="Calibri" w:hAnsi="Calibri" w:cs="Calibri"/>
              </w:rPr>
              <w:t>50</w:t>
            </w:r>
          </w:p>
        </w:tc>
        <w:tc>
          <w:tcPr>
            <w:tcW w:w="2552" w:type="dxa"/>
            <w:hideMark/>
          </w:tcPr>
          <w:p w14:paraId="06742EB0" w14:textId="77777777" w:rsidR="002E31C4" w:rsidRPr="00F47629" w:rsidRDefault="002E31C4">
            <w:pPr>
              <w:pStyle w:val="Figuretext"/>
              <w:rPr>
                <w:rFonts w:ascii="Calibri" w:hAnsi="Calibri" w:cs="Calibri"/>
              </w:rPr>
            </w:pPr>
            <w:r w:rsidRPr="00F47629">
              <w:rPr>
                <w:rFonts w:ascii="Calibri" w:hAnsi="Calibri" w:cs="Calibri"/>
              </w:rPr>
              <w:t>3,138</w:t>
            </w:r>
          </w:p>
        </w:tc>
        <w:tc>
          <w:tcPr>
            <w:tcW w:w="2552" w:type="dxa"/>
            <w:hideMark/>
          </w:tcPr>
          <w:p w14:paraId="322FC944" w14:textId="77777777" w:rsidR="002E31C4" w:rsidRPr="00F47629" w:rsidRDefault="002E31C4">
            <w:pPr>
              <w:pStyle w:val="Figuretext"/>
              <w:rPr>
                <w:rFonts w:ascii="Calibri" w:hAnsi="Calibri" w:cs="Calibri"/>
              </w:rPr>
            </w:pPr>
            <w:r w:rsidRPr="00F47629">
              <w:rPr>
                <w:rFonts w:ascii="Calibri" w:hAnsi="Calibri" w:cs="Calibri"/>
              </w:rPr>
              <w:t>3,487</w:t>
            </w:r>
          </w:p>
        </w:tc>
      </w:tr>
      <w:tr w:rsidR="002E31C4" w14:paraId="190933B8" w14:textId="77777777" w:rsidTr="00046AD5">
        <w:tc>
          <w:tcPr>
            <w:tcW w:w="2550" w:type="dxa"/>
            <w:hideMark/>
          </w:tcPr>
          <w:p w14:paraId="00961F53" w14:textId="77777777" w:rsidR="002E31C4" w:rsidRPr="00F47629" w:rsidRDefault="002E31C4">
            <w:pPr>
              <w:pStyle w:val="Figuretext"/>
              <w:rPr>
                <w:rFonts w:ascii="Calibri" w:hAnsi="Calibri" w:cs="Calibri"/>
              </w:rPr>
            </w:pPr>
            <w:r w:rsidRPr="00F47629">
              <w:rPr>
                <w:rFonts w:ascii="Calibri" w:hAnsi="Calibri" w:cs="Calibri"/>
              </w:rPr>
              <w:t>55</w:t>
            </w:r>
          </w:p>
        </w:tc>
        <w:tc>
          <w:tcPr>
            <w:tcW w:w="2552" w:type="dxa"/>
            <w:hideMark/>
          </w:tcPr>
          <w:p w14:paraId="1A3C5A58" w14:textId="77777777" w:rsidR="002E31C4" w:rsidRPr="00F47629" w:rsidRDefault="002E31C4">
            <w:pPr>
              <w:pStyle w:val="Figuretext"/>
              <w:rPr>
                <w:rFonts w:ascii="Calibri" w:hAnsi="Calibri" w:cs="Calibri"/>
              </w:rPr>
            </w:pPr>
            <w:r w:rsidRPr="00F47629">
              <w:rPr>
                <w:rFonts w:ascii="Calibri" w:hAnsi="Calibri" w:cs="Calibri"/>
              </w:rPr>
              <w:t>3,928</w:t>
            </w:r>
          </w:p>
        </w:tc>
        <w:tc>
          <w:tcPr>
            <w:tcW w:w="2552" w:type="dxa"/>
            <w:hideMark/>
          </w:tcPr>
          <w:p w14:paraId="18629560" w14:textId="77777777" w:rsidR="002E31C4" w:rsidRPr="00F47629" w:rsidRDefault="002E31C4">
            <w:pPr>
              <w:pStyle w:val="Figuretext"/>
              <w:rPr>
                <w:rFonts w:ascii="Calibri" w:hAnsi="Calibri" w:cs="Calibri"/>
              </w:rPr>
            </w:pPr>
            <w:r w:rsidRPr="00F47629">
              <w:rPr>
                <w:rFonts w:ascii="Calibri" w:hAnsi="Calibri" w:cs="Calibri"/>
              </w:rPr>
              <w:t>4,365</w:t>
            </w:r>
          </w:p>
        </w:tc>
      </w:tr>
      <w:tr w:rsidR="002E31C4" w14:paraId="0CE6E7D2" w14:textId="77777777" w:rsidTr="00046AD5">
        <w:tc>
          <w:tcPr>
            <w:tcW w:w="2550" w:type="dxa"/>
            <w:hideMark/>
          </w:tcPr>
          <w:p w14:paraId="1111DFA5" w14:textId="77777777" w:rsidR="002E31C4" w:rsidRPr="00F47629" w:rsidRDefault="002E31C4">
            <w:pPr>
              <w:pStyle w:val="Figuretext"/>
              <w:rPr>
                <w:rFonts w:ascii="Calibri" w:hAnsi="Calibri" w:cs="Calibri"/>
              </w:rPr>
            </w:pPr>
            <w:r w:rsidRPr="00F47629">
              <w:rPr>
                <w:rFonts w:ascii="Calibri" w:hAnsi="Calibri" w:cs="Calibri"/>
              </w:rPr>
              <w:t>60</w:t>
            </w:r>
          </w:p>
        </w:tc>
        <w:tc>
          <w:tcPr>
            <w:tcW w:w="2552" w:type="dxa"/>
            <w:hideMark/>
          </w:tcPr>
          <w:p w14:paraId="75BD64D6" w14:textId="77777777" w:rsidR="002E31C4" w:rsidRPr="00F47629" w:rsidRDefault="002E31C4">
            <w:pPr>
              <w:pStyle w:val="Figuretext"/>
              <w:rPr>
                <w:rFonts w:ascii="Calibri" w:hAnsi="Calibri" w:cs="Calibri"/>
              </w:rPr>
            </w:pPr>
            <w:r w:rsidRPr="00F47629">
              <w:rPr>
                <w:rFonts w:ascii="Calibri" w:hAnsi="Calibri" w:cs="Calibri"/>
              </w:rPr>
              <w:t>4,925</w:t>
            </w:r>
          </w:p>
        </w:tc>
        <w:tc>
          <w:tcPr>
            <w:tcW w:w="2552" w:type="dxa"/>
            <w:hideMark/>
          </w:tcPr>
          <w:p w14:paraId="7DD26E85" w14:textId="77777777" w:rsidR="002E31C4" w:rsidRPr="00F47629" w:rsidRDefault="002E31C4">
            <w:pPr>
              <w:pStyle w:val="Figuretext"/>
              <w:rPr>
                <w:rFonts w:ascii="Calibri" w:hAnsi="Calibri" w:cs="Calibri"/>
              </w:rPr>
            </w:pPr>
            <w:r w:rsidRPr="00F47629">
              <w:rPr>
                <w:rFonts w:ascii="Calibri" w:hAnsi="Calibri" w:cs="Calibri"/>
              </w:rPr>
              <w:t>5,472</w:t>
            </w:r>
          </w:p>
        </w:tc>
      </w:tr>
      <w:tr w:rsidR="002E31C4" w14:paraId="00D7B6CC" w14:textId="77777777" w:rsidTr="00046AD5">
        <w:tc>
          <w:tcPr>
            <w:tcW w:w="2550" w:type="dxa"/>
            <w:hideMark/>
          </w:tcPr>
          <w:p w14:paraId="11580E60" w14:textId="77777777" w:rsidR="002E31C4" w:rsidRPr="00F47629" w:rsidRDefault="002E31C4">
            <w:pPr>
              <w:pStyle w:val="Figuretext"/>
              <w:rPr>
                <w:rFonts w:ascii="Calibri" w:hAnsi="Calibri" w:cs="Calibri"/>
              </w:rPr>
            </w:pPr>
            <w:r w:rsidRPr="00F47629">
              <w:rPr>
                <w:rFonts w:ascii="Calibri" w:hAnsi="Calibri" w:cs="Calibri"/>
              </w:rPr>
              <w:t>65</w:t>
            </w:r>
          </w:p>
        </w:tc>
        <w:tc>
          <w:tcPr>
            <w:tcW w:w="2552" w:type="dxa"/>
            <w:hideMark/>
          </w:tcPr>
          <w:p w14:paraId="7A2C3D5B" w14:textId="77777777" w:rsidR="002E31C4" w:rsidRPr="00F47629" w:rsidRDefault="002E31C4">
            <w:pPr>
              <w:pStyle w:val="Figuretext"/>
              <w:rPr>
                <w:rFonts w:ascii="Calibri" w:hAnsi="Calibri" w:cs="Calibri"/>
              </w:rPr>
            </w:pPr>
            <w:r w:rsidRPr="00F47629">
              <w:rPr>
                <w:rFonts w:ascii="Calibri" w:hAnsi="Calibri" w:cs="Calibri"/>
              </w:rPr>
              <w:t>6,184</w:t>
            </w:r>
          </w:p>
        </w:tc>
        <w:tc>
          <w:tcPr>
            <w:tcW w:w="2552" w:type="dxa"/>
            <w:hideMark/>
          </w:tcPr>
          <w:p w14:paraId="0E3ACD03" w14:textId="77777777" w:rsidR="002E31C4" w:rsidRPr="00F47629" w:rsidRDefault="002E31C4">
            <w:pPr>
              <w:pStyle w:val="Figuretext"/>
              <w:rPr>
                <w:rFonts w:ascii="Calibri" w:hAnsi="Calibri" w:cs="Calibri"/>
              </w:rPr>
            </w:pPr>
            <w:r w:rsidRPr="00F47629">
              <w:rPr>
                <w:rFonts w:ascii="Calibri" w:hAnsi="Calibri" w:cs="Calibri"/>
              </w:rPr>
              <w:t>6,871</w:t>
            </w:r>
          </w:p>
        </w:tc>
      </w:tr>
      <w:tr w:rsidR="002E31C4" w14:paraId="6CB3436B" w14:textId="77777777" w:rsidTr="00046AD5">
        <w:tc>
          <w:tcPr>
            <w:tcW w:w="2550" w:type="dxa"/>
            <w:hideMark/>
          </w:tcPr>
          <w:p w14:paraId="6E8C6741" w14:textId="77777777" w:rsidR="002E31C4" w:rsidRPr="00F47629" w:rsidRDefault="002E31C4">
            <w:pPr>
              <w:pStyle w:val="Figuretext"/>
              <w:rPr>
                <w:rFonts w:ascii="Calibri" w:hAnsi="Calibri" w:cs="Calibri"/>
              </w:rPr>
            </w:pPr>
            <w:r w:rsidRPr="00F47629">
              <w:rPr>
                <w:rFonts w:ascii="Calibri" w:hAnsi="Calibri" w:cs="Calibri"/>
              </w:rPr>
              <w:t>70</w:t>
            </w:r>
          </w:p>
        </w:tc>
        <w:tc>
          <w:tcPr>
            <w:tcW w:w="2552" w:type="dxa"/>
            <w:hideMark/>
          </w:tcPr>
          <w:p w14:paraId="1B621CD5" w14:textId="77777777" w:rsidR="002E31C4" w:rsidRPr="00F47629" w:rsidRDefault="002E31C4">
            <w:pPr>
              <w:pStyle w:val="Figuretext"/>
              <w:rPr>
                <w:rFonts w:ascii="Calibri" w:hAnsi="Calibri" w:cs="Calibri"/>
              </w:rPr>
            </w:pPr>
            <w:r w:rsidRPr="00F47629">
              <w:rPr>
                <w:rFonts w:ascii="Calibri" w:hAnsi="Calibri" w:cs="Calibri"/>
              </w:rPr>
              <w:t>7,777</w:t>
            </w:r>
          </w:p>
        </w:tc>
        <w:tc>
          <w:tcPr>
            <w:tcW w:w="2552" w:type="dxa"/>
            <w:hideMark/>
          </w:tcPr>
          <w:p w14:paraId="1DF8CBE8" w14:textId="77777777" w:rsidR="002E31C4" w:rsidRPr="00F47629" w:rsidRDefault="002E31C4">
            <w:pPr>
              <w:pStyle w:val="Figuretext"/>
              <w:rPr>
                <w:rFonts w:ascii="Calibri" w:hAnsi="Calibri" w:cs="Calibri"/>
              </w:rPr>
            </w:pPr>
            <w:r w:rsidRPr="00F47629">
              <w:rPr>
                <w:rFonts w:ascii="Calibri" w:hAnsi="Calibri" w:cs="Calibri"/>
              </w:rPr>
              <w:t>8,641</w:t>
            </w:r>
          </w:p>
        </w:tc>
      </w:tr>
      <w:tr w:rsidR="002E31C4" w14:paraId="3160A87C" w14:textId="77777777" w:rsidTr="00046AD5">
        <w:tc>
          <w:tcPr>
            <w:tcW w:w="2550" w:type="dxa"/>
            <w:hideMark/>
          </w:tcPr>
          <w:p w14:paraId="342E4C4B" w14:textId="77777777" w:rsidR="002E31C4" w:rsidRPr="00F47629" w:rsidRDefault="002E31C4">
            <w:pPr>
              <w:pStyle w:val="Figuretext"/>
              <w:rPr>
                <w:rFonts w:ascii="Calibri" w:hAnsi="Calibri" w:cs="Calibri"/>
              </w:rPr>
            </w:pPr>
            <w:r w:rsidRPr="00F47629">
              <w:rPr>
                <w:rFonts w:ascii="Calibri" w:hAnsi="Calibri" w:cs="Calibri"/>
              </w:rPr>
              <w:t>75</w:t>
            </w:r>
          </w:p>
        </w:tc>
        <w:tc>
          <w:tcPr>
            <w:tcW w:w="2552" w:type="dxa"/>
            <w:hideMark/>
          </w:tcPr>
          <w:p w14:paraId="6F31ACCA" w14:textId="77777777" w:rsidR="002E31C4" w:rsidRPr="00F47629" w:rsidRDefault="002E31C4">
            <w:pPr>
              <w:pStyle w:val="Figuretext"/>
              <w:rPr>
                <w:rFonts w:ascii="Calibri" w:hAnsi="Calibri" w:cs="Calibri"/>
              </w:rPr>
            </w:pPr>
            <w:r w:rsidRPr="00F47629">
              <w:rPr>
                <w:rFonts w:ascii="Calibri" w:hAnsi="Calibri" w:cs="Calibri"/>
              </w:rPr>
              <w:t>9,800</w:t>
            </w:r>
          </w:p>
        </w:tc>
        <w:tc>
          <w:tcPr>
            <w:tcW w:w="2552" w:type="dxa"/>
            <w:hideMark/>
          </w:tcPr>
          <w:p w14:paraId="5FBEAF87" w14:textId="77777777" w:rsidR="002E31C4" w:rsidRPr="00F47629" w:rsidRDefault="002E31C4">
            <w:pPr>
              <w:pStyle w:val="Figuretext"/>
              <w:rPr>
                <w:rFonts w:ascii="Calibri" w:hAnsi="Calibri" w:cs="Calibri"/>
              </w:rPr>
            </w:pPr>
            <w:r w:rsidRPr="00F47629">
              <w:rPr>
                <w:rFonts w:ascii="Calibri" w:hAnsi="Calibri" w:cs="Calibri"/>
              </w:rPr>
              <w:t>10,889</w:t>
            </w:r>
          </w:p>
        </w:tc>
      </w:tr>
      <w:tr w:rsidR="002E31C4" w14:paraId="26100729" w14:textId="77777777" w:rsidTr="00046AD5">
        <w:tc>
          <w:tcPr>
            <w:tcW w:w="2550" w:type="dxa"/>
            <w:hideMark/>
          </w:tcPr>
          <w:p w14:paraId="642C59BD" w14:textId="77777777" w:rsidR="002E31C4" w:rsidRPr="00F47629" w:rsidRDefault="002E31C4">
            <w:pPr>
              <w:pStyle w:val="Figuretext"/>
              <w:rPr>
                <w:rFonts w:ascii="Calibri" w:hAnsi="Calibri" w:cs="Calibri"/>
              </w:rPr>
            </w:pPr>
            <w:r w:rsidRPr="00F47629">
              <w:rPr>
                <w:rFonts w:ascii="Calibri" w:hAnsi="Calibri" w:cs="Calibri"/>
              </w:rPr>
              <w:t>80</w:t>
            </w:r>
          </w:p>
        </w:tc>
        <w:tc>
          <w:tcPr>
            <w:tcW w:w="2552" w:type="dxa"/>
            <w:hideMark/>
          </w:tcPr>
          <w:p w14:paraId="147B8673" w14:textId="77777777" w:rsidR="002E31C4" w:rsidRPr="00F47629" w:rsidRDefault="002E31C4">
            <w:pPr>
              <w:pStyle w:val="Figuretext"/>
              <w:rPr>
                <w:rFonts w:ascii="Calibri" w:hAnsi="Calibri" w:cs="Calibri"/>
              </w:rPr>
            </w:pPr>
            <w:r w:rsidRPr="00F47629">
              <w:rPr>
                <w:rFonts w:ascii="Calibri" w:hAnsi="Calibri" w:cs="Calibri"/>
              </w:rPr>
              <w:t>12,369</w:t>
            </w:r>
          </w:p>
        </w:tc>
        <w:tc>
          <w:tcPr>
            <w:tcW w:w="2552" w:type="dxa"/>
            <w:hideMark/>
          </w:tcPr>
          <w:p w14:paraId="61E194A2" w14:textId="77777777" w:rsidR="002E31C4" w:rsidRPr="00F47629" w:rsidRDefault="002E31C4">
            <w:pPr>
              <w:pStyle w:val="Figuretext"/>
              <w:rPr>
                <w:rFonts w:ascii="Calibri" w:hAnsi="Calibri" w:cs="Calibri"/>
              </w:rPr>
            </w:pPr>
            <w:r w:rsidRPr="00F47629">
              <w:rPr>
                <w:rFonts w:ascii="Calibri" w:hAnsi="Calibri" w:cs="Calibri"/>
              </w:rPr>
              <w:t>13,743</w:t>
            </w:r>
          </w:p>
        </w:tc>
      </w:tr>
      <w:tr w:rsidR="002E31C4" w14:paraId="07F437F2" w14:textId="77777777" w:rsidTr="00046AD5">
        <w:tc>
          <w:tcPr>
            <w:tcW w:w="2550" w:type="dxa"/>
            <w:hideMark/>
          </w:tcPr>
          <w:p w14:paraId="4FEF707B" w14:textId="77777777" w:rsidR="002E31C4" w:rsidRPr="00F47629" w:rsidRDefault="002E31C4">
            <w:pPr>
              <w:pStyle w:val="Figuretext"/>
              <w:rPr>
                <w:rFonts w:ascii="Calibri" w:hAnsi="Calibri" w:cs="Calibri"/>
              </w:rPr>
            </w:pPr>
            <w:r w:rsidRPr="00F47629">
              <w:rPr>
                <w:rFonts w:ascii="Calibri" w:hAnsi="Calibri" w:cs="Calibri"/>
              </w:rPr>
              <w:t>90</w:t>
            </w:r>
          </w:p>
        </w:tc>
        <w:tc>
          <w:tcPr>
            <w:tcW w:w="2552" w:type="dxa"/>
            <w:hideMark/>
          </w:tcPr>
          <w:p w14:paraId="2FBB0E8E" w14:textId="77777777" w:rsidR="002E31C4" w:rsidRPr="00F47629" w:rsidRDefault="002E31C4">
            <w:pPr>
              <w:pStyle w:val="Figuretext"/>
              <w:rPr>
                <w:rFonts w:ascii="Calibri" w:hAnsi="Calibri" w:cs="Calibri"/>
              </w:rPr>
            </w:pPr>
            <w:r w:rsidRPr="00F47629">
              <w:rPr>
                <w:rFonts w:ascii="Calibri" w:hAnsi="Calibri" w:cs="Calibri"/>
              </w:rPr>
              <w:t>16,491</w:t>
            </w:r>
          </w:p>
        </w:tc>
        <w:tc>
          <w:tcPr>
            <w:tcW w:w="2552" w:type="dxa"/>
            <w:hideMark/>
          </w:tcPr>
          <w:p w14:paraId="362A1855" w14:textId="77777777" w:rsidR="002E31C4" w:rsidRPr="00F47629" w:rsidRDefault="002E31C4">
            <w:pPr>
              <w:pStyle w:val="Figuretext"/>
              <w:rPr>
                <w:rFonts w:ascii="Calibri" w:hAnsi="Calibri" w:cs="Calibri"/>
              </w:rPr>
            </w:pPr>
            <w:r w:rsidRPr="00F47629">
              <w:rPr>
                <w:rFonts w:ascii="Calibri" w:hAnsi="Calibri" w:cs="Calibri"/>
              </w:rPr>
              <w:t>18,323</w:t>
            </w:r>
          </w:p>
        </w:tc>
      </w:tr>
      <w:tr w:rsidR="002E31C4" w14:paraId="526E7495" w14:textId="77777777" w:rsidTr="00046AD5">
        <w:tc>
          <w:tcPr>
            <w:tcW w:w="7654" w:type="dxa"/>
            <w:gridSpan w:val="3"/>
            <w:hideMark/>
          </w:tcPr>
          <w:p w14:paraId="3F12E1D5" w14:textId="2B1E9435" w:rsidR="002E31C4" w:rsidRPr="00F47629" w:rsidRDefault="008E6B38">
            <w:pPr>
              <w:pStyle w:val="FigureSource"/>
              <w:rPr>
                <w:rFonts w:ascii="Calibri" w:eastAsia="SimSun" w:hAnsi="Calibri" w:cs="Calibri"/>
                <w:lang w:eastAsia="zh-CN"/>
              </w:rPr>
            </w:pPr>
            <w:r w:rsidRPr="00F47629">
              <w:rPr>
                <w:rFonts w:ascii="Calibri" w:eastAsia="SimSun" w:hAnsi="Calibri" w:cs="Calibri" w:hint="eastAsia"/>
                <w:lang w:eastAsia="zh-CN"/>
              </w:rPr>
              <w:t>来源：国际电联财务报表和国际电联</w:t>
            </w:r>
            <w:r w:rsidRPr="00F47629">
              <w:rPr>
                <w:rFonts w:ascii="Calibri" w:eastAsia="SimSun" w:hAnsi="Calibri" w:cs="Calibri" w:hint="eastAsia"/>
                <w:lang w:eastAsia="zh-CN"/>
              </w:rPr>
              <w:t>IPSAS 39</w:t>
            </w:r>
            <w:r w:rsidRPr="00F47629">
              <w:rPr>
                <w:rFonts w:ascii="Calibri" w:eastAsia="SimSun" w:hAnsi="Calibri" w:cs="Calibri"/>
                <w:lang w:eastAsia="zh-CN"/>
              </w:rPr>
              <w:t xml:space="preserve"> </w:t>
            </w:r>
            <w:r w:rsidRPr="00F47629">
              <w:rPr>
                <w:rFonts w:ascii="Calibri" w:eastAsia="SimSun" w:hAnsi="Calibri" w:cs="Calibri" w:hint="eastAsia"/>
                <w:lang w:eastAsia="zh-CN"/>
              </w:rPr>
              <w:t>ASHI</w:t>
            </w:r>
            <w:r w:rsidRPr="00F47629">
              <w:rPr>
                <w:rFonts w:ascii="Calibri" w:eastAsia="SimSun" w:hAnsi="Calibri" w:cs="Calibri" w:hint="eastAsia"/>
                <w:lang w:eastAsia="zh-CN"/>
              </w:rPr>
              <w:t>估值报告</w:t>
            </w:r>
          </w:p>
        </w:tc>
      </w:tr>
    </w:tbl>
    <w:p w14:paraId="727B478D" w14:textId="545D548A"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38</w:t>
      </w:r>
      <w:r w:rsidRPr="00F47629">
        <w:rPr>
          <w:rFonts w:ascii="Calibri" w:hAnsi="Calibri" w:cs="Calibri"/>
          <w:lang w:eastAsia="zh-CN"/>
        </w:rPr>
        <w:tab/>
      </w:r>
      <w:r w:rsidR="00900BB0" w:rsidRPr="00F47629">
        <w:rPr>
          <w:rFonts w:ascii="Calibri" w:hAnsi="Calibri" w:cs="Calibri" w:hint="eastAsia"/>
          <w:lang w:eastAsia="zh-CN"/>
        </w:rPr>
        <w:t>加入联合国</w:t>
      </w:r>
      <w:r w:rsidR="003A6E20" w:rsidRPr="00F47629">
        <w:rPr>
          <w:rFonts w:ascii="Calibri" w:hAnsi="Calibri" w:cs="Calibri" w:hint="eastAsia"/>
          <w:lang w:eastAsia="zh-CN"/>
        </w:rPr>
        <w:t>工作人员互助</w:t>
      </w:r>
      <w:r w:rsidR="00900BB0" w:rsidRPr="00F47629">
        <w:rPr>
          <w:rFonts w:ascii="Calibri" w:hAnsi="Calibri" w:cs="Calibri" w:hint="eastAsia"/>
          <w:lang w:eastAsia="zh-CN"/>
        </w:rPr>
        <w:t>保险协会（</w:t>
      </w:r>
      <w:r w:rsidR="00900BB0" w:rsidRPr="00F47629">
        <w:rPr>
          <w:rFonts w:ascii="Calibri" w:hAnsi="Calibri" w:cs="Calibri" w:hint="eastAsia"/>
          <w:lang w:eastAsia="zh-CN"/>
        </w:rPr>
        <w:t>UNSMIS</w:t>
      </w:r>
      <w:r w:rsidR="00900BB0" w:rsidRPr="00F47629">
        <w:rPr>
          <w:rFonts w:ascii="Calibri" w:hAnsi="Calibri" w:cs="Calibri" w:hint="eastAsia"/>
          <w:lang w:eastAsia="zh-CN"/>
        </w:rPr>
        <w:t>）之前，国际电联的精算师</w:t>
      </w:r>
      <w:r w:rsidR="003A6E20" w:rsidRPr="00F47629">
        <w:rPr>
          <w:rFonts w:ascii="Calibri" w:hAnsi="Calibri" w:cs="Calibri" w:hint="eastAsia"/>
          <w:lang w:eastAsia="zh-CN"/>
        </w:rPr>
        <w:t>在</w:t>
      </w:r>
      <w:r w:rsidR="003A6E20" w:rsidRPr="00F47629">
        <w:rPr>
          <w:rFonts w:ascii="Calibri" w:hAnsi="Calibri" w:cs="Calibri" w:hint="eastAsia"/>
          <w:lang w:eastAsia="zh-CN"/>
        </w:rPr>
        <w:t>2018</w:t>
      </w:r>
      <w:r w:rsidR="003A6E20" w:rsidRPr="00F47629">
        <w:rPr>
          <w:rFonts w:ascii="Calibri" w:hAnsi="Calibri" w:cs="Calibri" w:hint="eastAsia"/>
          <w:lang w:eastAsia="zh-CN"/>
        </w:rPr>
        <w:t>年</w:t>
      </w:r>
      <w:r w:rsidR="00900BB0" w:rsidRPr="00F47629">
        <w:rPr>
          <w:rFonts w:ascii="Calibri" w:hAnsi="Calibri" w:cs="Calibri" w:hint="eastAsia"/>
          <w:lang w:eastAsia="zh-CN"/>
        </w:rPr>
        <w:t>利用</w:t>
      </w:r>
      <w:r w:rsidR="003A6E20" w:rsidRPr="00F47629">
        <w:rPr>
          <w:rFonts w:ascii="Calibri" w:hAnsi="Calibri" w:cs="Calibri" w:hint="eastAsia"/>
          <w:lang w:eastAsia="zh-CN"/>
        </w:rPr>
        <w:t>国际电联</w:t>
      </w:r>
      <w:r w:rsidR="00900BB0" w:rsidRPr="00F47629">
        <w:rPr>
          <w:rFonts w:ascii="Calibri" w:hAnsi="Calibri" w:cs="Calibri" w:hint="eastAsia"/>
          <w:lang w:eastAsia="zh-CN"/>
        </w:rPr>
        <w:t>在</w:t>
      </w:r>
      <w:r w:rsidR="00900BB0" w:rsidRPr="00F47629">
        <w:rPr>
          <w:rFonts w:ascii="Calibri" w:hAnsi="Calibri" w:cs="Calibri" w:hint="eastAsia"/>
          <w:lang w:eastAsia="zh-CN"/>
        </w:rPr>
        <w:t>2015</w:t>
      </w:r>
      <w:r w:rsidR="00900BB0" w:rsidRPr="00F47629">
        <w:rPr>
          <w:rFonts w:ascii="Calibri" w:hAnsi="Calibri" w:cs="Calibri" w:hint="eastAsia"/>
          <w:lang w:eastAsia="zh-CN"/>
        </w:rPr>
        <w:t>年至</w:t>
      </w:r>
      <w:r w:rsidR="00900BB0" w:rsidRPr="00F47629">
        <w:rPr>
          <w:rFonts w:ascii="Calibri" w:hAnsi="Calibri" w:cs="Calibri" w:hint="eastAsia"/>
          <w:lang w:eastAsia="zh-CN"/>
        </w:rPr>
        <w:t>2017</w:t>
      </w:r>
      <w:r w:rsidR="00900BB0" w:rsidRPr="00F47629">
        <w:rPr>
          <w:rFonts w:ascii="Calibri" w:hAnsi="Calibri" w:cs="Calibri" w:hint="eastAsia"/>
          <w:lang w:eastAsia="zh-CN"/>
        </w:rPr>
        <w:t>年期间的实际理赔成本经验开展了一项研究。</w:t>
      </w:r>
      <w:r w:rsidR="003A6E20" w:rsidRPr="00F47629">
        <w:rPr>
          <w:rFonts w:ascii="Calibri" w:hAnsi="Calibri" w:cs="Calibri" w:hint="eastAsia"/>
          <w:lang w:eastAsia="zh-CN"/>
        </w:rPr>
        <w:t>这一</w:t>
      </w:r>
      <w:r w:rsidR="00900BB0" w:rsidRPr="00F47629">
        <w:rPr>
          <w:rFonts w:ascii="Calibri" w:hAnsi="Calibri" w:cs="Calibri" w:hint="eastAsia"/>
          <w:lang w:eastAsia="zh-CN"/>
        </w:rPr>
        <w:t>信息</w:t>
      </w:r>
      <w:r w:rsidR="003A6E20" w:rsidRPr="00F47629">
        <w:rPr>
          <w:rFonts w:ascii="Calibri" w:hAnsi="Calibri" w:cs="Calibri" w:hint="eastAsia"/>
          <w:lang w:eastAsia="zh-CN"/>
        </w:rPr>
        <w:t>被</w:t>
      </w:r>
      <w:r w:rsidR="00900BB0" w:rsidRPr="00F47629">
        <w:rPr>
          <w:rFonts w:ascii="Calibri" w:hAnsi="Calibri" w:cs="Calibri" w:hint="eastAsia"/>
          <w:lang w:eastAsia="zh-CN"/>
        </w:rPr>
        <w:t>用于创建</w:t>
      </w:r>
      <w:r w:rsidR="00900BB0" w:rsidRPr="00F47629">
        <w:rPr>
          <w:rFonts w:ascii="Calibri" w:hAnsi="Calibri" w:cs="Calibri" w:hint="eastAsia"/>
          <w:lang w:eastAsia="zh-CN"/>
        </w:rPr>
        <w:t>50</w:t>
      </w:r>
      <w:r w:rsidR="00900BB0" w:rsidRPr="00F47629">
        <w:rPr>
          <w:rFonts w:ascii="Calibri" w:hAnsi="Calibri" w:cs="Calibri" w:hint="eastAsia"/>
          <w:lang w:eastAsia="zh-CN"/>
        </w:rPr>
        <w:t>至</w:t>
      </w:r>
      <w:r w:rsidR="00900BB0" w:rsidRPr="00F47629">
        <w:rPr>
          <w:rFonts w:ascii="Calibri" w:hAnsi="Calibri" w:cs="Calibri" w:hint="eastAsia"/>
          <w:lang w:eastAsia="zh-CN"/>
        </w:rPr>
        <w:t>90</w:t>
      </w:r>
      <w:r w:rsidR="00900BB0" w:rsidRPr="00F47629">
        <w:rPr>
          <w:rFonts w:ascii="Calibri" w:hAnsi="Calibri" w:cs="Calibri" w:hint="eastAsia"/>
          <w:lang w:eastAsia="zh-CN"/>
        </w:rPr>
        <w:t>岁之间</w:t>
      </w:r>
      <w:r w:rsidR="003A6E20" w:rsidRPr="00F47629">
        <w:rPr>
          <w:rFonts w:ascii="Calibri" w:hAnsi="Calibri" w:cs="Calibri" w:hint="eastAsia"/>
          <w:lang w:eastAsia="zh-CN"/>
        </w:rPr>
        <w:t>各年龄段的预期</w:t>
      </w:r>
      <w:r w:rsidR="000D3108" w:rsidRPr="00F47629">
        <w:rPr>
          <w:rFonts w:ascii="Calibri" w:hAnsi="Calibri" w:cs="Calibri" w:hint="eastAsia"/>
          <w:lang w:eastAsia="zh-CN"/>
        </w:rPr>
        <w:t>报销</w:t>
      </w:r>
      <w:r w:rsidR="003A6E20" w:rsidRPr="00F47629">
        <w:rPr>
          <w:rFonts w:ascii="Calibri" w:hAnsi="Calibri" w:cs="Calibri" w:hint="eastAsia"/>
          <w:lang w:eastAsia="zh-CN"/>
        </w:rPr>
        <w:t>概况</w:t>
      </w:r>
      <w:r w:rsidR="00900BB0" w:rsidRPr="00F47629">
        <w:rPr>
          <w:rFonts w:ascii="Calibri" w:hAnsi="Calibri" w:cs="Calibri" w:hint="eastAsia"/>
          <w:lang w:eastAsia="zh-CN"/>
        </w:rPr>
        <w:t>。</w:t>
      </w:r>
    </w:p>
    <w:p w14:paraId="7E74DABD" w14:textId="6DF831C1"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39</w:t>
      </w:r>
      <w:r w:rsidRPr="00F47629">
        <w:rPr>
          <w:rFonts w:ascii="Calibri" w:hAnsi="Calibri" w:cs="Calibri"/>
          <w:lang w:eastAsia="zh-CN"/>
        </w:rPr>
        <w:tab/>
      </w:r>
      <w:r w:rsidR="000D3108" w:rsidRPr="00F47629">
        <w:rPr>
          <w:rFonts w:ascii="Calibri" w:hAnsi="Calibri" w:cs="Calibri" w:hint="eastAsia"/>
          <w:lang w:eastAsia="zh-CN"/>
        </w:rPr>
        <w:t>2022</w:t>
      </w:r>
      <w:r w:rsidR="000D3108" w:rsidRPr="00F47629">
        <w:rPr>
          <w:rFonts w:ascii="Calibri" w:hAnsi="Calibri" w:cs="Calibri" w:hint="eastAsia"/>
          <w:lang w:eastAsia="zh-CN"/>
        </w:rPr>
        <w:t>年</w:t>
      </w:r>
      <w:r w:rsidR="000D3108" w:rsidRPr="00F47629">
        <w:rPr>
          <w:rFonts w:ascii="Calibri" w:hAnsi="Calibri" w:cs="Calibri" w:hint="eastAsia"/>
          <w:lang w:eastAsia="zh-CN"/>
        </w:rPr>
        <w:t>12</w:t>
      </w:r>
      <w:r w:rsidR="000D3108" w:rsidRPr="00F47629">
        <w:rPr>
          <w:rFonts w:ascii="Calibri" w:hAnsi="Calibri" w:cs="Calibri" w:hint="eastAsia"/>
          <w:lang w:eastAsia="zh-CN"/>
        </w:rPr>
        <w:t>月</w:t>
      </w:r>
      <w:r w:rsidR="000D3108" w:rsidRPr="00F47629">
        <w:rPr>
          <w:rFonts w:ascii="Calibri" w:hAnsi="Calibri" w:cs="Calibri" w:hint="eastAsia"/>
          <w:lang w:eastAsia="zh-CN"/>
        </w:rPr>
        <w:t>31</w:t>
      </w:r>
      <w:r w:rsidR="000D3108" w:rsidRPr="00F47629">
        <w:rPr>
          <w:rFonts w:ascii="Calibri" w:hAnsi="Calibri" w:cs="Calibri" w:hint="eastAsia"/>
          <w:lang w:eastAsia="zh-CN"/>
        </w:rPr>
        <w:t>日，国际电联利用</w:t>
      </w:r>
      <w:r w:rsidR="000D3108" w:rsidRPr="00F47629">
        <w:rPr>
          <w:rFonts w:ascii="Calibri" w:hAnsi="Calibri" w:cs="Calibri" w:hint="eastAsia"/>
          <w:lang w:eastAsia="zh-CN"/>
        </w:rPr>
        <w:t>2018</w:t>
      </w:r>
      <w:r w:rsidR="000D3108" w:rsidRPr="00F47629">
        <w:rPr>
          <w:rFonts w:ascii="Calibri" w:hAnsi="Calibri" w:cs="Calibri" w:hint="eastAsia"/>
          <w:lang w:eastAsia="zh-CN"/>
        </w:rPr>
        <w:t>年研究得出的概况更新了其假设，以考虑到最近的</w:t>
      </w:r>
      <w:r w:rsidR="000D3108" w:rsidRPr="00F47629">
        <w:rPr>
          <w:rFonts w:ascii="Calibri" w:hAnsi="Calibri" w:cs="Calibri" w:hint="eastAsia"/>
          <w:lang w:eastAsia="zh-CN"/>
        </w:rPr>
        <w:t>UNSMIS</w:t>
      </w:r>
      <w:r w:rsidR="000D3108" w:rsidRPr="00F47629">
        <w:rPr>
          <w:rFonts w:ascii="Calibri" w:hAnsi="Calibri" w:cs="Calibri" w:hint="eastAsia"/>
          <w:lang w:eastAsia="zh-CN"/>
        </w:rPr>
        <w:t>报销数据。这表明，经通货膨胀调整后，每个退休人员的实际平均医疗费用为</w:t>
      </w:r>
      <w:r w:rsidR="000D3108" w:rsidRPr="00F47629">
        <w:rPr>
          <w:rFonts w:ascii="Calibri" w:hAnsi="Calibri" w:cs="Calibri" w:hint="eastAsia"/>
          <w:lang w:eastAsia="zh-CN"/>
        </w:rPr>
        <w:t>9</w:t>
      </w:r>
      <w:r w:rsidR="00D86CC6">
        <w:rPr>
          <w:rFonts w:ascii="Calibri" w:hAnsi="Calibri" w:cs="Calibri"/>
          <w:lang w:eastAsia="zh-CN"/>
        </w:rPr>
        <w:t> </w:t>
      </w:r>
      <w:r w:rsidR="000D3108" w:rsidRPr="00F47629">
        <w:rPr>
          <w:rFonts w:ascii="Calibri" w:hAnsi="Calibri" w:cs="Calibri" w:hint="eastAsia"/>
          <w:lang w:eastAsia="zh-CN"/>
        </w:rPr>
        <w:t>600</w:t>
      </w:r>
      <w:r w:rsidR="000D3108" w:rsidRPr="00F47629">
        <w:rPr>
          <w:rFonts w:ascii="Calibri" w:hAnsi="Calibri" w:cs="Calibri" w:hint="eastAsia"/>
          <w:lang w:eastAsia="zh-CN"/>
        </w:rPr>
        <w:t>瑞士法郎。在我们发现管理层没有考虑到需要检查此类外部数据的真实性之后，该数据随后由内部审计进行了验证。另外，我们对与我们共享的报销数据进行了独立检查，与得出的平均报销费用基本一致，因此得出结论认为，</w:t>
      </w:r>
      <w:r w:rsidR="000D3108" w:rsidRPr="00F47629">
        <w:rPr>
          <w:rFonts w:ascii="Calibri" w:hAnsi="Calibri" w:cs="Calibri" w:hint="eastAsia"/>
          <w:lang w:eastAsia="zh-CN"/>
        </w:rPr>
        <w:t>2022</w:t>
      </w:r>
      <w:r w:rsidR="000D3108" w:rsidRPr="00F47629">
        <w:rPr>
          <w:rFonts w:ascii="Calibri" w:hAnsi="Calibri" w:cs="Calibri" w:hint="eastAsia"/>
          <w:lang w:eastAsia="zh-CN"/>
        </w:rPr>
        <w:t>年</w:t>
      </w:r>
      <w:r w:rsidR="000D3108" w:rsidRPr="00F47629">
        <w:rPr>
          <w:rFonts w:ascii="Calibri" w:hAnsi="Calibri" w:cs="Calibri" w:hint="eastAsia"/>
          <w:lang w:eastAsia="zh-CN"/>
        </w:rPr>
        <w:t>12</w:t>
      </w:r>
      <w:r w:rsidR="000D3108" w:rsidRPr="00F47629">
        <w:rPr>
          <w:rFonts w:ascii="Calibri" w:hAnsi="Calibri" w:cs="Calibri" w:hint="eastAsia"/>
          <w:lang w:eastAsia="zh-CN"/>
        </w:rPr>
        <w:t>月</w:t>
      </w:r>
      <w:r w:rsidR="000D3108" w:rsidRPr="00F47629">
        <w:rPr>
          <w:rFonts w:ascii="Calibri" w:hAnsi="Calibri" w:cs="Calibri" w:hint="eastAsia"/>
          <w:lang w:eastAsia="zh-CN"/>
        </w:rPr>
        <w:t>31</w:t>
      </w:r>
      <w:r w:rsidR="000D3108" w:rsidRPr="00F47629">
        <w:rPr>
          <w:rFonts w:ascii="Calibri" w:hAnsi="Calibri" w:cs="Calibri" w:hint="eastAsia"/>
          <w:lang w:eastAsia="zh-CN"/>
        </w:rPr>
        <w:t>日的医疗报销费用假设是合理的。</w:t>
      </w:r>
    </w:p>
    <w:p w14:paraId="63F881DD" w14:textId="55EA91E1" w:rsidR="002E31C4" w:rsidRDefault="002E31C4" w:rsidP="003C0ED8">
      <w:pPr>
        <w:pStyle w:val="MainTextNumbered"/>
        <w:numPr>
          <w:ilvl w:val="0"/>
          <w:numId w:val="0"/>
        </w:numPr>
        <w:tabs>
          <w:tab w:val="clear" w:pos="1080"/>
        </w:tabs>
        <w:rPr>
          <w:lang w:eastAsia="zh-CN"/>
        </w:rPr>
      </w:pPr>
      <w:r w:rsidRPr="00F47629">
        <w:rPr>
          <w:rFonts w:ascii="Calibri" w:hAnsi="Calibri" w:cs="Calibri"/>
          <w:b/>
          <w:bCs/>
          <w:lang w:eastAsia="zh-CN"/>
        </w:rPr>
        <w:t>40</w:t>
      </w:r>
      <w:r w:rsidRPr="00F47629">
        <w:rPr>
          <w:rFonts w:ascii="Calibri" w:hAnsi="Calibri" w:cs="Calibri"/>
          <w:lang w:eastAsia="zh-CN"/>
        </w:rPr>
        <w:tab/>
      </w:r>
      <w:r w:rsidR="000D3108" w:rsidRPr="00F47629">
        <w:rPr>
          <w:rFonts w:ascii="Calibri" w:hAnsi="Calibri" w:cs="Calibri" w:hint="eastAsia"/>
          <w:lang w:eastAsia="zh-CN"/>
        </w:rPr>
        <w:t>鉴于计划的变化，特别是向</w:t>
      </w:r>
      <w:r w:rsidR="000D3108" w:rsidRPr="00F47629">
        <w:rPr>
          <w:rFonts w:ascii="Calibri" w:hAnsi="Calibri" w:cs="Calibri"/>
          <w:lang w:eastAsia="zh-CN"/>
        </w:rPr>
        <w:t>UNSMIS</w:t>
      </w:r>
      <w:r w:rsidR="000D3108" w:rsidRPr="00F47629">
        <w:rPr>
          <w:rFonts w:ascii="Calibri" w:hAnsi="Calibri" w:cs="Calibri" w:hint="eastAsia"/>
          <w:lang w:eastAsia="zh-CN"/>
        </w:rPr>
        <w:t>的转移以及更普遍的全球医疗保健趋势的变化（特别是由于新冠肺炎疫情带来的变化），国际电联应进行新的全面医疗报销费用的研究，以更新概况并支持其未来估值。国际电联还应确保在此类研究中使用的所有第三方数据得到管理层的严格验证。这些要求是确保管理层按照</w:t>
      </w:r>
      <w:r w:rsidR="000D3108" w:rsidRPr="00F47629">
        <w:rPr>
          <w:rFonts w:ascii="Calibri" w:hAnsi="Calibri" w:cs="Calibri" w:hint="eastAsia"/>
          <w:lang w:eastAsia="zh-CN"/>
        </w:rPr>
        <w:t>IPSAS</w:t>
      </w:r>
      <w:r w:rsidR="000D3108" w:rsidRPr="00F47629">
        <w:rPr>
          <w:rFonts w:ascii="Calibri" w:hAnsi="Calibri" w:cs="Calibri" w:hint="eastAsia"/>
          <w:lang w:eastAsia="zh-CN"/>
        </w:rPr>
        <w:t>编制财务报表的必要条件，并使我们能够根据管理层估算的合理性，按照《国际审计准则》提出意见。</w:t>
      </w:r>
    </w:p>
    <w:p w14:paraId="4F9AE934" w14:textId="6A36BD43" w:rsidR="002E31C4" w:rsidRPr="00F47629" w:rsidRDefault="00964268" w:rsidP="00046AD5">
      <w:pPr>
        <w:pStyle w:val="MainTextNumbered"/>
        <w:numPr>
          <w:ilvl w:val="0"/>
          <w:numId w:val="0"/>
        </w:numPr>
        <w:rPr>
          <w:rStyle w:val="Bold"/>
          <w:rFonts w:ascii="Calibri" w:hAnsi="Calibri" w:cs="Calibri"/>
          <w:lang w:eastAsia="zh-CN"/>
        </w:rPr>
      </w:pPr>
      <w:r w:rsidRPr="00F47629">
        <w:rPr>
          <w:rStyle w:val="Bold"/>
          <w:rFonts w:ascii="Calibri" w:hAnsi="Calibri" w:cs="Calibri" w:hint="eastAsia"/>
          <w:lang w:eastAsia="zh-CN"/>
        </w:rPr>
        <w:t>国际电联应：</w:t>
      </w:r>
    </w:p>
    <w:p w14:paraId="04F15BA4" w14:textId="15719509" w:rsidR="002E31C4" w:rsidRPr="00F47629" w:rsidRDefault="002E31C4" w:rsidP="00046AD5">
      <w:pPr>
        <w:pStyle w:val="MainTextNumbered"/>
        <w:numPr>
          <w:ilvl w:val="0"/>
          <w:numId w:val="0"/>
        </w:numPr>
        <w:rPr>
          <w:rStyle w:val="Bold"/>
          <w:rFonts w:ascii="Calibri" w:hAnsi="Calibri" w:cs="Calibri"/>
          <w:lang w:eastAsia="zh-CN"/>
        </w:rPr>
      </w:pPr>
      <w:r w:rsidRPr="00F47629">
        <w:rPr>
          <w:rStyle w:val="Bold"/>
          <w:rFonts w:ascii="Calibri" w:hAnsi="Calibri" w:cs="Calibri"/>
          <w:lang w:eastAsia="zh-CN"/>
        </w:rPr>
        <w:t>R7</w:t>
      </w:r>
      <w:r w:rsidR="00F47629" w:rsidRPr="00F47629">
        <w:rPr>
          <w:rStyle w:val="Bold"/>
          <w:rFonts w:ascii="Calibri" w:hAnsi="Calibri" w:cs="Calibri" w:hint="eastAsia"/>
          <w:lang w:eastAsia="zh-CN"/>
        </w:rPr>
        <w:t>：</w:t>
      </w:r>
      <w:r w:rsidR="001F3D8E" w:rsidRPr="00F47629">
        <w:rPr>
          <w:rStyle w:val="Bold"/>
          <w:rFonts w:ascii="Calibri" w:hAnsi="Calibri" w:cs="Calibri" w:hint="eastAsia"/>
          <w:lang w:eastAsia="zh-CN"/>
        </w:rPr>
        <w:t>定期进行医疗报销费用研究，以支持其职员福利负债的估值，并制定政策在两次全面研究之间更新这些假设。</w:t>
      </w:r>
    </w:p>
    <w:p w14:paraId="3A555DB2" w14:textId="359804F7" w:rsidR="002E31C4" w:rsidRDefault="002E31C4" w:rsidP="00046AD5">
      <w:pPr>
        <w:pStyle w:val="MainTextNumbered"/>
        <w:numPr>
          <w:ilvl w:val="0"/>
          <w:numId w:val="0"/>
        </w:numPr>
        <w:rPr>
          <w:rStyle w:val="Bold"/>
          <w:lang w:eastAsia="zh-CN"/>
        </w:rPr>
      </w:pPr>
      <w:r w:rsidRPr="00F47629">
        <w:rPr>
          <w:rStyle w:val="Bold"/>
          <w:rFonts w:ascii="Calibri" w:hAnsi="Calibri" w:cs="Calibri"/>
          <w:lang w:eastAsia="zh-CN"/>
        </w:rPr>
        <w:t>R8</w:t>
      </w:r>
      <w:r w:rsidR="00F47629" w:rsidRPr="00F47629">
        <w:rPr>
          <w:rStyle w:val="Bold"/>
          <w:rFonts w:ascii="Calibri" w:hAnsi="Calibri" w:cs="Calibri" w:hint="eastAsia"/>
          <w:lang w:eastAsia="zh-CN"/>
        </w:rPr>
        <w:t>：</w:t>
      </w:r>
      <w:r w:rsidR="001F3D8E" w:rsidRPr="00F47629">
        <w:rPr>
          <w:rStyle w:val="Bold"/>
          <w:rFonts w:ascii="Calibri" w:hAnsi="Calibri" w:cs="Calibri" w:hint="eastAsia"/>
          <w:lang w:eastAsia="zh-CN"/>
        </w:rPr>
        <w:t>确保用于职员福利负债估值的所有第三方数据都经过适当验证。</w:t>
      </w:r>
    </w:p>
    <w:p w14:paraId="77F85B90" w14:textId="797A6EB6" w:rsidR="002E31C4" w:rsidRDefault="002E31C4" w:rsidP="00F47629">
      <w:pPr>
        <w:pStyle w:val="MainTextNumbered"/>
        <w:numPr>
          <w:ilvl w:val="0"/>
          <w:numId w:val="0"/>
        </w:numPr>
        <w:ind w:firstLineChars="200" w:firstLine="400"/>
        <w:rPr>
          <w:rStyle w:val="Italic"/>
          <w:lang w:eastAsia="zh-CN"/>
        </w:rPr>
      </w:pPr>
      <w:r w:rsidRPr="00A47573">
        <w:rPr>
          <w:rFonts w:ascii="STKaiti" w:eastAsia="STKaiti" w:hAnsi="STKaiti" w:hint="eastAsia"/>
          <w:lang w:eastAsia="zh-CN"/>
        </w:rPr>
        <w:t>管理层接受这</w:t>
      </w:r>
      <w:r w:rsidR="001F3D8E">
        <w:rPr>
          <w:rFonts w:ascii="STKaiti" w:eastAsia="STKaiti" w:hAnsi="STKaiti" w:hint="eastAsia"/>
          <w:lang w:eastAsia="zh-CN"/>
        </w:rPr>
        <w:t>些</w:t>
      </w:r>
      <w:r w:rsidRPr="00A47573">
        <w:rPr>
          <w:rFonts w:ascii="STKaiti" w:eastAsia="STKaiti" w:hAnsi="STKaiti" w:hint="eastAsia"/>
          <w:lang w:eastAsia="zh-CN"/>
        </w:rPr>
        <w:t>建议。</w:t>
      </w:r>
    </w:p>
    <w:bookmarkEnd w:id="17"/>
    <w:p w14:paraId="0DDDA4B8" w14:textId="77777777" w:rsidR="002E31C4" w:rsidRPr="00F47629" w:rsidRDefault="002E31C4" w:rsidP="00046AD5">
      <w:pPr>
        <w:pStyle w:val="Heading4"/>
        <w:rPr>
          <w:rFonts w:cs="Calibri"/>
          <w:i w:val="0"/>
          <w:iCs/>
          <w:lang w:eastAsia="zh-CN"/>
        </w:rPr>
      </w:pPr>
      <w:r w:rsidRPr="00F47629">
        <w:rPr>
          <w:rFonts w:cs="Calibri"/>
          <w:i w:val="0"/>
          <w:iCs/>
          <w:lang w:eastAsia="zh-CN"/>
        </w:rPr>
        <w:t>UNSMIS</w:t>
      </w:r>
    </w:p>
    <w:p w14:paraId="0B04CEA2" w14:textId="1037B22C"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41</w:t>
      </w:r>
      <w:r w:rsidRPr="00F47629">
        <w:rPr>
          <w:rFonts w:ascii="Calibri" w:hAnsi="Calibri" w:cs="Calibri"/>
          <w:lang w:eastAsia="zh-CN"/>
        </w:rPr>
        <w:tab/>
      </w:r>
      <w:r w:rsidR="00AE4C68" w:rsidRPr="00F47629">
        <w:rPr>
          <w:rFonts w:ascii="Calibri" w:hAnsi="Calibri" w:cs="Calibri" w:hint="eastAsia"/>
          <w:lang w:eastAsia="zh-CN"/>
        </w:rPr>
        <w:t>2019</w:t>
      </w:r>
      <w:r w:rsidR="00AE4C68" w:rsidRPr="00F47629">
        <w:rPr>
          <w:rFonts w:ascii="Calibri" w:hAnsi="Calibri" w:cs="Calibri" w:hint="eastAsia"/>
          <w:lang w:eastAsia="zh-CN"/>
        </w:rPr>
        <w:t>年，根据国际电联集体医疗保险计划（</w:t>
      </w:r>
      <w:r w:rsidR="00AE4C68" w:rsidRPr="00F47629">
        <w:rPr>
          <w:rFonts w:ascii="Calibri" w:hAnsi="Calibri" w:cs="Calibri" w:hint="eastAsia"/>
          <w:lang w:eastAsia="zh-CN"/>
        </w:rPr>
        <w:t>CMIP</w:t>
      </w:r>
      <w:r w:rsidR="00AE4C68" w:rsidRPr="00F47629">
        <w:rPr>
          <w:rFonts w:ascii="Calibri" w:hAnsi="Calibri" w:cs="Calibri" w:hint="eastAsia"/>
          <w:lang w:eastAsia="zh-CN"/>
        </w:rPr>
        <w:t>）管理委员会的建议并经联合咨询委员会和协调委员会审议，秘书长与联合国驻日内瓦办事处签署了</w:t>
      </w:r>
      <w:r w:rsidR="007F3937" w:rsidRPr="00F47629">
        <w:rPr>
          <w:rFonts w:ascii="Calibri" w:hAnsi="Calibri" w:cs="Calibri" w:hint="eastAsia"/>
          <w:lang w:eastAsia="zh-CN"/>
        </w:rPr>
        <w:t>一份谅解备忘录，</w:t>
      </w:r>
      <w:r w:rsidR="00AE4C68" w:rsidRPr="00F47629">
        <w:rPr>
          <w:rFonts w:ascii="Calibri" w:hAnsi="Calibri" w:cs="Calibri" w:hint="eastAsia"/>
          <w:lang w:eastAsia="zh-CN"/>
        </w:rPr>
        <w:lastRenderedPageBreak/>
        <w:t>加入联合国</w:t>
      </w:r>
      <w:r w:rsidR="007F3937" w:rsidRPr="00F47629">
        <w:rPr>
          <w:rFonts w:ascii="Calibri" w:hAnsi="Calibri" w:cs="Calibri" w:hint="eastAsia"/>
          <w:lang w:eastAsia="zh-CN"/>
        </w:rPr>
        <w:t>工作人员</w:t>
      </w:r>
      <w:r w:rsidR="00AE4C68" w:rsidRPr="00F47629">
        <w:rPr>
          <w:rFonts w:ascii="Calibri" w:hAnsi="Calibri" w:cs="Calibri" w:hint="eastAsia"/>
          <w:lang w:eastAsia="zh-CN"/>
        </w:rPr>
        <w:t>疾病和事故互助保险协会（</w:t>
      </w:r>
      <w:r w:rsidR="00AE4C68" w:rsidRPr="00F47629">
        <w:rPr>
          <w:rFonts w:ascii="Calibri" w:hAnsi="Calibri" w:cs="Calibri" w:hint="eastAsia"/>
          <w:lang w:eastAsia="zh-CN"/>
        </w:rPr>
        <w:t>UNSMIS</w:t>
      </w:r>
      <w:r w:rsidR="00AE4C68" w:rsidRPr="00F47629">
        <w:rPr>
          <w:rFonts w:ascii="Calibri" w:hAnsi="Calibri" w:cs="Calibri" w:hint="eastAsia"/>
          <w:lang w:eastAsia="zh-CN"/>
        </w:rPr>
        <w:t>），根据国际电联《人事规则》提供健康保险</w:t>
      </w:r>
      <w:r w:rsidR="007F3937" w:rsidRPr="00F47629">
        <w:rPr>
          <w:rFonts w:ascii="Calibri" w:hAnsi="Calibri" w:cs="Calibri" w:hint="eastAsia"/>
          <w:lang w:eastAsia="zh-CN"/>
        </w:rPr>
        <w:t>，自</w:t>
      </w:r>
      <w:r w:rsidR="007F3937" w:rsidRPr="00F47629">
        <w:rPr>
          <w:rFonts w:ascii="Calibri" w:hAnsi="Calibri" w:cs="Calibri" w:hint="eastAsia"/>
          <w:lang w:eastAsia="zh-CN"/>
        </w:rPr>
        <w:t>2020</w:t>
      </w:r>
      <w:r w:rsidR="007F3937" w:rsidRPr="00F47629">
        <w:rPr>
          <w:rFonts w:ascii="Calibri" w:hAnsi="Calibri" w:cs="Calibri" w:hint="eastAsia"/>
          <w:lang w:eastAsia="zh-CN"/>
        </w:rPr>
        <w:t>年</w:t>
      </w:r>
      <w:r w:rsidR="007F3937" w:rsidRPr="00F47629">
        <w:rPr>
          <w:rFonts w:ascii="Calibri" w:hAnsi="Calibri" w:cs="Calibri" w:hint="eastAsia"/>
          <w:lang w:eastAsia="zh-CN"/>
        </w:rPr>
        <w:t>1</w:t>
      </w:r>
      <w:r w:rsidR="007F3937" w:rsidRPr="00F47629">
        <w:rPr>
          <w:rFonts w:ascii="Calibri" w:hAnsi="Calibri" w:cs="Calibri" w:hint="eastAsia"/>
          <w:lang w:eastAsia="zh-CN"/>
        </w:rPr>
        <w:t>月起生效</w:t>
      </w:r>
      <w:r w:rsidR="00AE4C68" w:rsidRPr="00F47629">
        <w:rPr>
          <w:rFonts w:ascii="Calibri" w:hAnsi="Calibri" w:cs="Calibri" w:hint="eastAsia"/>
          <w:lang w:eastAsia="zh-CN"/>
        </w:rPr>
        <w:t>。</w:t>
      </w:r>
    </w:p>
    <w:p w14:paraId="5277E1A3" w14:textId="68AF7BC9"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42</w:t>
      </w:r>
      <w:r w:rsidRPr="00F47629">
        <w:rPr>
          <w:rFonts w:ascii="Calibri" w:hAnsi="Calibri" w:cs="Calibri"/>
          <w:lang w:eastAsia="zh-CN"/>
        </w:rPr>
        <w:tab/>
      </w:r>
      <w:r w:rsidR="00867AAD" w:rsidRPr="00F47629">
        <w:rPr>
          <w:rFonts w:ascii="Calibri" w:hAnsi="Calibri" w:cs="Calibri" w:hint="eastAsia"/>
          <w:lang w:eastAsia="zh-CN"/>
        </w:rPr>
        <w:t>作为加入共同计划的一个条件，国际电联向</w:t>
      </w:r>
      <w:r w:rsidR="00157CC4" w:rsidRPr="00F47629">
        <w:rPr>
          <w:rFonts w:ascii="Calibri" w:hAnsi="Calibri" w:cs="Calibri" w:hint="eastAsia"/>
          <w:lang w:eastAsia="zh-CN"/>
        </w:rPr>
        <w:t>UNSMIS</w:t>
      </w:r>
      <w:r w:rsidR="00867AAD" w:rsidRPr="00F47629">
        <w:rPr>
          <w:rFonts w:ascii="Calibri" w:hAnsi="Calibri" w:cs="Calibri" w:hint="eastAsia"/>
          <w:lang w:eastAsia="zh-CN"/>
        </w:rPr>
        <w:t>储备基金</w:t>
      </w:r>
      <w:r w:rsidR="00157CC4" w:rsidRPr="00F47629">
        <w:rPr>
          <w:rFonts w:ascii="Calibri" w:hAnsi="Calibri" w:cs="Calibri" w:hint="eastAsia"/>
          <w:lang w:eastAsia="zh-CN"/>
        </w:rPr>
        <w:t>首期缴款</w:t>
      </w:r>
      <w:r w:rsidR="00867AAD" w:rsidRPr="00F47629">
        <w:rPr>
          <w:rFonts w:ascii="Calibri" w:hAnsi="Calibri" w:cs="Calibri" w:hint="eastAsia"/>
          <w:lang w:eastAsia="zh-CN"/>
        </w:rPr>
        <w:t>1</w:t>
      </w:r>
      <w:r w:rsidR="00D86CC6">
        <w:rPr>
          <w:rFonts w:ascii="Calibri" w:hAnsi="Calibri" w:cs="Calibri"/>
          <w:lang w:eastAsia="zh-CN"/>
        </w:rPr>
        <w:t> </w:t>
      </w:r>
      <w:r w:rsidR="00867AAD" w:rsidRPr="00F47629">
        <w:rPr>
          <w:rFonts w:ascii="Calibri" w:hAnsi="Calibri" w:cs="Calibri" w:hint="eastAsia"/>
          <w:lang w:eastAsia="zh-CN"/>
        </w:rPr>
        <w:t>950</w:t>
      </w:r>
      <w:r w:rsidR="00867AAD" w:rsidRPr="00F47629">
        <w:rPr>
          <w:rFonts w:ascii="Calibri" w:hAnsi="Calibri" w:cs="Calibri" w:hint="eastAsia"/>
          <w:lang w:eastAsia="zh-CN"/>
        </w:rPr>
        <w:t>万美元。此外，由于国际电联</w:t>
      </w:r>
      <w:r w:rsidR="00867AAD" w:rsidRPr="00F47629">
        <w:rPr>
          <w:rFonts w:ascii="Calibri" w:hAnsi="Calibri" w:cs="Calibri" w:hint="eastAsia"/>
          <w:lang w:eastAsia="zh-CN"/>
        </w:rPr>
        <w:t>ASHI</w:t>
      </w:r>
      <w:r w:rsidR="00867AAD" w:rsidRPr="00F47629">
        <w:rPr>
          <w:rFonts w:ascii="Calibri" w:hAnsi="Calibri" w:cs="Calibri" w:hint="eastAsia"/>
          <w:lang w:eastAsia="zh-CN"/>
        </w:rPr>
        <w:t>成员的人口统计</w:t>
      </w:r>
      <w:r w:rsidR="00157CC4" w:rsidRPr="00F47629">
        <w:rPr>
          <w:rFonts w:ascii="Calibri" w:hAnsi="Calibri" w:cs="Calibri" w:hint="eastAsia"/>
          <w:lang w:eastAsia="zh-CN"/>
        </w:rPr>
        <w:t>情况</w:t>
      </w:r>
      <w:r w:rsidR="00867AAD" w:rsidRPr="00F47629">
        <w:rPr>
          <w:rFonts w:ascii="Calibri" w:hAnsi="Calibri" w:cs="Calibri" w:hint="eastAsia"/>
          <w:lang w:eastAsia="zh-CN"/>
        </w:rPr>
        <w:t>，</w:t>
      </w:r>
      <w:r w:rsidR="00157CC4" w:rsidRPr="00F47629">
        <w:rPr>
          <w:rFonts w:ascii="Calibri" w:hAnsi="Calibri" w:cs="Calibri" w:hint="eastAsia"/>
          <w:lang w:eastAsia="zh-CN"/>
        </w:rPr>
        <w:t>还</w:t>
      </w:r>
      <w:r w:rsidR="00867AAD" w:rsidRPr="00F47629">
        <w:rPr>
          <w:rFonts w:ascii="Calibri" w:hAnsi="Calibri" w:cs="Calibri" w:hint="eastAsia"/>
          <w:lang w:eastAsia="zh-CN"/>
        </w:rPr>
        <w:t>需要在</w:t>
      </w:r>
      <w:r w:rsidR="00867AAD" w:rsidRPr="00F47629">
        <w:rPr>
          <w:rFonts w:ascii="Calibri" w:hAnsi="Calibri" w:cs="Calibri" w:hint="eastAsia"/>
          <w:lang w:eastAsia="zh-CN"/>
        </w:rPr>
        <w:t>13</w:t>
      </w:r>
      <w:r w:rsidR="00867AAD" w:rsidRPr="00F47629">
        <w:rPr>
          <w:rFonts w:ascii="Calibri" w:hAnsi="Calibri" w:cs="Calibri" w:hint="eastAsia"/>
          <w:lang w:eastAsia="zh-CN"/>
        </w:rPr>
        <w:t>年</w:t>
      </w:r>
      <w:r w:rsidR="00157CC4" w:rsidRPr="00F47629">
        <w:rPr>
          <w:rFonts w:ascii="Calibri" w:hAnsi="Calibri" w:cs="Calibri" w:hint="eastAsia"/>
          <w:lang w:eastAsia="zh-CN"/>
        </w:rPr>
        <w:t>内</w:t>
      </w:r>
      <w:r w:rsidR="00867AAD" w:rsidRPr="00F47629">
        <w:rPr>
          <w:rFonts w:ascii="Calibri" w:hAnsi="Calibri" w:cs="Calibri" w:hint="eastAsia"/>
          <w:lang w:eastAsia="zh-CN"/>
        </w:rPr>
        <w:t>向储备基金</w:t>
      </w:r>
      <w:r w:rsidR="00157CC4" w:rsidRPr="00F47629">
        <w:rPr>
          <w:rFonts w:ascii="Calibri" w:hAnsi="Calibri" w:cs="Calibri" w:hint="eastAsia"/>
          <w:lang w:eastAsia="zh-CN"/>
        </w:rPr>
        <w:t>每年</w:t>
      </w:r>
      <w:r w:rsidR="00867AAD" w:rsidRPr="00F47629">
        <w:rPr>
          <w:rFonts w:ascii="Calibri" w:hAnsi="Calibri" w:cs="Calibri" w:hint="eastAsia"/>
          <w:lang w:eastAsia="zh-CN"/>
        </w:rPr>
        <w:t>额外缴纳</w:t>
      </w:r>
      <w:r w:rsidR="00867AAD" w:rsidRPr="00F47629">
        <w:rPr>
          <w:rFonts w:ascii="Calibri" w:hAnsi="Calibri" w:cs="Calibri" w:hint="eastAsia"/>
          <w:lang w:eastAsia="zh-CN"/>
        </w:rPr>
        <w:t>2</w:t>
      </w:r>
      <w:r w:rsidR="00D86CC6">
        <w:rPr>
          <w:rFonts w:ascii="Calibri" w:hAnsi="Calibri" w:cs="Calibri"/>
          <w:lang w:eastAsia="zh-CN"/>
        </w:rPr>
        <w:t> </w:t>
      </w:r>
      <w:r w:rsidR="00867AAD" w:rsidRPr="00F47629">
        <w:rPr>
          <w:rFonts w:ascii="Calibri" w:hAnsi="Calibri" w:cs="Calibri" w:hint="eastAsia"/>
          <w:lang w:eastAsia="zh-CN"/>
        </w:rPr>
        <w:t>250</w:t>
      </w:r>
      <w:r w:rsidR="00867AAD" w:rsidRPr="00F47629">
        <w:rPr>
          <w:rFonts w:ascii="Calibri" w:hAnsi="Calibri" w:cs="Calibri" w:hint="eastAsia"/>
          <w:lang w:eastAsia="zh-CN"/>
        </w:rPr>
        <w:t>万美元。除这些现金</w:t>
      </w:r>
      <w:r w:rsidR="00157CC4" w:rsidRPr="00F47629">
        <w:rPr>
          <w:rFonts w:ascii="Calibri" w:hAnsi="Calibri" w:cs="Calibri" w:hint="eastAsia"/>
          <w:lang w:eastAsia="zh-CN"/>
        </w:rPr>
        <w:t>缴款</w:t>
      </w:r>
      <w:r w:rsidR="00867AAD" w:rsidRPr="00F47629">
        <w:rPr>
          <w:rFonts w:ascii="Calibri" w:hAnsi="Calibri" w:cs="Calibri" w:hint="eastAsia"/>
          <w:lang w:eastAsia="zh-CN"/>
        </w:rPr>
        <w:t>外，</w:t>
      </w:r>
      <w:r w:rsidR="002E5860" w:rsidRPr="00F47629">
        <w:rPr>
          <w:rFonts w:ascii="Calibri" w:hAnsi="Calibri" w:cs="Calibri" w:hint="eastAsia"/>
          <w:lang w:eastAsia="zh-CN"/>
        </w:rPr>
        <w:t>新计划提高了工作人员和退休人员的福利，降低了他们的费用，</w:t>
      </w:r>
      <w:r w:rsidR="00867AAD" w:rsidRPr="00F47629">
        <w:rPr>
          <w:rFonts w:ascii="Calibri" w:hAnsi="Calibri" w:cs="Calibri" w:hint="eastAsia"/>
          <w:lang w:eastAsia="zh-CN"/>
        </w:rPr>
        <w:t>使国际电联的</w:t>
      </w:r>
      <w:r w:rsidR="00867AAD" w:rsidRPr="00F47629">
        <w:rPr>
          <w:rFonts w:ascii="Calibri" w:hAnsi="Calibri" w:cs="Calibri" w:hint="eastAsia"/>
          <w:lang w:eastAsia="zh-CN"/>
        </w:rPr>
        <w:t>ASHI</w:t>
      </w:r>
      <w:r w:rsidR="002E5860" w:rsidRPr="00F47629">
        <w:rPr>
          <w:rFonts w:ascii="Calibri" w:hAnsi="Calibri" w:cs="Calibri" w:hint="eastAsia"/>
          <w:lang w:eastAsia="zh-CN"/>
        </w:rPr>
        <w:t>负债总额</w:t>
      </w:r>
      <w:r w:rsidR="00867AAD" w:rsidRPr="00F47629">
        <w:rPr>
          <w:rFonts w:ascii="Calibri" w:hAnsi="Calibri" w:cs="Calibri" w:hint="eastAsia"/>
          <w:lang w:eastAsia="zh-CN"/>
        </w:rPr>
        <w:t>增加了</w:t>
      </w:r>
      <w:r w:rsidR="00867AAD" w:rsidRPr="00F47629">
        <w:rPr>
          <w:rFonts w:ascii="Calibri" w:hAnsi="Calibri" w:cs="Calibri" w:hint="eastAsia"/>
          <w:lang w:eastAsia="zh-CN"/>
        </w:rPr>
        <w:t>5</w:t>
      </w:r>
      <w:r w:rsidR="00D86CC6">
        <w:rPr>
          <w:rFonts w:ascii="Calibri" w:hAnsi="Calibri" w:cs="Calibri"/>
          <w:lang w:eastAsia="zh-CN"/>
        </w:rPr>
        <w:t> </w:t>
      </w:r>
      <w:r w:rsidR="00867AAD" w:rsidRPr="00F47629">
        <w:rPr>
          <w:rFonts w:ascii="Calibri" w:hAnsi="Calibri" w:cs="Calibri" w:hint="eastAsia"/>
          <w:lang w:eastAsia="zh-CN"/>
        </w:rPr>
        <w:t>000</w:t>
      </w:r>
      <w:r w:rsidR="00867AAD" w:rsidRPr="00F47629">
        <w:rPr>
          <w:rFonts w:ascii="Calibri" w:hAnsi="Calibri" w:cs="Calibri" w:hint="eastAsia"/>
          <w:lang w:eastAsia="zh-CN"/>
        </w:rPr>
        <w:t>万瑞郎。我们认为，</w:t>
      </w:r>
      <w:r w:rsidR="002E5860" w:rsidRPr="00F47629">
        <w:rPr>
          <w:rFonts w:ascii="Calibri" w:hAnsi="Calibri" w:cs="Calibri" w:hint="eastAsia"/>
          <w:lang w:eastAsia="zh-CN"/>
        </w:rPr>
        <w:t>如此大规模的增加费用通常</w:t>
      </w:r>
      <w:r w:rsidR="00867AAD" w:rsidRPr="00F47629">
        <w:rPr>
          <w:rFonts w:ascii="Calibri" w:hAnsi="Calibri" w:cs="Calibri" w:hint="eastAsia"/>
          <w:lang w:eastAsia="zh-CN"/>
        </w:rPr>
        <w:t>需要管理机构的具体批准，</w:t>
      </w:r>
      <w:r w:rsidR="00157CC4" w:rsidRPr="00F47629">
        <w:rPr>
          <w:rFonts w:ascii="Calibri" w:hAnsi="Calibri" w:cs="Calibri" w:hint="eastAsia"/>
          <w:lang w:eastAsia="zh-CN"/>
        </w:rPr>
        <w:t>并对改变计划的成本和效益进行明确分析。</w:t>
      </w:r>
    </w:p>
    <w:p w14:paraId="5C17FA50" w14:textId="45128FDF"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43</w:t>
      </w:r>
      <w:r w:rsidRPr="00F47629">
        <w:rPr>
          <w:rFonts w:ascii="Calibri" w:hAnsi="Calibri" w:cs="Calibri"/>
          <w:lang w:eastAsia="zh-CN"/>
        </w:rPr>
        <w:tab/>
      </w:r>
      <w:r w:rsidR="000202B3" w:rsidRPr="00F47629">
        <w:rPr>
          <w:rFonts w:ascii="Calibri" w:hAnsi="Calibri" w:cs="Calibri" w:hint="eastAsia"/>
          <w:lang w:eastAsia="zh-CN"/>
        </w:rPr>
        <w:t>虽然加入</w:t>
      </w:r>
      <w:r w:rsidR="000202B3" w:rsidRPr="00F47629">
        <w:rPr>
          <w:rFonts w:ascii="Calibri" w:hAnsi="Calibri" w:cs="Calibri" w:hint="eastAsia"/>
          <w:lang w:eastAsia="zh-CN"/>
        </w:rPr>
        <w:t>UNSMIS</w:t>
      </w:r>
      <w:r w:rsidR="000202B3" w:rsidRPr="00F47629">
        <w:rPr>
          <w:rFonts w:ascii="Calibri" w:hAnsi="Calibri" w:cs="Calibri" w:hint="eastAsia"/>
          <w:lang w:eastAsia="zh-CN"/>
        </w:rPr>
        <w:t>降低了缴费率，取消了报销</w:t>
      </w:r>
      <w:r w:rsidR="00F47629">
        <w:rPr>
          <w:rFonts w:ascii="Calibri" w:hAnsi="Calibri" w:cs="Calibri" w:hint="eastAsia"/>
          <w:lang w:eastAsia="zh-CN"/>
        </w:rPr>
        <w:t>“</w:t>
      </w:r>
      <w:r w:rsidR="000202B3" w:rsidRPr="00F47629">
        <w:rPr>
          <w:rFonts w:ascii="Calibri" w:hAnsi="Calibri" w:cs="Calibri" w:hint="eastAsia"/>
          <w:lang w:eastAsia="zh-CN"/>
        </w:rPr>
        <w:t>超额部分</w:t>
      </w:r>
      <w:r w:rsidR="00F47629">
        <w:rPr>
          <w:rFonts w:ascii="Calibri" w:hAnsi="Calibri" w:cs="Calibri" w:hint="eastAsia"/>
          <w:lang w:eastAsia="zh-CN"/>
        </w:rPr>
        <w:t>”</w:t>
      </w:r>
      <w:r w:rsidR="000202B3" w:rsidRPr="00F47629">
        <w:rPr>
          <w:rFonts w:ascii="Calibri" w:hAnsi="Calibri" w:cs="Calibri" w:hint="eastAsia"/>
          <w:lang w:eastAsia="zh-CN"/>
        </w:rPr>
        <w:t>或个人自付额，并提高了一些福利，但在这些重大额外费用和负债的情况下，加入</w:t>
      </w:r>
      <w:r w:rsidR="000202B3" w:rsidRPr="00F47629">
        <w:rPr>
          <w:rFonts w:ascii="Calibri" w:hAnsi="Calibri" w:cs="Calibri" w:hint="eastAsia"/>
          <w:lang w:eastAsia="zh-CN"/>
        </w:rPr>
        <w:t>UNSMIS</w:t>
      </w:r>
      <w:r w:rsidR="000202B3" w:rsidRPr="00F47629">
        <w:rPr>
          <w:rFonts w:ascii="Calibri" w:hAnsi="Calibri" w:cs="Calibri" w:hint="eastAsia"/>
          <w:lang w:eastAsia="zh-CN"/>
        </w:rPr>
        <w:t>的决定是否为国际电联提供了良好的性价比尚不得而知。我们认为，国际电联应重新审视其加入</w:t>
      </w:r>
      <w:r w:rsidR="000202B3" w:rsidRPr="00F47629">
        <w:rPr>
          <w:rFonts w:ascii="Calibri" w:hAnsi="Calibri" w:cs="Calibri" w:hint="eastAsia"/>
          <w:lang w:eastAsia="zh-CN"/>
        </w:rPr>
        <w:t>UNSMIS</w:t>
      </w:r>
      <w:r w:rsidR="000202B3" w:rsidRPr="00F47629">
        <w:rPr>
          <w:rFonts w:ascii="Calibri" w:hAnsi="Calibri" w:cs="Calibri" w:hint="eastAsia"/>
          <w:lang w:eastAsia="zh-CN"/>
        </w:rPr>
        <w:t>的最初</w:t>
      </w:r>
      <w:r w:rsidR="00E77BD4" w:rsidRPr="00F47629">
        <w:rPr>
          <w:rFonts w:ascii="Calibri" w:hAnsi="Calibri" w:cs="Calibri" w:hint="eastAsia"/>
          <w:lang w:eastAsia="zh-CN"/>
        </w:rPr>
        <w:t>商业案例</w:t>
      </w:r>
      <w:r w:rsidR="000202B3" w:rsidRPr="00F47629">
        <w:rPr>
          <w:rFonts w:ascii="Calibri" w:hAnsi="Calibri" w:cs="Calibri" w:hint="eastAsia"/>
          <w:lang w:eastAsia="zh-CN"/>
        </w:rPr>
        <w:t>，并向理事会报告这一重大投资决定的相关成本和效益，以确保交易符合理事会的意图。</w:t>
      </w:r>
    </w:p>
    <w:p w14:paraId="1EEAAF93" w14:textId="7353E2EC" w:rsidR="002E31C4" w:rsidRPr="00F47629" w:rsidRDefault="002959D6" w:rsidP="00046AD5">
      <w:pPr>
        <w:pStyle w:val="MainTextNumbered"/>
        <w:numPr>
          <w:ilvl w:val="0"/>
          <w:numId w:val="0"/>
        </w:numPr>
        <w:rPr>
          <w:rStyle w:val="Bold"/>
          <w:rFonts w:ascii="Calibri" w:hAnsi="Calibri" w:cs="Calibri"/>
          <w:lang w:eastAsia="zh-CN"/>
        </w:rPr>
      </w:pPr>
      <w:r w:rsidRPr="00F47629">
        <w:rPr>
          <w:rStyle w:val="Bold"/>
          <w:rFonts w:ascii="Calibri" w:hAnsi="Calibri" w:cs="Calibri" w:hint="eastAsia"/>
          <w:lang w:eastAsia="zh-CN"/>
        </w:rPr>
        <w:t>国际电联应：</w:t>
      </w:r>
    </w:p>
    <w:p w14:paraId="2C5E4C15" w14:textId="5C94CD74" w:rsidR="002E31C4" w:rsidRPr="00F47629" w:rsidRDefault="002E31C4" w:rsidP="00046AD5">
      <w:pPr>
        <w:pStyle w:val="MainTextNumbered"/>
        <w:numPr>
          <w:ilvl w:val="0"/>
          <w:numId w:val="0"/>
        </w:numPr>
        <w:rPr>
          <w:rStyle w:val="Bold"/>
          <w:rFonts w:ascii="Calibri" w:hAnsi="Calibri" w:cs="Calibri"/>
          <w:lang w:eastAsia="zh-CN"/>
        </w:rPr>
      </w:pPr>
      <w:r w:rsidRPr="00F47629">
        <w:rPr>
          <w:rStyle w:val="Bold"/>
          <w:rFonts w:ascii="Calibri" w:hAnsi="Calibri" w:cs="Calibri"/>
          <w:lang w:eastAsia="zh-CN"/>
        </w:rPr>
        <w:t>R9</w:t>
      </w:r>
      <w:r w:rsidR="00F47629">
        <w:rPr>
          <w:rStyle w:val="Bold"/>
          <w:rFonts w:ascii="Calibri" w:hAnsi="Calibri" w:cs="Calibri" w:hint="eastAsia"/>
          <w:lang w:eastAsia="zh-CN"/>
        </w:rPr>
        <w:t>：</w:t>
      </w:r>
      <w:r w:rsidR="002959D6" w:rsidRPr="00F47629">
        <w:rPr>
          <w:rStyle w:val="Bold"/>
          <w:rFonts w:ascii="Calibri" w:hAnsi="Calibri" w:cs="Calibri" w:hint="eastAsia"/>
          <w:lang w:eastAsia="zh-CN"/>
        </w:rPr>
        <w:t>重新审议其加入</w:t>
      </w:r>
      <w:r w:rsidR="002959D6" w:rsidRPr="00F47629">
        <w:rPr>
          <w:rFonts w:ascii="Calibri" w:hAnsi="Calibri" w:cs="Calibri" w:hint="eastAsia"/>
          <w:lang w:eastAsia="zh-CN"/>
        </w:rPr>
        <w:t>UNSMIS</w:t>
      </w:r>
      <w:r w:rsidR="002959D6" w:rsidRPr="00F47629">
        <w:rPr>
          <w:rStyle w:val="Bold"/>
          <w:rFonts w:ascii="Calibri" w:hAnsi="Calibri" w:cs="Calibri" w:hint="eastAsia"/>
          <w:lang w:eastAsia="zh-CN"/>
        </w:rPr>
        <w:t>的最初</w:t>
      </w:r>
      <w:r w:rsidR="00E77BD4" w:rsidRPr="00F47629">
        <w:rPr>
          <w:rStyle w:val="Bold"/>
          <w:rFonts w:ascii="Calibri" w:hAnsi="Calibri" w:cs="Calibri" w:hint="eastAsia"/>
          <w:lang w:eastAsia="zh-CN"/>
        </w:rPr>
        <w:t>商业案例</w:t>
      </w:r>
      <w:r w:rsidR="002959D6" w:rsidRPr="00F47629">
        <w:rPr>
          <w:rStyle w:val="Bold"/>
          <w:rFonts w:ascii="Calibri" w:hAnsi="Calibri" w:cs="Calibri" w:hint="eastAsia"/>
          <w:lang w:eastAsia="zh-CN"/>
        </w:rPr>
        <w:t>并向理事会报告这一重大投资决定给国际电联带来的相关成本和收益。</w:t>
      </w:r>
    </w:p>
    <w:p w14:paraId="38998584" w14:textId="0A58E095" w:rsidR="002E31C4" w:rsidRPr="00F47629" w:rsidRDefault="002959D6" w:rsidP="00F47629">
      <w:pPr>
        <w:pStyle w:val="MainTextNumbered"/>
        <w:numPr>
          <w:ilvl w:val="0"/>
          <w:numId w:val="0"/>
        </w:numPr>
        <w:ind w:firstLineChars="200" w:firstLine="400"/>
        <w:rPr>
          <w:rStyle w:val="Italic"/>
          <w:rFonts w:ascii="STKaiti" w:eastAsia="STKaiti" w:hAnsi="STKaiti" w:cs="Calibri"/>
          <w:i w:val="0"/>
          <w:iCs w:val="0"/>
          <w:lang w:eastAsia="zh-CN"/>
        </w:rPr>
      </w:pPr>
      <w:r w:rsidRPr="00F47629">
        <w:rPr>
          <w:rStyle w:val="Italic"/>
          <w:rFonts w:ascii="STKaiti" w:eastAsia="STKaiti" w:hAnsi="STKaiti" w:cs="Calibri" w:hint="eastAsia"/>
          <w:i w:val="0"/>
          <w:iCs w:val="0"/>
          <w:lang w:eastAsia="zh-CN"/>
        </w:rPr>
        <w:t>管理层接受这项建议，并将与其它联合国机构合作，确保为其退休和在职职员提供的健康保险</w:t>
      </w:r>
      <w:r w:rsidR="00E77BD4" w:rsidRPr="00F47629">
        <w:rPr>
          <w:rStyle w:val="Italic"/>
          <w:rFonts w:ascii="STKaiti" w:eastAsia="STKaiti" w:hAnsi="STKaiti" w:cs="Calibri" w:hint="eastAsia"/>
          <w:i w:val="0"/>
          <w:iCs w:val="0"/>
          <w:lang w:eastAsia="zh-CN"/>
        </w:rPr>
        <w:t>达到</w:t>
      </w:r>
      <w:r w:rsidRPr="00F47629">
        <w:rPr>
          <w:rStyle w:val="Italic"/>
          <w:rFonts w:ascii="STKaiti" w:eastAsia="STKaiti" w:hAnsi="STKaiti" w:cs="Calibri" w:hint="eastAsia"/>
          <w:i w:val="0"/>
          <w:iCs w:val="0"/>
          <w:lang w:eastAsia="zh-CN"/>
        </w:rPr>
        <w:t>基准</w:t>
      </w:r>
      <w:r w:rsidR="00E77BD4" w:rsidRPr="00F47629">
        <w:rPr>
          <w:rStyle w:val="Italic"/>
          <w:rFonts w:ascii="STKaiti" w:eastAsia="STKaiti" w:hAnsi="STKaiti" w:cs="Calibri" w:hint="eastAsia"/>
          <w:i w:val="0"/>
          <w:iCs w:val="0"/>
          <w:lang w:eastAsia="zh-CN"/>
        </w:rPr>
        <w:t>水平</w:t>
      </w:r>
      <w:r w:rsidRPr="00F47629">
        <w:rPr>
          <w:rStyle w:val="Italic"/>
          <w:rFonts w:ascii="STKaiti" w:eastAsia="STKaiti" w:hAnsi="STKaiti" w:cs="Calibri" w:hint="eastAsia"/>
          <w:i w:val="0"/>
          <w:iCs w:val="0"/>
          <w:lang w:eastAsia="zh-CN"/>
        </w:rPr>
        <w:t>。</w:t>
      </w:r>
    </w:p>
    <w:p w14:paraId="74A3E228" w14:textId="6B814147" w:rsidR="002E31C4" w:rsidRPr="00F47629" w:rsidRDefault="002E31C4" w:rsidP="00046AD5">
      <w:pPr>
        <w:pStyle w:val="Heading4"/>
        <w:rPr>
          <w:rFonts w:cs="Calibri"/>
          <w:i w:val="0"/>
          <w:lang w:eastAsia="zh-CN"/>
        </w:rPr>
      </w:pPr>
      <w:r w:rsidRPr="00F47629">
        <w:rPr>
          <w:rFonts w:cs="Calibri" w:hint="eastAsia"/>
          <w:i w:val="0"/>
          <w:iCs/>
          <w:lang w:eastAsia="zh-CN"/>
        </w:rPr>
        <w:t>联合国合办</w:t>
      </w:r>
      <w:r w:rsidR="00A066D8" w:rsidRPr="00F47629">
        <w:rPr>
          <w:rFonts w:cs="Calibri" w:hint="eastAsia"/>
          <w:i w:val="0"/>
          <w:iCs/>
          <w:lang w:eastAsia="zh-CN"/>
        </w:rPr>
        <w:t>工作人员</w:t>
      </w:r>
      <w:r w:rsidRPr="00F47629">
        <w:rPr>
          <w:rFonts w:cs="Calibri" w:hint="eastAsia"/>
          <w:i w:val="0"/>
          <w:iCs/>
          <w:lang w:eastAsia="zh-CN"/>
        </w:rPr>
        <w:t>养恤基金</w:t>
      </w:r>
    </w:p>
    <w:p w14:paraId="4E280421" w14:textId="10B714F7"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44</w:t>
      </w:r>
      <w:r w:rsidRPr="00F47629">
        <w:rPr>
          <w:rFonts w:ascii="Calibri" w:hAnsi="Calibri" w:cs="Calibri"/>
          <w:lang w:eastAsia="zh-CN"/>
        </w:rPr>
        <w:tab/>
      </w:r>
      <w:r w:rsidR="00A066D8" w:rsidRPr="00F47629">
        <w:rPr>
          <w:rFonts w:ascii="Calibri" w:hAnsi="Calibri" w:cs="Calibri" w:hint="eastAsia"/>
          <w:lang w:eastAsia="zh-CN"/>
        </w:rPr>
        <w:t>国际电联通过其职员作为成员组织加入了联合国合办工作人员养恤基金（养恤基金）。但是，由于养恤金计划无法准确确定每个参与组织所承担的相应风险的可靠估算，因此国际电联的财务报表中没有出现养恤金计划的精算负债。</w:t>
      </w:r>
    </w:p>
    <w:p w14:paraId="70333988" w14:textId="4B6E0F0D" w:rsidR="002E31C4" w:rsidRDefault="002E31C4" w:rsidP="003C0ED8">
      <w:pPr>
        <w:pStyle w:val="MainTextNumbered"/>
        <w:numPr>
          <w:ilvl w:val="0"/>
          <w:numId w:val="0"/>
        </w:numPr>
        <w:tabs>
          <w:tab w:val="clear" w:pos="1080"/>
        </w:tabs>
        <w:rPr>
          <w:lang w:eastAsia="zh-CN"/>
        </w:rPr>
      </w:pPr>
      <w:r w:rsidRPr="00F47629">
        <w:rPr>
          <w:rFonts w:ascii="Calibri" w:hAnsi="Calibri" w:cs="Calibri"/>
          <w:b/>
          <w:bCs/>
          <w:lang w:eastAsia="zh-CN"/>
        </w:rPr>
        <w:t>45</w:t>
      </w:r>
      <w:r w:rsidRPr="00F47629">
        <w:rPr>
          <w:rFonts w:ascii="Calibri" w:hAnsi="Calibri" w:cs="Calibri"/>
          <w:lang w:eastAsia="zh-CN"/>
        </w:rPr>
        <w:tab/>
      </w:r>
      <w:r w:rsidR="00C464C1" w:rsidRPr="00F47629">
        <w:rPr>
          <w:rFonts w:ascii="Calibri" w:hAnsi="Calibri" w:cs="Calibri" w:hint="eastAsia"/>
          <w:lang w:eastAsia="zh-CN"/>
        </w:rPr>
        <w:t>财务报表注释</w:t>
      </w:r>
      <w:r w:rsidR="00A066D8" w:rsidRPr="00F47629">
        <w:rPr>
          <w:rFonts w:ascii="Calibri" w:hAnsi="Calibri" w:cs="Calibri" w:hint="eastAsia"/>
          <w:lang w:eastAsia="zh-CN"/>
        </w:rPr>
        <w:t>18.3</w:t>
      </w:r>
      <w:r w:rsidR="00A066D8" w:rsidRPr="00F47629">
        <w:rPr>
          <w:rFonts w:ascii="Calibri" w:hAnsi="Calibri" w:cs="Calibri" w:hint="eastAsia"/>
          <w:lang w:eastAsia="zh-CN"/>
        </w:rPr>
        <w:t>概述了联合国养恤金计划的特点，这一披露在许多参与组织中都是一致的。在最近的精算日期，即</w:t>
      </w:r>
      <w:r w:rsidR="00A066D8" w:rsidRPr="00F47629">
        <w:rPr>
          <w:rFonts w:ascii="Calibri" w:hAnsi="Calibri" w:cs="Calibri" w:hint="eastAsia"/>
          <w:lang w:eastAsia="zh-CN"/>
        </w:rPr>
        <w:t>2021</w:t>
      </w:r>
      <w:r w:rsidR="00A066D8" w:rsidRPr="00F47629">
        <w:rPr>
          <w:rFonts w:ascii="Calibri" w:hAnsi="Calibri" w:cs="Calibri" w:hint="eastAsia"/>
          <w:lang w:eastAsia="zh-CN"/>
        </w:rPr>
        <w:t>年</w:t>
      </w:r>
      <w:r w:rsidR="00A066D8" w:rsidRPr="00F47629">
        <w:rPr>
          <w:rFonts w:ascii="Calibri" w:hAnsi="Calibri" w:cs="Calibri" w:hint="eastAsia"/>
          <w:lang w:eastAsia="zh-CN"/>
        </w:rPr>
        <w:t>12</w:t>
      </w:r>
      <w:r w:rsidR="00A066D8" w:rsidRPr="00F47629">
        <w:rPr>
          <w:rFonts w:ascii="Calibri" w:hAnsi="Calibri" w:cs="Calibri" w:hint="eastAsia"/>
          <w:lang w:eastAsia="zh-CN"/>
        </w:rPr>
        <w:t>月</w:t>
      </w:r>
      <w:r w:rsidR="00A066D8" w:rsidRPr="00F47629">
        <w:rPr>
          <w:rFonts w:ascii="Calibri" w:hAnsi="Calibri" w:cs="Calibri" w:hint="eastAsia"/>
          <w:lang w:eastAsia="zh-CN"/>
        </w:rPr>
        <w:t>31</w:t>
      </w:r>
      <w:r w:rsidR="00A066D8" w:rsidRPr="00F47629">
        <w:rPr>
          <w:rFonts w:ascii="Calibri" w:hAnsi="Calibri" w:cs="Calibri" w:hint="eastAsia"/>
          <w:lang w:eastAsia="zh-CN"/>
        </w:rPr>
        <w:t>日，养恤基金得出结论，根据</w:t>
      </w:r>
      <w:r w:rsidR="00E6056C" w:rsidRPr="00F47629">
        <w:rPr>
          <w:rFonts w:ascii="Calibri" w:hAnsi="Calibri" w:cs="Calibri" w:hint="eastAsia"/>
          <w:lang w:eastAsia="zh-CN"/>
        </w:rPr>
        <w:t>该</w:t>
      </w:r>
      <w:r w:rsidR="00A066D8" w:rsidRPr="00F47629">
        <w:rPr>
          <w:rFonts w:ascii="Calibri" w:hAnsi="Calibri" w:cs="Calibri" w:hint="eastAsia"/>
          <w:lang w:eastAsia="zh-CN"/>
        </w:rPr>
        <w:t>基金规则第</w:t>
      </w:r>
      <w:r w:rsidR="00A066D8" w:rsidRPr="00F47629">
        <w:rPr>
          <w:rFonts w:ascii="Calibri" w:hAnsi="Calibri" w:cs="Calibri" w:hint="eastAsia"/>
          <w:lang w:eastAsia="zh-CN"/>
        </w:rPr>
        <w:t>26</w:t>
      </w:r>
      <w:r w:rsidR="00A066D8" w:rsidRPr="00F47629">
        <w:rPr>
          <w:rFonts w:ascii="Calibri" w:hAnsi="Calibri" w:cs="Calibri" w:hint="eastAsia"/>
          <w:lang w:eastAsia="zh-CN"/>
        </w:rPr>
        <w:t>条，不需要支付</w:t>
      </w:r>
      <w:r w:rsidR="00E6056C" w:rsidRPr="00F47629">
        <w:rPr>
          <w:rFonts w:ascii="Calibri" w:hAnsi="Calibri" w:cs="Calibri" w:hint="eastAsia"/>
          <w:lang w:eastAsia="zh-CN"/>
        </w:rPr>
        <w:t>差额</w:t>
      </w:r>
      <w:r w:rsidR="00A066D8" w:rsidRPr="00F47629">
        <w:rPr>
          <w:rFonts w:ascii="Calibri" w:hAnsi="Calibri" w:cs="Calibri" w:hint="eastAsia"/>
          <w:lang w:eastAsia="zh-CN"/>
        </w:rPr>
        <w:t>款项，因为其</w:t>
      </w:r>
      <w:r w:rsidR="00E6056C" w:rsidRPr="00F47629">
        <w:rPr>
          <w:rFonts w:ascii="Calibri" w:hAnsi="Calibri" w:cs="Calibri" w:hint="eastAsia"/>
          <w:lang w:eastAsia="zh-CN"/>
        </w:rPr>
        <w:t>筹资</w:t>
      </w:r>
      <w:r w:rsidR="00A066D8" w:rsidRPr="00F47629">
        <w:rPr>
          <w:rFonts w:ascii="Calibri" w:hAnsi="Calibri" w:cs="Calibri" w:hint="eastAsia"/>
          <w:lang w:eastAsia="zh-CN"/>
        </w:rPr>
        <w:t>比率自上次精算报告以来已提高到</w:t>
      </w:r>
      <w:r w:rsidR="00A066D8" w:rsidRPr="00F47629">
        <w:rPr>
          <w:rFonts w:ascii="Calibri" w:hAnsi="Calibri" w:cs="Calibri" w:hint="eastAsia"/>
          <w:lang w:eastAsia="zh-CN"/>
        </w:rPr>
        <w:t>117%</w:t>
      </w:r>
      <w:r w:rsidR="00A066D8" w:rsidRPr="00F47629">
        <w:rPr>
          <w:rFonts w:ascii="Calibri" w:hAnsi="Calibri" w:cs="Calibri" w:hint="eastAsia"/>
          <w:lang w:eastAsia="zh-CN"/>
        </w:rPr>
        <w:t>（</w:t>
      </w:r>
      <w:r w:rsidR="00A066D8" w:rsidRPr="00F47629">
        <w:rPr>
          <w:rFonts w:ascii="Calibri" w:hAnsi="Calibri" w:cs="Calibri" w:hint="eastAsia"/>
          <w:lang w:eastAsia="zh-CN"/>
        </w:rPr>
        <w:t>2019</w:t>
      </w:r>
      <w:r w:rsidR="00A066D8" w:rsidRPr="00F47629">
        <w:rPr>
          <w:rFonts w:ascii="Calibri" w:hAnsi="Calibri" w:cs="Calibri" w:hint="eastAsia"/>
          <w:lang w:eastAsia="zh-CN"/>
        </w:rPr>
        <w:t>年：</w:t>
      </w:r>
      <w:r w:rsidR="00A066D8" w:rsidRPr="00F47629">
        <w:rPr>
          <w:rFonts w:ascii="Calibri" w:hAnsi="Calibri" w:cs="Calibri" w:hint="eastAsia"/>
          <w:lang w:eastAsia="zh-CN"/>
        </w:rPr>
        <w:t>107.1%</w:t>
      </w:r>
      <w:r w:rsidR="00A066D8" w:rsidRPr="00F47629">
        <w:rPr>
          <w:rFonts w:ascii="Calibri" w:hAnsi="Calibri" w:cs="Calibri" w:hint="eastAsia"/>
          <w:lang w:eastAsia="zh-CN"/>
        </w:rPr>
        <w:t>）。如果这种情况在未来发生变化，国际电联和联合国系统其他参与实体将需要支付</w:t>
      </w:r>
      <w:r w:rsidR="00E6056C" w:rsidRPr="00F47629">
        <w:rPr>
          <w:rFonts w:ascii="Calibri" w:hAnsi="Calibri" w:cs="Calibri" w:hint="eastAsia"/>
          <w:lang w:eastAsia="zh-CN"/>
        </w:rPr>
        <w:t>差额</w:t>
      </w:r>
      <w:r w:rsidR="00A066D8" w:rsidRPr="00F47629">
        <w:rPr>
          <w:rFonts w:ascii="Calibri" w:hAnsi="Calibri" w:cs="Calibri" w:hint="eastAsia"/>
          <w:lang w:eastAsia="zh-CN"/>
        </w:rPr>
        <w:t>款项。这种情况对本组织构成潜在的未来财务风险，需要继续跟踪。</w:t>
      </w:r>
    </w:p>
    <w:p w14:paraId="7833048C" w14:textId="336F3C3A" w:rsidR="002E31C4" w:rsidRPr="003C0ED8" w:rsidRDefault="00E6056C" w:rsidP="00046AD5">
      <w:pPr>
        <w:pStyle w:val="Heading3"/>
        <w:rPr>
          <w:i w:val="0"/>
          <w:iCs/>
          <w:lang w:eastAsia="zh-CN"/>
        </w:rPr>
      </w:pPr>
      <w:r>
        <w:rPr>
          <w:rFonts w:hint="eastAsia"/>
          <w:i w:val="0"/>
          <w:iCs/>
          <w:lang w:eastAsia="zh-CN"/>
        </w:rPr>
        <w:t>战略财务管理</w:t>
      </w:r>
    </w:p>
    <w:p w14:paraId="58426FA9" w14:textId="39F6E849"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46</w:t>
      </w:r>
      <w:r w:rsidRPr="00F47629">
        <w:rPr>
          <w:rFonts w:ascii="Calibri" w:hAnsi="Calibri" w:cs="Calibri"/>
          <w:lang w:eastAsia="zh-CN"/>
        </w:rPr>
        <w:tab/>
      </w:r>
      <w:r w:rsidR="00E6056C" w:rsidRPr="00F47629">
        <w:rPr>
          <w:rFonts w:ascii="Calibri" w:hAnsi="Calibri" w:cs="Calibri" w:hint="eastAsia"/>
          <w:lang w:eastAsia="zh-CN"/>
        </w:rPr>
        <w:t>战略财务管理涉及考虑如何利用资源为国际电联的长期目标提供资金。这涉及考虑如何将资源与成员的目标联系起来，以及如何为基本建设工程和离职后健康保险供资等长期承诺规划资源。它还要求统筹兼顾如何利用国际电联的总体储备金为各项业务活动提供资金。</w:t>
      </w:r>
    </w:p>
    <w:p w14:paraId="07C28987" w14:textId="4A256CCA" w:rsidR="002E31C4" w:rsidRPr="00F47629" w:rsidRDefault="002E31C4" w:rsidP="003C0ED8">
      <w:pPr>
        <w:pStyle w:val="MainTextNumbered"/>
        <w:numPr>
          <w:ilvl w:val="0"/>
          <w:numId w:val="0"/>
        </w:numPr>
        <w:tabs>
          <w:tab w:val="clear" w:pos="1080"/>
        </w:tabs>
        <w:rPr>
          <w:rFonts w:ascii="Calibri" w:hAnsi="Calibri" w:cs="Calibri"/>
          <w:lang w:eastAsia="zh-CN"/>
        </w:rPr>
      </w:pPr>
      <w:r w:rsidRPr="00F47629">
        <w:rPr>
          <w:rFonts w:ascii="Calibri" w:hAnsi="Calibri" w:cs="Calibri"/>
          <w:b/>
          <w:bCs/>
          <w:lang w:eastAsia="zh-CN"/>
        </w:rPr>
        <w:t>47</w:t>
      </w:r>
      <w:r w:rsidRPr="00F47629">
        <w:rPr>
          <w:rFonts w:ascii="Calibri" w:hAnsi="Calibri" w:cs="Calibri"/>
          <w:lang w:eastAsia="zh-CN"/>
        </w:rPr>
        <w:tab/>
      </w:r>
      <w:r w:rsidR="00F828AE" w:rsidRPr="00F47629">
        <w:rPr>
          <w:rFonts w:ascii="Calibri" w:hAnsi="Calibri" w:cs="Calibri" w:hint="eastAsia"/>
          <w:lang w:eastAsia="zh-CN"/>
        </w:rPr>
        <w:t>国际电联的战略规划为期四年，在每届全权代表大会的第</w:t>
      </w:r>
      <w:r w:rsidR="00F828AE" w:rsidRPr="00F47629">
        <w:rPr>
          <w:rFonts w:ascii="Calibri" w:hAnsi="Calibri" w:cs="Calibri" w:hint="eastAsia"/>
          <w:lang w:eastAsia="zh-CN"/>
        </w:rPr>
        <w:t>71</w:t>
      </w:r>
      <w:r w:rsidR="00F828AE" w:rsidRPr="00F47629">
        <w:rPr>
          <w:rFonts w:ascii="Calibri" w:hAnsi="Calibri" w:cs="Calibri" w:hint="eastAsia"/>
          <w:lang w:eastAsia="zh-CN"/>
        </w:rPr>
        <w:t>号决议中列出，最近一次是在</w:t>
      </w:r>
      <w:r w:rsidR="00F828AE" w:rsidRPr="00F47629">
        <w:rPr>
          <w:rFonts w:ascii="Calibri" w:hAnsi="Calibri" w:cs="Calibri" w:hint="eastAsia"/>
          <w:lang w:eastAsia="zh-CN"/>
        </w:rPr>
        <w:t>2</w:t>
      </w:r>
      <w:r w:rsidR="00F828AE" w:rsidRPr="00F47629">
        <w:rPr>
          <w:rFonts w:ascii="Calibri" w:hAnsi="Calibri" w:cs="Calibri"/>
          <w:lang w:eastAsia="zh-CN"/>
        </w:rPr>
        <w:t>022</w:t>
      </w:r>
      <w:r w:rsidR="00F828AE" w:rsidRPr="00F47629">
        <w:rPr>
          <w:rFonts w:ascii="Calibri" w:hAnsi="Calibri" w:cs="Calibri" w:hint="eastAsia"/>
          <w:lang w:eastAsia="zh-CN"/>
        </w:rPr>
        <w:t>年全权代表大会，大会批准了</w:t>
      </w:r>
      <w:r w:rsidR="00F828AE" w:rsidRPr="00F47629">
        <w:rPr>
          <w:rFonts w:ascii="Calibri" w:hAnsi="Calibri" w:cs="Calibri" w:hint="eastAsia"/>
          <w:lang w:eastAsia="zh-CN"/>
        </w:rPr>
        <w:t>2024-2027</w:t>
      </w:r>
      <w:r w:rsidR="00F828AE" w:rsidRPr="00F47629">
        <w:rPr>
          <w:rFonts w:ascii="Calibri" w:hAnsi="Calibri" w:cs="Calibri" w:hint="eastAsia"/>
          <w:lang w:eastAsia="zh-CN"/>
        </w:rPr>
        <w:t>年的战略规划。第</w:t>
      </w:r>
      <w:r w:rsidR="00F828AE" w:rsidRPr="00F47629">
        <w:rPr>
          <w:rFonts w:ascii="Calibri" w:hAnsi="Calibri" w:cs="Calibri" w:hint="eastAsia"/>
          <w:lang w:eastAsia="zh-CN"/>
        </w:rPr>
        <w:t>5</w:t>
      </w:r>
      <w:r w:rsidR="00F828AE" w:rsidRPr="00F47629">
        <w:rPr>
          <w:rFonts w:ascii="Calibri" w:hAnsi="Calibri" w:cs="Calibri" w:hint="eastAsia"/>
          <w:lang w:eastAsia="zh-CN"/>
        </w:rPr>
        <w:t>号决定（国际电联的收入和支出）详细阐述了配套的财务规划，并为国际电联实现其战略目标分配财务资源。国际电联的非核心活动，包括由国际电联或捐助方捐款资助的预算外活动；资本活动；以及健康保险和其他与职工有关的基金余额，均单独规划、安排和报告。我们认为，战略规划应更好地反映对这些非核心资源的规划，将其与成员的总体战</w:t>
      </w:r>
      <w:r w:rsidR="00F828AE" w:rsidRPr="00F47629">
        <w:rPr>
          <w:rFonts w:ascii="Calibri" w:hAnsi="Calibri" w:cs="Calibri" w:hint="eastAsia"/>
          <w:lang w:eastAsia="zh-CN"/>
        </w:rPr>
        <w:lastRenderedPageBreak/>
        <w:t>略目标更紧密地联系起来。这将更全面地衡量国际电联的总体绩效和资源使用情况，更好地突出其他活动如何促进成果的交付。在我们的任务后期，我们计划研究基于结果的管理方式如何支持对照规划报告所取得的成就。</w:t>
      </w:r>
    </w:p>
    <w:p w14:paraId="4D22BF6F" w14:textId="3CF64BE4" w:rsidR="002E31C4" w:rsidRPr="00F47629" w:rsidRDefault="002E31C4" w:rsidP="003C0ED8">
      <w:pPr>
        <w:pStyle w:val="MainTextNumbered"/>
        <w:numPr>
          <w:ilvl w:val="0"/>
          <w:numId w:val="0"/>
        </w:numPr>
        <w:tabs>
          <w:tab w:val="clear" w:pos="1080"/>
        </w:tabs>
        <w:rPr>
          <w:rFonts w:ascii="Calibri" w:hAnsi="Calibri" w:cs="Calibri"/>
          <w:lang w:eastAsia="zh-CN"/>
        </w:rPr>
      </w:pPr>
      <w:r w:rsidRPr="00F75C6C">
        <w:rPr>
          <w:rFonts w:ascii="Calibri" w:hAnsi="Calibri" w:cs="Calibri"/>
          <w:b/>
          <w:bCs/>
          <w:lang w:eastAsia="zh-CN"/>
        </w:rPr>
        <w:t>48</w:t>
      </w:r>
      <w:r w:rsidRPr="00F47629">
        <w:rPr>
          <w:rFonts w:ascii="Calibri" w:hAnsi="Calibri" w:cs="Calibri"/>
          <w:lang w:eastAsia="zh-CN"/>
        </w:rPr>
        <w:tab/>
      </w:r>
      <w:r w:rsidR="00B20DF0" w:rsidRPr="00F47629">
        <w:rPr>
          <w:rFonts w:ascii="Calibri" w:hAnsi="Calibri" w:cs="Calibri" w:hint="eastAsia"/>
          <w:lang w:eastAsia="zh-CN"/>
        </w:rPr>
        <w:t>有效的财务管理利用储备金来满足国际电联的资源需求，并履行已知的义务或承诺。尽管核心资源面临压力，但国际电联仍有现金支持的储备金和基金余额。虽然一些余额可能仅限于特定用途，但其他余额可供国际电联使用，在审查财务报表时，我们认为可以更好地阐明这些资源的使用情况并向成员报告。</w:t>
      </w:r>
    </w:p>
    <w:p w14:paraId="4916D26D" w14:textId="21CDE1A4" w:rsidR="002E31C4" w:rsidRPr="00F47629" w:rsidRDefault="001F59A6" w:rsidP="00046AD5">
      <w:pPr>
        <w:pStyle w:val="MainTextNumbered"/>
        <w:numPr>
          <w:ilvl w:val="0"/>
          <w:numId w:val="0"/>
        </w:numPr>
        <w:rPr>
          <w:rStyle w:val="Bold"/>
          <w:rFonts w:ascii="Calibri" w:hAnsi="Calibri" w:cs="Calibri"/>
          <w:lang w:eastAsia="zh-CN"/>
        </w:rPr>
      </w:pPr>
      <w:r w:rsidRPr="00F47629">
        <w:rPr>
          <w:rStyle w:val="Bold"/>
          <w:rFonts w:ascii="Calibri" w:hAnsi="Calibri" w:cs="Calibri" w:hint="eastAsia"/>
          <w:lang w:eastAsia="zh-CN"/>
        </w:rPr>
        <w:t>国际电联应：</w:t>
      </w:r>
    </w:p>
    <w:p w14:paraId="0B9375EB" w14:textId="2F95860B" w:rsidR="002E31C4" w:rsidRPr="00F47629" w:rsidRDefault="002E31C4" w:rsidP="00046AD5">
      <w:pPr>
        <w:pStyle w:val="MainTextNumbered"/>
        <w:numPr>
          <w:ilvl w:val="0"/>
          <w:numId w:val="0"/>
        </w:numPr>
        <w:rPr>
          <w:rFonts w:ascii="Calibri" w:hAnsi="Calibri" w:cs="Calibri"/>
          <w:lang w:eastAsia="zh-CN"/>
        </w:rPr>
      </w:pPr>
      <w:r w:rsidRPr="00F47629">
        <w:rPr>
          <w:rStyle w:val="Bold"/>
          <w:rFonts w:ascii="Calibri" w:hAnsi="Calibri" w:cs="Calibri"/>
          <w:lang w:eastAsia="zh-CN"/>
        </w:rPr>
        <w:t>R10</w:t>
      </w:r>
      <w:r w:rsidR="00F75C6C">
        <w:rPr>
          <w:rStyle w:val="Bold"/>
          <w:rFonts w:ascii="Calibri" w:hAnsi="Calibri" w:cs="Calibri" w:hint="eastAsia"/>
          <w:lang w:eastAsia="zh-CN"/>
        </w:rPr>
        <w:t>：</w:t>
      </w:r>
      <w:r w:rsidR="001F59A6" w:rsidRPr="00F47629">
        <w:rPr>
          <w:rStyle w:val="Bold"/>
          <w:rFonts w:ascii="Calibri" w:hAnsi="Calibri" w:cs="Calibri" w:hint="eastAsia"/>
          <w:lang w:eastAsia="zh-CN"/>
        </w:rPr>
        <w:t>审查其目前所有的基金和储备金余额，以及合理化和简化的范围，审查余额是否仍与国际电联的财务规划相关。这项工作应在维持储备金和基金的总体战略背景下进行，并与国际电联的战略规划保持一致。</w:t>
      </w:r>
    </w:p>
    <w:p w14:paraId="331F7570" w14:textId="09774FE7" w:rsidR="002E31C4" w:rsidRPr="00F47629" w:rsidRDefault="001F59A6" w:rsidP="00F75C6C">
      <w:pPr>
        <w:pStyle w:val="MainTextNumbered"/>
        <w:numPr>
          <w:ilvl w:val="0"/>
          <w:numId w:val="0"/>
        </w:numPr>
        <w:ind w:firstLineChars="200" w:firstLine="400"/>
        <w:rPr>
          <w:rStyle w:val="Italic"/>
          <w:rFonts w:ascii="STKaiti" w:eastAsia="STKaiti" w:hAnsi="STKaiti" w:cs="Calibri"/>
          <w:i w:val="0"/>
          <w:iCs w:val="0"/>
          <w:lang w:eastAsia="zh-CN"/>
        </w:rPr>
      </w:pPr>
      <w:r w:rsidRPr="00F47629">
        <w:rPr>
          <w:rStyle w:val="Italic"/>
          <w:rFonts w:ascii="STKaiti" w:eastAsia="STKaiti" w:hAnsi="STKaiti" w:cs="Calibri" w:hint="eastAsia"/>
          <w:i w:val="0"/>
          <w:iCs w:val="0"/>
          <w:lang w:eastAsia="zh-CN"/>
        </w:rPr>
        <w:t>管理层接受这项建议，并已提议修改《财务规则和财务细则》，以改善目前的基金管理，提高透明度，加强问责制和报告制度。</w:t>
      </w:r>
    </w:p>
    <w:p w14:paraId="58E924F3" w14:textId="3FD227EE" w:rsidR="002E31C4" w:rsidRPr="00F47629" w:rsidRDefault="00634D7F" w:rsidP="00046AD5">
      <w:pPr>
        <w:pStyle w:val="Heading2"/>
        <w:rPr>
          <w:rFonts w:cs="Calibri"/>
          <w:lang w:eastAsia="zh-CN"/>
        </w:rPr>
      </w:pPr>
      <w:bookmarkStart w:id="18" w:name="_Toc161066418"/>
      <w:r w:rsidRPr="00F47629">
        <w:rPr>
          <w:rFonts w:cs="Calibri" w:hint="eastAsia"/>
          <w:lang w:eastAsia="zh-CN"/>
        </w:rPr>
        <w:t>成员的其他事宜</w:t>
      </w:r>
      <w:bookmarkEnd w:id="18"/>
    </w:p>
    <w:p w14:paraId="033B6143" w14:textId="4350F4BE" w:rsidR="002E31C4" w:rsidRPr="00F47629" w:rsidRDefault="002E31C4" w:rsidP="003C0ED8">
      <w:pPr>
        <w:pStyle w:val="MainTextNumbered"/>
        <w:numPr>
          <w:ilvl w:val="0"/>
          <w:numId w:val="0"/>
        </w:numPr>
        <w:tabs>
          <w:tab w:val="clear" w:pos="1080"/>
        </w:tabs>
        <w:rPr>
          <w:rFonts w:ascii="Calibri" w:hAnsi="Calibri" w:cs="Calibri"/>
          <w:lang w:eastAsia="zh-CN"/>
        </w:rPr>
      </w:pPr>
      <w:r w:rsidRPr="00F75C6C">
        <w:rPr>
          <w:rFonts w:ascii="Calibri" w:hAnsi="Calibri" w:cs="Calibri"/>
          <w:b/>
          <w:bCs/>
          <w:lang w:eastAsia="zh-CN"/>
        </w:rPr>
        <w:t>49</w:t>
      </w:r>
      <w:r w:rsidRPr="00F47629">
        <w:rPr>
          <w:rFonts w:ascii="Calibri" w:hAnsi="Calibri" w:cs="Calibri"/>
          <w:lang w:eastAsia="zh-CN"/>
        </w:rPr>
        <w:tab/>
      </w:r>
      <w:r w:rsidR="00634D7F" w:rsidRPr="00F47629">
        <w:rPr>
          <w:rFonts w:ascii="Calibri" w:hAnsi="Calibri" w:cs="Calibri" w:hint="eastAsia"/>
          <w:lang w:eastAsia="zh-CN"/>
        </w:rPr>
        <w:t>《财务规则》第</w:t>
      </w:r>
      <w:r w:rsidR="00634D7F" w:rsidRPr="00F47629">
        <w:rPr>
          <w:rFonts w:ascii="Calibri" w:hAnsi="Calibri" w:cs="Calibri" w:hint="eastAsia"/>
          <w:lang w:eastAsia="zh-CN"/>
        </w:rPr>
        <w:t>28</w:t>
      </w:r>
      <w:r w:rsidR="00634D7F" w:rsidRPr="00F47629">
        <w:rPr>
          <w:rFonts w:ascii="Calibri" w:hAnsi="Calibri" w:cs="Calibri" w:hint="eastAsia"/>
          <w:lang w:eastAsia="zh-CN"/>
        </w:rPr>
        <w:t>条（外部审计）要求秘书长就所发现的任何欺诈案件向我们做出报告。</w:t>
      </w:r>
      <w:r w:rsidR="00C464C1" w:rsidRPr="00F47629">
        <w:rPr>
          <w:rFonts w:ascii="Calibri" w:hAnsi="Calibri" w:cs="Calibri" w:hint="eastAsia"/>
          <w:lang w:eastAsia="zh-CN"/>
        </w:rPr>
        <w:t>我们没有接到此类案件的报告</w:t>
      </w:r>
      <w:r w:rsidR="00634D7F" w:rsidRPr="00F47629">
        <w:rPr>
          <w:rFonts w:ascii="Calibri" w:hAnsi="Calibri" w:cs="Calibri" w:hint="eastAsia"/>
          <w:lang w:eastAsia="zh-CN"/>
        </w:rPr>
        <w:t>，在审计工作中也没有发现任何欺诈事件。</w:t>
      </w:r>
    </w:p>
    <w:p w14:paraId="180EF8CC" w14:textId="4741C52D" w:rsidR="002E31C4" w:rsidRPr="00F47629" w:rsidRDefault="002E31C4" w:rsidP="003C0ED8">
      <w:pPr>
        <w:pStyle w:val="MainTextNumbered"/>
        <w:numPr>
          <w:ilvl w:val="0"/>
          <w:numId w:val="0"/>
        </w:numPr>
        <w:tabs>
          <w:tab w:val="clear" w:pos="1080"/>
        </w:tabs>
        <w:rPr>
          <w:rFonts w:ascii="Calibri" w:hAnsi="Calibri" w:cs="Calibri"/>
          <w:lang w:eastAsia="zh-CN"/>
        </w:rPr>
      </w:pPr>
      <w:r w:rsidRPr="00F75C6C">
        <w:rPr>
          <w:rFonts w:ascii="Calibri" w:hAnsi="Calibri" w:cs="Calibri"/>
          <w:b/>
          <w:bCs/>
          <w:lang w:eastAsia="zh-CN"/>
        </w:rPr>
        <w:t>50</w:t>
      </w:r>
      <w:r w:rsidRPr="00F47629">
        <w:rPr>
          <w:rFonts w:ascii="Calibri" w:hAnsi="Calibri" w:cs="Calibri"/>
          <w:lang w:eastAsia="zh-CN"/>
        </w:rPr>
        <w:tab/>
      </w:r>
      <w:r w:rsidR="00231B0E" w:rsidRPr="00F47629">
        <w:rPr>
          <w:rFonts w:ascii="Calibri" w:hAnsi="Calibri" w:cs="Calibri" w:hint="eastAsia"/>
          <w:lang w:eastAsia="zh-CN"/>
        </w:rPr>
        <w:t>按照《财务规则》第</w:t>
      </w:r>
      <w:r w:rsidR="00231B0E" w:rsidRPr="00F47629">
        <w:rPr>
          <w:rFonts w:ascii="Calibri" w:hAnsi="Calibri" w:cs="Calibri" w:hint="eastAsia"/>
          <w:lang w:eastAsia="zh-CN"/>
        </w:rPr>
        <w:t>10</w:t>
      </w:r>
      <w:r w:rsidR="00231B0E" w:rsidRPr="00F47629">
        <w:rPr>
          <w:rFonts w:ascii="Calibri" w:hAnsi="Calibri" w:cs="Calibri" w:hint="eastAsia"/>
          <w:lang w:eastAsia="zh-CN"/>
        </w:rPr>
        <w:t>条的要求，在财务报表注释</w:t>
      </w:r>
      <w:r w:rsidR="00231B0E" w:rsidRPr="00F47629">
        <w:rPr>
          <w:rFonts w:ascii="Calibri" w:hAnsi="Calibri" w:cs="Calibri" w:hint="eastAsia"/>
          <w:lang w:eastAsia="zh-CN"/>
        </w:rPr>
        <w:t>28</w:t>
      </w:r>
      <w:r w:rsidR="00231B0E" w:rsidRPr="00F47629">
        <w:rPr>
          <w:rFonts w:ascii="Calibri" w:hAnsi="Calibri" w:cs="Calibri" w:hint="eastAsia"/>
          <w:lang w:eastAsia="zh-CN"/>
        </w:rPr>
        <w:t>中披露了向我们报告的特惠</w:t>
      </w:r>
      <w:r w:rsidR="00C464C1" w:rsidRPr="00F47629">
        <w:rPr>
          <w:rFonts w:ascii="Calibri" w:hAnsi="Calibri" w:cs="Calibri" w:hint="eastAsia"/>
          <w:lang w:eastAsia="zh-CN"/>
        </w:rPr>
        <w:t>补偿</w:t>
      </w:r>
      <w:r w:rsidR="00231B0E" w:rsidRPr="00F47629">
        <w:rPr>
          <w:rFonts w:ascii="Calibri" w:hAnsi="Calibri" w:cs="Calibri" w:hint="eastAsia"/>
          <w:lang w:eastAsia="zh-CN"/>
        </w:rPr>
        <w:t>款。上文第</w:t>
      </w:r>
      <w:r w:rsidR="00231B0E" w:rsidRPr="00F47629">
        <w:rPr>
          <w:rFonts w:ascii="Calibri" w:hAnsi="Calibri" w:cs="Calibri" w:hint="eastAsia"/>
          <w:lang w:eastAsia="zh-CN"/>
        </w:rPr>
        <w:t>7</w:t>
      </w:r>
      <w:r w:rsidR="00231B0E" w:rsidRPr="00F47629">
        <w:rPr>
          <w:rFonts w:ascii="Calibri" w:hAnsi="Calibri" w:cs="Calibri" w:hint="eastAsia"/>
          <w:lang w:eastAsia="zh-CN"/>
        </w:rPr>
        <w:t>至</w:t>
      </w:r>
      <w:r w:rsidR="00231B0E" w:rsidRPr="00F47629">
        <w:rPr>
          <w:rFonts w:ascii="Calibri" w:hAnsi="Calibri" w:cs="Calibri" w:hint="eastAsia"/>
          <w:lang w:eastAsia="zh-CN"/>
        </w:rPr>
        <w:t>9</w:t>
      </w:r>
      <w:r w:rsidR="00231B0E" w:rsidRPr="00F47629">
        <w:rPr>
          <w:rFonts w:ascii="Calibri" w:hAnsi="Calibri" w:cs="Calibri" w:hint="eastAsia"/>
          <w:lang w:eastAsia="zh-CN"/>
        </w:rPr>
        <w:t>段更详细地阐述了这一事项。</w:t>
      </w:r>
    </w:p>
    <w:p w14:paraId="116B5918" w14:textId="77777777" w:rsidR="002E31C4" w:rsidRPr="00F47629" w:rsidRDefault="002E31C4" w:rsidP="00046AD5">
      <w:pPr>
        <w:pStyle w:val="Heading2"/>
        <w:rPr>
          <w:rFonts w:cs="Calibri"/>
          <w:lang w:eastAsia="zh-CN"/>
        </w:rPr>
      </w:pPr>
      <w:bookmarkStart w:id="19" w:name="_Toc161066419"/>
      <w:bookmarkEnd w:id="14"/>
      <w:bookmarkEnd w:id="15"/>
      <w:r w:rsidRPr="00F47629">
        <w:rPr>
          <w:rFonts w:cs="Calibri" w:hint="eastAsia"/>
          <w:lang w:eastAsia="zh-CN"/>
        </w:rPr>
        <w:t>致谢</w:t>
      </w:r>
      <w:bookmarkEnd w:id="19"/>
    </w:p>
    <w:p w14:paraId="5E45B3ED" w14:textId="5A81FE9E" w:rsidR="002E31C4" w:rsidRPr="00F47629" w:rsidRDefault="002E31C4" w:rsidP="003C0ED8">
      <w:pPr>
        <w:pStyle w:val="MainTextNumbered"/>
        <w:numPr>
          <w:ilvl w:val="0"/>
          <w:numId w:val="0"/>
        </w:numPr>
        <w:tabs>
          <w:tab w:val="clear" w:pos="1080"/>
        </w:tabs>
        <w:adjustRightInd/>
        <w:rPr>
          <w:rFonts w:ascii="Calibri" w:hAnsi="Calibri" w:cs="Calibri"/>
          <w:lang w:eastAsia="zh-CN"/>
        </w:rPr>
      </w:pPr>
      <w:r w:rsidRPr="00F75C6C">
        <w:rPr>
          <w:rFonts w:ascii="Calibri" w:hAnsi="Calibri" w:cs="Calibri"/>
          <w:b/>
          <w:bCs/>
          <w:lang w:eastAsia="zh-CN"/>
        </w:rPr>
        <w:t>51</w:t>
      </w:r>
      <w:r w:rsidRPr="00F47629">
        <w:rPr>
          <w:rFonts w:ascii="Calibri" w:hAnsi="Calibri" w:cs="Calibri"/>
          <w:lang w:eastAsia="zh-CN"/>
        </w:rPr>
        <w:tab/>
      </w:r>
      <w:r w:rsidRPr="00F47629">
        <w:rPr>
          <w:rFonts w:ascii="Calibri" w:hAnsi="Calibri" w:cs="Calibri" w:hint="eastAsia"/>
          <w:lang w:eastAsia="zh-CN"/>
        </w:rPr>
        <w:t>谨此感谢秘书长及其工作人员在为我们的审计工作提供便利方面给予的合作。</w:t>
      </w:r>
    </w:p>
    <w:p w14:paraId="33146C81" w14:textId="77777777" w:rsidR="002E31C4" w:rsidRPr="00F47629" w:rsidRDefault="002E31C4" w:rsidP="00046AD5">
      <w:pPr>
        <w:rPr>
          <w:rStyle w:val="Bold"/>
          <w:rFonts w:cs="Calibri"/>
          <w:lang w:eastAsia="zh-CN"/>
        </w:rPr>
      </w:pPr>
      <w:bookmarkStart w:id="20" w:name="SW0023"/>
    </w:p>
    <w:p w14:paraId="31936FCC" w14:textId="77777777" w:rsidR="002E31C4" w:rsidRPr="00F47629" w:rsidRDefault="002E31C4" w:rsidP="00046AD5">
      <w:pPr>
        <w:rPr>
          <w:rStyle w:val="Bold"/>
          <w:rFonts w:cs="Calibri"/>
          <w:lang w:eastAsia="zh-CN"/>
        </w:rPr>
      </w:pPr>
    </w:p>
    <w:p w14:paraId="0034C446" w14:textId="77777777" w:rsidR="002E31C4" w:rsidRPr="00F47629" w:rsidRDefault="002E31C4" w:rsidP="00046AD5">
      <w:pPr>
        <w:rPr>
          <w:rStyle w:val="Bold"/>
          <w:rFonts w:cs="Calibri"/>
          <w:lang w:eastAsia="zh-CN"/>
        </w:rPr>
      </w:pPr>
      <w:r w:rsidRPr="00F75C6C">
        <w:rPr>
          <w:rStyle w:val="Bold"/>
          <w:rFonts w:cs="Calibri" w:hint="eastAsia"/>
          <w:sz w:val="20"/>
          <w:szCs w:val="16"/>
          <w:lang w:eastAsia="zh-CN"/>
        </w:rPr>
        <w:t>（原件已签）</w:t>
      </w:r>
    </w:p>
    <w:p w14:paraId="035A58C5" w14:textId="77777777" w:rsidR="002E31C4" w:rsidRPr="00F47629" w:rsidRDefault="002E31C4" w:rsidP="00046AD5">
      <w:pPr>
        <w:rPr>
          <w:rStyle w:val="Bold"/>
          <w:rFonts w:cs="Calibri"/>
          <w:lang w:eastAsia="zh-CN"/>
        </w:rPr>
      </w:pPr>
    </w:p>
    <w:p w14:paraId="3C0C3EE8" w14:textId="2B9C9618" w:rsidR="002E31C4" w:rsidRPr="00F75C6C" w:rsidRDefault="002E31C4" w:rsidP="00B367B5">
      <w:pPr>
        <w:pStyle w:val="Heading5"/>
        <w:rPr>
          <w:rFonts w:cs="Calibri"/>
          <w:b/>
          <w:bCs/>
          <w:i w:val="0"/>
          <w:iCs/>
          <w:sz w:val="20"/>
          <w:szCs w:val="16"/>
          <w:lang w:eastAsia="zh-CN"/>
        </w:rPr>
      </w:pPr>
      <w:r w:rsidRPr="00F75C6C">
        <w:rPr>
          <w:rFonts w:cs="Calibri" w:hint="eastAsia"/>
          <w:b/>
          <w:bCs/>
          <w:i w:val="0"/>
          <w:iCs/>
          <w:sz w:val="20"/>
          <w:szCs w:val="16"/>
          <w:lang w:eastAsia="zh-CN"/>
        </w:rPr>
        <w:t>英国，审计主任兼审计长</w:t>
      </w:r>
      <w:r w:rsidR="00C464C1" w:rsidRPr="00F75C6C">
        <w:rPr>
          <w:rFonts w:cs="Calibri" w:hint="eastAsia"/>
          <w:b/>
          <w:bCs/>
          <w:i w:val="0"/>
          <w:iCs/>
          <w:sz w:val="20"/>
          <w:szCs w:val="16"/>
          <w:lang w:eastAsia="zh-CN"/>
        </w:rPr>
        <w:t xml:space="preserve"> </w:t>
      </w:r>
      <w:r w:rsidR="00F75C6C" w:rsidRPr="00F75C6C">
        <w:rPr>
          <w:rFonts w:cs="Calibri"/>
          <w:b/>
          <w:bCs/>
          <w:i w:val="0"/>
          <w:iCs/>
          <w:sz w:val="20"/>
          <w:szCs w:val="16"/>
          <w:lang w:eastAsia="zh-CN"/>
        </w:rPr>
        <w:t>–</w:t>
      </w:r>
      <w:r w:rsidRPr="00F75C6C">
        <w:rPr>
          <w:rFonts w:cs="Calibri" w:hint="eastAsia"/>
          <w:b/>
          <w:bCs/>
          <w:i w:val="0"/>
          <w:iCs/>
          <w:sz w:val="20"/>
          <w:szCs w:val="16"/>
          <w:lang w:eastAsia="zh-CN"/>
        </w:rPr>
        <w:t xml:space="preserve"> </w:t>
      </w:r>
      <w:r w:rsidRPr="00F75C6C">
        <w:rPr>
          <w:rFonts w:cs="Calibri" w:hint="eastAsia"/>
          <w:b/>
          <w:bCs/>
          <w:i w:val="0"/>
          <w:iCs/>
          <w:sz w:val="20"/>
          <w:szCs w:val="16"/>
          <w:lang w:eastAsia="zh-CN"/>
        </w:rPr>
        <w:t>外部审计员</w:t>
      </w:r>
    </w:p>
    <w:p w14:paraId="3CD61B1E" w14:textId="391E7035" w:rsidR="002E31C4" w:rsidRPr="00F75C6C" w:rsidRDefault="002E31C4" w:rsidP="00B367B5">
      <w:pPr>
        <w:pStyle w:val="Heading5"/>
        <w:rPr>
          <w:rFonts w:cs="Calibri"/>
          <w:b/>
          <w:bCs/>
          <w:i w:val="0"/>
          <w:iCs/>
          <w:sz w:val="20"/>
          <w:szCs w:val="16"/>
          <w:lang w:eastAsia="zh-CN"/>
        </w:rPr>
      </w:pPr>
      <w:r w:rsidRPr="00F75C6C">
        <w:rPr>
          <w:rFonts w:cs="Calibri"/>
          <w:b/>
          <w:bCs/>
          <w:i w:val="0"/>
          <w:iCs/>
          <w:sz w:val="20"/>
          <w:szCs w:val="16"/>
          <w:lang w:eastAsia="zh-CN"/>
        </w:rPr>
        <w:t>Gareth Davies</w:t>
      </w:r>
    </w:p>
    <w:bookmarkEnd w:id="20"/>
    <w:p w14:paraId="0F5A070F" w14:textId="17258265" w:rsidR="00046AD5" w:rsidRPr="00F47629" w:rsidRDefault="00A47573" w:rsidP="00B367B5">
      <w:pPr>
        <w:pStyle w:val="Heading5"/>
        <w:rPr>
          <w:rFonts w:cs="Calibri"/>
          <w:i w:val="0"/>
          <w:lang w:eastAsia="zh-CN"/>
        </w:rPr>
      </w:pPr>
      <w:r w:rsidRPr="00F75C6C">
        <w:rPr>
          <w:rFonts w:cs="Calibri"/>
          <w:b/>
          <w:bCs/>
          <w:i w:val="0"/>
          <w:iCs/>
          <w:sz w:val="20"/>
          <w:szCs w:val="16"/>
        </w:rPr>
        <w:t>2024</w:t>
      </w:r>
      <w:r w:rsidRPr="00F75C6C">
        <w:rPr>
          <w:rFonts w:cs="Calibri"/>
          <w:b/>
          <w:bCs/>
          <w:i w:val="0"/>
          <w:iCs/>
          <w:sz w:val="20"/>
          <w:szCs w:val="16"/>
        </w:rPr>
        <w:t>年</w:t>
      </w:r>
      <w:r w:rsidRPr="00F75C6C">
        <w:rPr>
          <w:rFonts w:cs="Calibri" w:hint="eastAsia"/>
          <w:b/>
          <w:bCs/>
          <w:i w:val="0"/>
          <w:iCs/>
          <w:sz w:val="20"/>
          <w:szCs w:val="16"/>
        </w:rPr>
        <w:t>1</w:t>
      </w:r>
      <w:r w:rsidRPr="00F75C6C">
        <w:rPr>
          <w:rFonts w:cs="Calibri"/>
          <w:b/>
          <w:bCs/>
          <w:i w:val="0"/>
          <w:iCs/>
          <w:sz w:val="20"/>
          <w:szCs w:val="16"/>
        </w:rPr>
        <w:t>月</w:t>
      </w:r>
      <w:r w:rsidRPr="00F75C6C">
        <w:rPr>
          <w:rFonts w:cs="Calibri" w:hint="eastAsia"/>
          <w:b/>
          <w:bCs/>
          <w:i w:val="0"/>
          <w:iCs/>
          <w:sz w:val="20"/>
          <w:szCs w:val="16"/>
        </w:rPr>
        <w:t>2</w:t>
      </w:r>
      <w:r w:rsidRPr="00F75C6C">
        <w:rPr>
          <w:rFonts w:cs="Calibri"/>
          <w:b/>
          <w:bCs/>
          <w:i w:val="0"/>
          <w:iCs/>
          <w:sz w:val="20"/>
          <w:szCs w:val="16"/>
        </w:rPr>
        <w:t>4</w:t>
      </w:r>
      <w:r w:rsidRPr="00F75C6C">
        <w:rPr>
          <w:rFonts w:cs="Calibri"/>
          <w:b/>
          <w:bCs/>
          <w:i w:val="0"/>
          <w:iCs/>
          <w:sz w:val="20"/>
          <w:szCs w:val="16"/>
        </w:rPr>
        <w:t>日</w:t>
      </w:r>
    </w:p>
    <w:p w14:paraId="3F3DFF2C" w14:textId="77777777" w:rsidR="00AE195F" w:rsidRPr="00E24D59" w:rsidRDefault="00AE195F" w:rsidP="00E24D59"/>
    <w:sectPr w:rsidR="00AE195F" w:rsidRPr="00E24D59" w:rsidSect="003C0ED8">
      <w:headerReference w:type="even" r:id="rId17"/>
      <w:headerReference w:type="default" r:id="rId18"/>
      <w:footerReference w:type="default" r:id="rId19"/>
      <w:headerReference w:type="first" r:id="rId20"/>
      <w:footerReference w:type="first" r:id="rId21"/>
      <w:pgSz w:w="11907" w:h="16834"/>
      <w:pgMar w:top="2835" w:right="1134" w:bottom="1134" w:left="3119"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130E7" w:rsidRPr="00784011" w14:paraId="29B83932" w14:textId="77777777" w:rsidTr="006368DB">
      <w:trPr>
        <w:jc w:val="center"/>
      </w:trPr>
      <w:tc>
        <w:tcPr>
          <w:tcW w:w="1803" w:type="dxa"/>
          <w:vAlign w:val="center"/>
        </w:tcPr>
        <w:p w14:paraId="20F78E21" w14:textId="77777777" w:rsidR="004130E7" w:rsidRDefault="004130E7" w:rsidP="004130E7">
          <w:pPr>
            <w:pStyle w:val="Header"/>
            <w:jc w:val="left"/>
            <w:rPr>
              <w:noProof/>
            </w:rPr>
          </w:pPr>
          <w:r w:rsidRPr="00B93453">
            <w:rPr>
              <w:color w:val="0563C1"/>
              <w:szCs w:val="14"/>
            </w:rPr>
            <w:t>www.itu.int/council</w:t>
          </w:r>
        </w:p>
      </w:tc>
      <w:tc>
        <w:tcPr>
          <w:tcW w:w="8261" w:type="dxa"/>
        </w:tcPr>
        <w:p w14:paraId="54144C19" w14:textId="77777777" w:rsidR="004130E7" w:rsidRPr="00E06FD5" w:rsidRDefault="004130E7" w:rsidP="004130E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99D1D89" w14:textId="5DA513DB" w:rsidR="00B367B5" w:rsidRDefault="00B367B5" w:rsidP="00B36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699D" w14:textId="35E81350" w:rsidR="004130E7" w:rsidRDefault="00F8602D" w:rsidP="00F8602D">
    <w:pPr>
      <w:pStyle w:val="Footer"/>
      <w:tabs>
        <w:tab w:val="clear" w:pos="5954"/>
        <w:tab w:val="left" w:pos="8222"/>
      </w:tabs>
    </w:pPr>
    <w:r>
      <w:t xml:space="preserve">DPS </w:t>
    </w:r>
    <w:r w:rsidR="004130E7">
      <w:t>534336</w:t>
    </w:r>
    <w:r>
      <w:tab/>
    </w:r>
    <w:r w:rsidRPr="00623AE3">
      <w:rPr>
        <w:bCs/>
      </w:rPr>
      <w:t>C</w:t>
    </w:r>
    <w:r>
      <w:rPr>
        <w:bCs/>
      </w:rPr>
      <w:t>24</w:t>
    </w:r>
    <w:r w:rsidRPr="00623AE3">
      <w:rPr>
        <w:bCs/>
      </w:rPr>
      <w:t>/</w:t>
    </w:r>
    <w:r>
      <w:rPr>
        <w:bCs/>
      </w:rPr>
      <w:t>41</w:t>
    </w:r>
    <w:r w:rsidRPr="00623AE3">
      <w:rPr>
        <w:bCs/>
      </w:rPr>
      <w:t>-</w:t>
    </w:r>
    <w:r>
      <w:rPr>
        <w:bCs/>
      </w:rPr>
      <w:t>C</w:t>
    </w:r>
    <w:r>
      <w:rPr>
        <w:bCs/>
      </w:rPr>
      <w:tab/>
    </w:r>
    <w:r>
      <w:rPr>
        <w:noProof w:val="0"/>
      </w:rPr>
      <w:fldChar w:fldCharType="begin"/>
    </w:r>
    <w:r>
      <w:instrText>PAGE</w:instrText>
    </w:r>
    <w:r>
      <w:rPr>
        <w:noProof w:val="0"/>
      </w:rP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DF2E" w14:textId="77777777" w:rsidR="00F8602D" w:rsidRDefault="00F860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52D" w14:textId="35783068" w:rsidR="00B40A53" w:rsidRPr="00E24D59" w:rsidRDefault="00F8602D" w:rsidP="00B367B5">
    <w:pPr>
      <w:pStyle w:val="Footer"/>
    </w:pPr>
    <w:r>
      <w:fldChar w:fldCharType="begin"/>
    </w:r>
    <w:r>
      <w:instrText xml:space="preserve"> FILENAME \p  \* MERGEFORMAT </w:instrText>
    </w:r>
    <w:r>
      <w:fldChar w:fldCharType="separate"/>
    </w:r>
    <w:r w:rsidR="0047690C">
      <w:t>P:\CHI\SG\CONSEIL\C24\000\041C.docx</w:t>
    </w:r>
    <w:r>
      <w:fldChar w:fldCharType="end"/>
    </w:r>
    <w:r w:rsidR="00B367B5">
      <w:t xml:space="preserve"> (534336)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853B" w14:textId="7E0E897C" w:rsidR="00AC516F" w:rsidRPr="00E24D59" w:rsidRDefault="00D251A5" w:rsidP="00E24D59">
    <w:pPr>
      <w:pStyle w:val="Footer"/>
    </w:pPr>
    <w:fldSimple w:instr=" FILENAME \p  \* MERGEFORMAT ">
      <w:r w:rsidR="0047690C">
        <w:t>P:\CHI\SG\CONSEIL\C24\000\041C.docx</w:t>
      </w:r>
    </w:fldSimple>
    <w:r w:rsidR="00B367B5">
      <w:t xml:space="preserve"> (534336)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 w:id="1">
    <w:p w14:paraId="10CA0FAA" w14:textId="6BDC9F23" w:rsidR="004945DA" w:rsidRDefault="004945DA" w:rsidP="004945DA">
      <w:pPr>
        <w:pStyle w:val="FootnoteText"/>
        <w:rPr>
          <w:lang w:eastAsia="zh-CN"/>
        </w:rPr>
      </w:pPr>
      <w:r>
        <w:rPr>
          <w:rStyle w:val="FootnoteReference"/>
        </w:rPr>
        <w:footnoteRef/>
      </w:r>
      <w:r>
        <w:rPr>
          <w:lang w:eastAsia="zh-CN"/>
        </w:rPr>
        <w:t xml:space="preserve"> </w:t>
      </w:r>
      <w:r w:rsidR="00AC2D12">
        <w:rPr>
          <w:lang w:eastAsia="zh-CN"/>
        </w:rPr>
        <w:tab/>
      </w:r>
      <w:r w:rsidR="00B118CF" w:rsidRPr="00AC2D12">
        <w:rPr>
          <w:rFonts w:hint="eastAsia"/>
          <w:sz w:val="20"/>
          <w:lang w:eastAsia="zh-CN"/>
        </w:rPr>
        <w:t>本报告中使用的所有数字均与之前财务年度经审计（重报）的财务结果进行了比较。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B84" w14:textId="31E12F31" w:rsidR="00AB3DAD" w:rsidRDefault="00AB3DAD">
    <w:pPr>
      <w:pStyle w:val="Header"/>
      <w:rPr>
        <w:lang w:eastAsia="zh-CN"/>
      </w:rPr>
    </w:pPr>
    <w:r>
      <w:rPr>
        <w:rStyle w:val="PageNumber"/>
      </w:rPr>
      <w:fldChar w:fldCharType="begin"/>
    </w:r>
    <w:r>
      <w:rPr>
        <w:rStyle w:val="PageNumber"/>
        <w:lang w:eastAsia="zh-CN"/>
      </w:rPr>
      <w:instrText xml:space="preserve"> PAGE </w:instrText>
    </w:r>
    <w:r>
      <w:rPr>
        <w:rStyle w:val="PageNumber"/>
      </w:rPr>
      <w:fldChar w:fldCharType="separate"/>
    </w:r>
    <w:r>
      <w:rPr>
        <w:rStyle w:val="PageNumber"/>
        <w:lang w:eastAsia="zh-CN"/>
      </w:rPr>
      <w:t>4</w:t>
    </w:r>
    <w:r>
      <w:rPr>
        <w:rStyle w:val="PageNumber"/>
      </w:rPr>
      <w:fldChar w:fldCharType="end"/>
    </w:r>
    <w:r>
      <w:rPr>
        <w:rStyle w:val="PageNumber"/>
        <w:b/>
        <w:lang w:eastAsia="zh-CN"/>
      </w:rPr>
      <w:t xml:space="preserve">  </w:t>
    </w:r>
    <w:r w:rsidRPr="00A47573">
      <w:rPr>
        <w:b/>
        <w:szCs w:val="18"/>
        <w:highlight w:val="green"/>
      </w:rPr>
      <w:fldChar w:fldCharType="begin"/>
    </w:r>
    <w:r w:rsidRPr="00A47573">
      <w:rPr>
        <w:b/>
        <w:szCs w:val="18"/>
        <w:highlight w:val="green"/>
        <w:lang w:eastAsia="zh-CN"/>
      </w:rPr>
      <w:instrText xml:space="preserve"> STYLEREF  "Heading 1"  \* MERGEFORMAT </w:instrText>
    </w:r>
    <w:r w:rsidRPr="00A47573">
      <w:rPr>
        <w:b/>
        <w:szCs w:val="18"/>
        <w:highlight w:val="green"/>
      </w:rPr>
      <w:fldChar w:fldCharType="separate"/>
    </w:r>
    <w:r w:rsidR="004130E7" w:rsidRPr="004130E7">
      <w:rPr>
        <w:rFonts w:hint="eastAsia"/>
        <w:bCs/>
        <w:noProof/>
        <w:szCs w:val="18"/>
        <w:highlight w:val="green"/>
        <w:lang w:val="en-US" w:eastAsia="zh-CN"/>
      </w:rPr>
      <w:t>最后审计报告</w:t>
    </w:r>
    <w:r w:rsidRPr="00A47573">
      <w:rPr>
        <w:b/>
        <w:szCs w:val="18"/>
        <w:highlight w:val="green"/>
      </w:rPr>
      <w:fldChar w:fldCharType="end"/>
    </w:r>
    <w:r w:rsidRPr="00A47573">
      <w:rPr>
        <w:rStyle w:val="PageNumber"/>
        <w:b/>
        <w:highlight w:val="green"/>
        <w:lang w:eastAsia="zh-CN"/>
      </w:rPr>
      <w:t xml:space="preserve"> </w:t>
    </w:r>
    <w:r w:rsidRPr="00A47573">
      <w:rPr>
        <w:szCs w:val="18"/>
        <w:highlight w:val="green"/>
      </w:rPr>
      <w:fldChar w:fldCharType="begin"/>
    </w:r>
    <w:r w:rsidRPr="00A47573">
      <w:rPr>
        <w:szCs w:val="18"/>
        <w:highlight w:val="green"/>
        <w:lang w:eastAsia="zh-CN"/>
      </w:rPr>
      <w:instrText xml:space="preserve"> STYLEREF  "zz Report title"  \* MERGEFORMAT </w:instrText>
    </w:r>
    <w:r w:rsidRPr="00A47573">
      <w:rPr>
        <w:szCs w:val="18"/>
        <w:highlight w:val="green"/>
      </w:rPr>
      <w:fldChar w:fldCharType="separate"/>
    </w:r>
    <w:r w:rsidR="004130E7" w:rsidRPr="004130E7">
      <w:rPr>
        <w:rFonts w:hint="eastAsia"/>
        <w:b/>
        <w:bCs/>
        <w:noProof/>
        <w:szCs w:val="18"/>
        <w:highlight w:val="green"/>
        <w:lang w:val="en-US" w:eastAsia="zh-CN"/>
      </w:rPr>
      <w:t>外部审计员关于国际电联</w:t>
    </w:r>
    <w:r w:rsidR="004130E7" w:rsidRPr="004130E7">
      <w:rPr>
        <w:rFonts w:hint="eastAsia"/>
        <w:b/>
        <w:bCs/>
        <w:noProof/>
        <w:szCs w:val="18"/>
        <w:highlight w:val="green"/>
        <w:lang w:val="en-US" w:eastAsia="zh-CN"/>
      </w:rPr>
      <w:t>2022</w:t>
    </w:r>
    <w:r w:rsidR="004130E7" w:rsidRPr="004130E7">
      <w:rPr>
        <w:rFonts w:hint="eastAsia"/>
        <w:b/>
        <w:bCs/>
        <w:noProof/>
        <w:szCs w:val="18"/>
        <w:highlight w:val="green"/>
        <w:lang w:val="en-US" w:eastAsia="zh-CN"/>
      </w:rPr>
      <w:t>年财务报表的报告</w:t>
    </w:r>
    <w:r w:rsidRPr="00A47573">
      <w:rPr>
        <w:szCs w:val="18"/>
        <w:highlight w:val="gree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B8D2" w14:textId="1D3184EA" w:rsidR="00B367B5" w:rsidRDefault="00B367B5" w:rsidP="00B367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909" w14:textId="77777777" w:rsidR="004130E7" w:rsidRDefault="004130E7" w:rsidP="00B367B5">
    <w:pPr>
      <w:pStyle w:val="Header"/>
      <w:jc w:val="right"/>
    </w:pPr>
    <w:r>
      <w:rPr>
        <w:noProof/>
      </w:rPr>
      <w:drawing>
        <wp:inline distT="0" distB="0" distL="0" distR="0" wp14:anchorId="25AFD976" wp14:editId="66363984">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NAO - Black and 50k circl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50DF" w14:textId="33D1FE08" w:rsidR="00AB3DAD" w:rsidRDefault="00AB3D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ADB" w14:textId="2902608B" w:rsidR="00AB3DAD" w:rsidRDefault="004130E7" w:rsidP="004130E7">
    <w:pPr>
      <w:pStyle w:val="Header"/>
      <w:jc w:val="right"/>
      <w:rPr>
        <w:lang w:eastAsia="zh-CN"/>
      </w:rPr>
    </w:pPr>
    <w:r>
      <w:rPr>
        <w:szCs w:val="18"/>
      </w:rPr>
      <w:fldChar w:fldCharType="begin"/>
    </w:r>
    <w:r>
      <w:rPr>
        <w:szCs w:val="18"/>
        <w:lang w:eastAsia="zh-CN"/>
      </w:rPr>
      <w:instrText xml:space="preserve"> STYLEREF  "zz Report title"  \* MERGEFORMAT </w:instrText>
    </w:r>
    <w:r>
      <w:rPr>
        <w:szCs w:val="18"/>
      </w:rPr>
      <w:fldChar w:fldCharType="separate"/>
    </w:r>
    <w:r w:rsidR="00F8602D" w:rsidRPr="00F8602D">
      <w:rPr>
        <w:rFonts w:hint="eastAsia"/>
        <w:b/>
        <w:bCs/>
        <w:noProof/>
        <w:szCs w:val="18"/>
        <w:lang w:val="en-US" w:eastAsia="zh-CN"/>
      </w:rPr>
      <w:t>外部审计员关于国际电联</w:t>
    </w:r>
    <w:r w:rsidR="00F8602D" w:rsidRPr="00F8602D">
      <w:rPr>
        <w:rFonts w:hint="eastAsia"/>
        <w:b/>
        <w:bCs/>
        <w:noProof/>
        <w:szCs w:val="18"/>
        <w:lang w:val="en-US" w:eastAsia="zh-CN"/>
      </w:rPr>
      <w:t>2022</w:t>
    </w:r>
    <w:r w:rsidR="00F8602D" w:rsidRPr="00F8602D">
      <w:rPr>
        <w:rFonts w:hint="eastAsia"/>
        <w:b/>
        <w:bCs/>
        <w:noProof/>
        <w:szCs w:val="18"/>
        <w:lang w:val="en-US" w:eastAsia="zh-CN"/>
      </w:rPr>
      <w:t>年财务报表的报告</w:t>
    </w:r>
    <w:r>
      <w:rPr>
        <w:szCs w:val="18"/>
      </w:rPr>
      <w:fldChar w:fldCharType="end"/>
    </w:r>
    <w:r>
      <w:rPr>
        <w:szCs w:val="18"/>
        <w:lang w:eastAsia="zh-CN"/>
      </w:rPr>
      <w:t xml:space="preserve"> </w:t>
    </w:r>
    <w:r>
      <w:rPr>
        <w:b/>
        <w:szCs w:val="18"/>
      </w:rPr>
      <w:fldChar w:fldCharType="begin"/>
    </w:r>
    <w:r>
      <w:rPr>
        <w:b/>
        <w:szCs w:val="18"/>
        <w:lang w:eastAsia="zh-CN"/>
      </w:rPr>
      <w:instrText xml:space="preserve"> STYLEREF  "Heading 1"  \* MERGEFORMAT </w:instrText>
    </w:r>
    <w:r>
      <w:rPr>
        <w:b/>
        <w:szCs w:val="18"/>
      </w:rPr>
      <w:fldChar w:fldCharType="separate"/>
    </w:r>
    <w:r w:rsidR="00F8602D" w:rsidRPr="00F8602D">
      <w:rPr>
        <w:rFonts w:hint="eastAsia"/>
        <w:bCs/>
        <w:noProof/>
        <w:szCs w:val="18"/>
        <w:lang w:val="en-US" w:eastAsia="zh-CN"/>
      </w:rPr>
      <w:t>最后审计报告</w:t>
    </w:r>
    <w:r>
      <w:rPr>
        <w:b/>
        <w:szCs w:val="18"/>
      </w:rPr>
      <w:fldChar w:fldCharType="end"/>
    </w:r>
    <w:r>
      <w:rPr>
        <w:szCs w:val="18"/>
        <w:lang w:eastAsia="zh-CN"/>
      </w:rPr>
      <w:t xml:space="preserve">  </w:t>
    </w:r>
    <w:r w:rsidRPr="005E745C">
      <w:rPr>
        <w:rStyle w:val="PageNumber"/>
      </w:rPr>
      <w:fldChar w:fldCharType="begin"/>
    </w:r>
    <w:r w:rsidRPr="005E745C">
      <w:rPr>
        <w:rStyle w:val="PageNumber"/>
        <w:lang w:eastAsia="zh-CN"/>
      </w:rPr>
      <w:instrText xml:space="preserve"> PAGE </w:instrText>
    </w:r>
    <w:r w:rsidRPr="005E745C">
      <w:rPr>
        <w:rStyle w:val="PageNumber"/>
      </w:rPr>
      <w:fldChar w:fldCharType="separate"/>
    </w:r>
    <w:r>
      <w:rPr>
        <w:rStyle w:val="PageNumber"/>
        <w:lang w:eastAsia="zh-CN"/>
      </w:rPr>
      <w:t>7</w:t>
    </w:r>
    <w:r w:rsidRPr="005E745C">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D96F" w14:textId="1D566147" w:rsidR="00AB3DAD" w:rsidRPr="004130E7" w:rsidRDefault="004130E7" w:rsidP="004130E7">
    <w:pPr>
      <w:pStyle w:val="Header"/>
      <w:jc w:val="left"/>
      <w:rPr>
        <w:lang w:eastAsia="zh-CN"/>
      </w:rPr>
    </w:pPr>
    <w:r w:rsidRPr="00AA2081">
      <w:rPr>
        <w:rStyle w:val="PageNumber"/>
      </w:rPr>
      <w:fldChar w:fldCharType="begin"/>
    </w:r>
    <w:r w:rsidRPr="00AA2081">
      <w:rPr>
        <w:rStyle w:val="PageNumber"/>
        <w:lang w:eastAsia="zh-CN"/>
      </w:rPr>
      <w:instrText xml:space="preserve"> PAGE </w:instrText>
    </w:r>
    <w:r w:rsidRPr="00AA2081">
      <w:rPr>
        <w:rStyle w:val="PageNumber"/>
      </w:rPr>
      <w:fldChar w:fldCharType="separate"/>
    </w:r>
    <w:r>
      <w:rPr>
        <w:rStyle w:val="PageNumber"/>
        <w:lang w:eastAsia="zh-CN"/>
      </w:rPr>
      <w:t>5</w:t>
    </w:r>
    <w:r w:rsidRPr="00AA2081">
      <w:rPr>
        <w:rStyle w:val="PageNumber"/>
      </w:rPr>
      <w:fldChar w:fldCharType="end"/>
    </w:r>
    <w:r w:rsidRPr="00AA2081">
      <w:rPr>
        <w:rStyle w:val="PageNumber"/>
        <w:b/>
        <w:lang w:eastAsia="zh-CN"/>
      </w:rPr>
      <w:t xml:space="preserve">  </w:t>
    </w:r>
    <w:r w:rsidRPr="00AA2081">
      <w:rPr>
        <w:rFonts w:cs="Calibri"/>
        <w:b/>
        <w:szCs w:val="18"/>
      </w:rPr>
      <w:fldChar w:fldCharType="begin"/>
    </w:r>
    <w:r w:rsidRPr="00AA2081">
      <w:rPr>
        <w:rFonts w:cs="Calibri"/>
        <w:b/>
        <w:szCs w:val="18"/>
        <w:lang w:eastAsia="zh-CN"/>
      </w:rPr>
      <w:instrText xml:space="preserve"> STYLEREF  "Heading 1"  \* MERGEFORMAT </w:instrText>
    </w:r>
    <w:r w:rsidRPr="00AA2081">
      <w:rPr>
        <w:rFonts w:cs="Calibri"/>
        <w:b/>
        <w:szCs w:val="18"/>
      </w:rPr>
      <w:fldChar w:fldCharType="separate"/>
    </w:r>
    <w:r w:rsidR="00F8602D" w:rsidRPr="00F8602D">
      <w:rPr>
        <w:rFonts w:cs="Calibri" w:hint="eastAsia"/>
        <w:bCs/>
        <w:noProof/>
        <w:szCs w:val="18"/>
        <w:lang w:val="en-US" w:eastAsia="zh-CN"/>
      </w:rPr>
      <w:t>最后审计报告</w:t>
    </w:r>
    <w:r w:rsidRPr="00AA2081">
      <w:rPr>
        <w:rFonts w:cs="Calibri"/>
        <w:b/>
        <w:szCs w:val="18"/>
      </w:rPr>
      <w:fldChar w:fldCharType="end"/>
    </w:r>
    <w:r w:rsidRPr="00AA2081">
      <w:rPr>
        <w:rStyle w:val="PageNumber"/>
        <w:rFonts w:cs="Calibri"/>
        <w:b/>
        <w:lang w:eastAsia="zh-CN"/>
      </w:rPr>
      <w:t xml:space="preserve"> </w:t>
    </w:r>
    <w:r w:rsidRPr="00AA2081">
      <w:rPr>
        <w:rFonts w:cs="Calibri"/>
        <w:szCs w:val="18"/>
      </w:rPr>
      <w:fldChar w:fldCharType="begin"/>
    </w:r>
    <w:r w:rsidRPr="00AA2081">
      <w:rPr>
        <w:rFonts w:cs="Calibri"/>
        <w:szCs w:val="18"/>
        <w:lang w:eastAsia="zh-CN"/>
      </w:rPr>
      <w:instrText xml:space="preserve"> STYLEREF  "zz Report title"  \* MERGEFORMAT </w:instrText>
    </w:r>
    <w:r w:rsidRPr="00AA2081">
      <w:rPr>
        <w:rFonts w:cs="Calibri"/>
        <w:szCs w:val="18"/>
      </w:rPr>
      <w:fldChar w:fldCharType="separate"/>
    </w:r>
    <w:r w:rsidR="00F8602D" w:rsidRPr="00F8602D">
      <w:rPr>
        <w:rFonts w:cs="Calibri" w:hint="eastAsia"/>
        <w:b/>
        <w:bCs/>
        <w:noProof/>
        <w:szCs w:val="18"/>
        <w:lang w:val="en-US" w:eastAsia="zh-CN"/>
      </w:rPr>
      <w:t>外部审计员关于国际电联</w:t>
    </w:r>
    <w:r w:rsidR="00F8602D" w:rsidRPr="00F8602D">
      <w:rPr>
        <w:rFonts w:cs="Calibri" w:hint="eastAsia"/>
        <w:b/>
        <w:bCs/>
        <w:noProof/>
        <w:szCs w:val="18"/>
        <w:lang w:val="en-US" w:eastAsia="zh-CN"/>
      </w:rPr>
      <w:t>2022</w:t>
    </w:r>
    <w:r w:rsidR="00F8602D" w:rsidRPr="00F8602D">
      <w:rPr>
        <w:rFonts w:cs="Calibri" w:hint="eastAsia"/>
        <w:b/>
        <w:bCs/>
        <w:noProof/>
        <w:szCs w:val="18"/>
        <w:lang w:val="en-US" w:eastAsia="zh-CN"/>
      </w:rPr>
      <w:t>年财务报表的报告</w:t>
    </w:r>
    <w:r w:rsidRPr="00AA2081">
      <w:rPr>
        <w:rFonts w:cs="Calibri"/>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FA3" w14:textId="2473F119" w:rsidR="00E24D59" w:rsidRDefault="00A47573" w:rsidP="007D3FF9">
    <w:pPr>
      <w:pStyle w:val="Header"/>
      <w:jc w:val="left"/>
      <w:rPr>
        <w:lang w:eastAsia="zh-CN"/>
      </w:rPr>
    </w:pPr>
    <w:r w:rsidRPr="00AA2081">
      <w:rPr>
        <w:rStyle w:val="PageNumber"/>
      </w:rPr>
      <w:fldChar w:fldCharType="begin"/>
    </w:r>
    <w:r w:rsidRPr="00AA2081">
      <w:rPr>
        <w:rStyle w:val="PageNumber"/>
        <w:lang w:eastAsia="zh-CN"/>
      </w:rPr>
      <w:instrText xml:space="preserve"> PAGE </w:instrText>
    </w:r>
    <w:r w:rsidRPr="00AA2081">
      <w:rPr>
        <w:rStyle w:val="PageNumber"/>
      </w:rPr>
      <w:fldChar w:fldCharType="separate"/>
    </w:r>
    <w:r w:rsidRPr="00AA2081">
      <w:rPr>
        <w:rStyle w:val="PageNumber"/>
        <w:lang w:eastAsia="zh-CN"/>
      </w:rPr>
      <w:t>4</w:t>
    </w:r>
    <w:r w:rsidRPr="00AA2081">
      <w:rPr>
        <w:rStyle w:val="PageNumber"/>
      </w:rPr>
      <w:fldChar w:fldCharType="end"/>
    </w:r>
    <w:r w:rsidRPr="00AA2081">
      <w:rPr>
        <w:rStyle w:val="PageNumber"/>
        <w:b/>
        <w:lang w:eastAsia="zh-CN"/>
      </w:rPr>
      <w:t xml:space="preserve">  </w:t>
    </w:r>
    <w:r w:rsidRPr="00AA2081">
      <w:rPr>
        <w:rFonts w:cs="Calibri"/>
        <w:b/>
        <w:szCs w:val="18"/>
      </w:rPr>
      <w:fldChar w:fldCharType="begin"/>
    </w:r>
    <w:r w:rsidRPr="00AA2081">
      <w:rPr>
        <w:rFonts w:cs="Calibri"/>
        <w:b/>
        <w:szCs w:val="18"/>
        <w:lang w:eastAsia="zh-CN"/>
      </w:rPr>
      <w:instrText xml:space="preserve"> STYLEREF  "Heading 1"  \* MERGEFORMAT </w:instrText>
    </w:r>
    <w:r w:rsidRPr="00AA2081">
      <w:rPr>
        <w:rFonts w:cs="Calibri"/>
        <w:b/>
        <w:szCs w:val="18"/>
      </w:rPr>
      <w:fldChar w:fldCharType="separate"/>
    </w:r>
    <w:r w:rsidR="00F8602D" w:rsidRPr="00F8602D">
      <w:rPr>
        <w:rFonts w:cs="Calibri" w:hint="eastAsia"/>
        <w:bCs/>
        <w:noProof/>
        <w:szCs w:val="18"/>
        <w:lang w:val="en-US" w:eastAsia="zh-CN"/>
      </w:rPr>
      <w:t>最后审计报告</w:t>
    </w:r>
    <w:r w:rsidRPr="00AA2081">
      <w:rPr>
        <w:rFonts w:cs="Calibri"/>
        <w:b/>
        <w:szCs w:val="18"/>
      </w:rPr>
      <w:fldChar w:fldCharType="end"/>
    </w:r>
    <w:r w:rsidRPr="00AA2081">
      <w:rPr>
        <w:rStyle w:val="PageNumber"/>
        <w:rFonts w:cs="Calibri"/>
        <w:b/>
        <w:lang w:eastAsia="zh-CN"/>
      </w:rPr>
      <w:t xml:space="preserve"> </w:t>
    </w:r>
    <w:r w:rsidRPr="00AA2081">
      <w:rPr>
        <w:rFonts w:cs="Calibri"/>
        <w:szCs w:val="18"/>
      </w:rPr>
      <w:fldChar w:fldCharType="begin"/>
    </w:r>
    <w:r w:rsidRPr="00AA2081">
      <w:rPr>
        <w:rFonts w:cs="Calibri"/>
        <w:szCs w:val="18"/>
        <w:lang w:eastAsia="zh-CN"/>
      </w:rPr>
      <w:instrText xml:space="preserve"> STYLEREF  "zz Report title"  \* MERGEFORMAT </w:instrText>
    </w:r>
    <w:r w:rsidRPr="00AA2081">
      <w:rPr>
        <w:rFonts w:cs="Calibri"/>
        <w:szCs w:val="18"/>
      </w:rPr>
      <w:fldChar w:fldCharType="separate"/>
    </w:r>
    <w:r w:rsidR="00F8602D" w:rsidRPr="00F8602D">
      <w:rPr>
        <w:rFonts w:cs="Calibri" w:hint="eastAsia"/>
        <w:b/>
        <w:bCs/>
        <w:noProof/>
        <w:szCs w:val="18"/>
        <w:lang w:val="en-US" w:eastAsia="zh-CN"/>
      </w:rPr>
      <w:t>外部审计员关于国际电联</w:t>
    </w:r>
    <w:r w:rsidR="00F8602D" w:rsidRPr="00F8602D">
      <w:rPr>
        <w:rFonts w:cs="Calibri" w:hint="eastAsia"/>
        <w:b/>
        <w:bCs/>
        <w:noProof/>
        <w:szCs w:val="18"/>
        <w:lang w:val="en-US" w:eastAsia="zh-CN"/>
      </w:rPr>
      <w:t>2022</w:t>
    </w:r>
    <w:r w:rsidR="00F8602D" w:rsidRPr="00F8602D">
      <w:rPr>
        <w:rFonts w:cs="Calibri" w:hint="eastAsia"/>
        <w:b/>
        <w:bCs/>
        <w:noProof/>
        <w:szCs w:val="18"/>
        <w:lang w:val="en-US" w:eastAsia="zh-CN"/>
      </w:rPr>
      <w:t>年财务报表的报告</w:t>
    </w:r>
    <w:r w:rsidRPr="00AA2081">
      <w:rPr>
        <w:rFonts w:cs="Calibri"/>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cs="Times New Roman" w:hint="default"/>
        <w:b/>
        <w:i w:val="0"/>
        <w:color w:val="00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cs="Times New Roman" w:hint="default"/>
        <w:b/>
        <w:i w:val="0"/>
        <w:color w:val="00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1166627098">
    <w:abstractNumId w:val="1"/>
  </w:num>
  <w:num w:numId="9" w16cid:durableId="1170295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48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02B3"/>
    <w:rsid w:val="000251A2"/>
    <w:rsid w:val="00025C10"/>
    <w:rsid w:val="00031E72"/>
    <w:rsid w:val="000404D2"/>
    <w:rsid w:val="000417FD"/>
    <w:rsid w:val="00046AD5"/>
    <w:rsid w:val="00054646"/>
    <w:rsid w:val="00055B3C"/>
    <w:rsid w:val="000853C0"/>
    <w:rsid w:val="0009409E"/>
    <w:rsid w:val="00097F84"/>
    <w:rsid w:val="000A1C21"/>
    <w:rsid w:val="000C0BC5"/>
    <w:rsid w:val="000D15EA"/>
    <w:rsid w:val="000D3108"/>
    <w:rsid w:val="000D46A1"/>
    <w:rsid w:val="000D570D"/>
    <w:rsid w:val="00100D84"/>
    <w:rsid w:val="00124C9D"/>
    <w:rsid w:val="001419C8"/>
    <w:rsid w:val="00157773"/>
    <w:rsid w:val="00157CC4"/>
    <w:rsid w:val="0016087D"/>
    <w:rsid w:val="00164456"/>
    <w:rsid w:val="00181154"/>
    <w:rsid w:val="0018251A"/>
    <w:rsid w:val="00190272"/>
    <w:rsid w:val="00193244"/>
    <w:rsid w:val="00195C6C"/>
    <w:rsid w:val="00195FED"/>
    <w:rsid w:val="001A2787"/>
    <w:rsid w:val="001A4BD6"/>
    <w:rsid w:val="001D5A18"/>
    <w:rsid w:val="001F3D8E"/>
    <w:rsid w:val="001F59A6"/>
    <w:rsid w:val="00207670"/>
    <w:rsid w:val="00224449"/>
    <w:rsid w:val="00231B0E"/>
    <w:rsid w:val="0023535C"/>
    <w:rsid w:val="002430A2"/>
    <w:rsid w:val="00252D7B"/>
    <w:rsid w:val="00280EB8"/>
    <w:rsid w:val="002959D6"/>
    <w:rsid w:val="002A6670"/>
    <w:rsid w:val="002C0F04"/>
    <w:rsid w:val="002D673C"/>
    <w:rsid w:val="002E31C4"/>
    <w:rsid w:val="002E3723"/>
    <w:rsid w:val="002E5860"/>
    <w:rsid w:val="002F5D1B"/>
    <w:rsid w:val="0030041B"/>
    <w:rsid w:val="00303502"/>
    <w:rsid w:val="00325C25"/>
    <w:rsid w:val="003410C5"/>
    <w:rsid w:val="00367468"/>
    <w:rsid w:val="00372C8F"/>
    <w:rsid w:val="00380ECE"/>
    <w:rsid w:val="003867DE"/>
    <w:rsid w:val="00390F61"/>
    <w:rsid w:val="00393DDF"/>
    <w:rsid w:val="00397F55"/>
    <w:rsid w:val="003A6E20"/>
    <w:rsid w:val="003B4454"/>
    <w:rsid w:val="003C0ED8"/>
    <w:rsid w:val="003C2E37"/>
    <w:rsid w:val="003F1415"/>
    <w:rsid w:val="0040144C"/>
    <w:rsid w:val="0040173E"/>
    <w:rsid w:val="00403368"/>
    <w:rsid w:val="00403EB7"/>
    <w:rsid w:val="00411B6E"/>
    <w:rsid w:val="004130E7"/>
    <w:rsid w:val="00430BF0"/>
    <w:rsid w:val="004373B4"/>
    <w:rsid w:val="004672E6"/>
    <w:rsid w:val="00474ED1"/>
    <w:rsid w:val="0047690C"/>
    <w:rsid w:val="004854E8"/>
    <w:rsid w:val="00493085"/>
    <w:rsid w:val="004945DA"/>
    <w:rsid w:val="004A36EC"/>
    <w:rsid w:val="004D163F"/>
    <w:rsid w:val="004D7899"/>
    <w:rsid w:val="004E4BFF"/>
    <w:rsid w:val="004F2598"/>
    <w:rsid w:val="004F2F59"/>
    <w:rsid w:val="00530F60"/>
    <w:rsid w:val="005403F7"/>
    <w:rsid w:val="00540632"/>
    <w:rsid w:val="0054190A"/>
    <w:rsid w:val="00541CF4"/>
    <w:rsid w:val="005451E8"/>
    <w:rsid w:val="005507F2"/>
    <w:rsid w:val="005707D9"/>
    <w:rsid w:val="005759CC"/>
    <w:rsid w:val="005A72E1"/>
    <w:rsid w:val="005C6632"/>
    <w:rsid w:val="005D1C9E"/>
    <w:rsid w:val="00630DD5"/>
    <w:rsid w:val="006320BB"/>
    <w:rsid w:val="00634D7F"/>
    <w:rsid w:val="00654257"/>
    <w:rsid w:val="0065435A"/>
    <w:rsid w:val="006A2DD3"/>
    <w:rsid w:val="006A2EED"/>
    <w:rsid w:val="006A4A34"/>
    <w:rsid w:val="006A5AF8"/>
    <w:rsid w:val="006C36CD"/>
    <w:rsid w:val="006D6839"/>
    <w:rsid w:val="006D7F63"/>
    <w:rsid w:val="00700D1F"/>
    <w:rsid w:val="007205CB"/>
    <w:rsid w:val="00726073"/>
    <w:rsid w:val="00734FE8"/>
    <w:rsid w:val="007360CE"/>
    <w:rsid w:val="007454FA"/>
    <w:rsid w:val="00751FFE"/>
    <w:rsid w:val="007670B0"/>
    <w:rsid w:val="00772315"/>
    <w:rsid w:val="00775157"/>
    <w:rsid w:val="007813AE"/>
    <w:rsid w:val="007A37DB"/>
    <w:rsid w:val="007D3FF9"/>
    <w:rsid w:val="007E189D"/>
    <w:rsid w:val="007F0210"/>
    <w:rsid w:val="007F3937"/>
    <w:rsid w:val="008046DE"/>
    <w:rsid w:val="00806E3F"/>
    <w:rsid w:val="00811259"/>
    <w:rsid w:val="00813AA2"/>
    <w:rsid w:val="008173A3"/>
    <w:rsid w:val="008418F5"/>
    <w:rsid w:val="0086059C"/>
    <w:rsid w:val="00864589"/>
    <w:rsid w:val="00867AAD"/>
    <w:rsid w:val="00874C82"/>
    <w:rsid w:val="00882A08"/>
    <w:rsid w:val="00890AFB"/>
    <w:rsid w:val="00890FC4"/>
    <w:rsid w:val="00895905"/>
    <w:rsid w:val="008A7C17"/>
    <w:rsid w:val="008E6B38"/>
    <w:rsid w:val="008F64AD"/>
    <w:rsid w:val="00900BB0"/>
    <w:rsid w:val="00901DB1"/>
    <w:rsid w:val="00911867"/>
    <w:rsid w:val="009164A9"/>
    <w:rsid w:val="009258CB"/>
    <w:rsid w:val="0093362E"/>
    <w:rsid w:val="00944563"/>
    <w:rsid w:val="00953160"/>
    <w:rsid w:val="009625D8"/>
    <w:rsid w:val="00964268"/>
    <w:rsid w:val="0098459B"/>
    <w:rsid w:val="009962FB"/>
    <w:rsid w:val="00997185"/>
    <w:rsid w:val="009B5E72"/>
    <w:rsid w:val="009C2458"/>
    <w:rsid w:val="009C4A7B"/>
    <w:rsid w:val="009C6123"/>
    <w:rsid w:val="009D23BF"/>
    <w:rsid w:val="009E5657"/>
    <w:rsid w:val="009F1E3E"/>
    <w:rsid w:val="00A066D8"/>
    <w:rsid w:val="00A1213C"/>
    <w:rsid w:val="00A272FF"/>
    <w:rsid w:val="00A357CD"/>
    <w:rsid w:val="00A47573"/>
    <w:rsid w:val="00A5278A"/>
    <w:rsid w:val="00A5354B"/>
    <w:rsid w:val="00A71B57"/>
    <w:rsid w:val="00AA2081"/>
    <w:rsid w:val="00AB34CB"/>
    <w:rsid w:val="00AB3DAD"/>
    <w:rsid w:val="00AB42C1"/>
    <w:rsid w:val="00AC2D12"/>
    <w:rsid w:val="00AC516F"/>
    <w:rsid w:val="00AE195F"/>
    <w:rsid w:val="00AE2926"/>
    <w:rsid w:val="00AE2DA9"/>
    <w:rsid w:val="00AE4C68"/>
    <w:rsid w:val="00B0184B"/>
    <w:rsid w:val="00B035CD"/>
    <w:rsid w:val="00B0769D"/>
    <w:rsid w:val="00B118CF"/>
    <w:rsid w:val="00B20DF0"/>
    <w:rsid w:val="00B217F8"/>
    <w:rsid w:val="00B332EA"/>
    <w:rsid w:val="00B367B5"/>
    <w:rsid w:val="00B40A53"/>
    <w:rsid w:val="00B45365"/>
    <w:rsid w:val="00B46A65"/>
    <w:rsid w:val="00B578DE"/>
    <w:rsid w:val="00B60184"/>
    <w:rsid w:val="00B62D20"/>
    <w:rsid w:val="00B6300F"/>
    <w:rsid w:val="00B81E75"/>
    <w:rsid w:val="00B922F4"/>
    <w:rsid w:val="00B93453"/>
    <w:rsid w:val="00BB0F81"/>
    <w:rsid w:val="00BD0954"/>
    <w:rsid w:val="00BD1148"/>
    <w:rsid w:val="00BD1A5A"/>
    <w:rsid w:val="00BD7A9B"/>
    <w:rsid w:val="00BD7BE1"/>
    <w:rsid w:val="00BE6200"/>
    <w:rsid w:val="00BF416B"/>
    <w:rsid w:val="00C45EB2"/>
    <w:rsid w:val="00C464C1"/>
    <w:rsid w:val="00C52636"/>
    <w:rsid w:val="00C54DE0"/>
    <w:rsid w:val="00C64E4E"/>
    <w:rsid w:val="00C66E64"/>
    <w:rsid w:val="00C70C53"/>
    <w:rsid w:val="00C717DC"/>
    <w:rsid w:val="00C761A0"/>
    <w:rsid w:val="00C85F7E"/>
    <w:rsid w:val="00C903F8"/>
    <w:rsid w:val="00C90D53"/>
    <w:rsid w:val="00CA0B2E"/>
    <w:rsid w:val="00CA2164"/>
    <w:rsid w:val="00CA588E"/>
    <w:rsid w:val="00CA6EF7"/>
    <w:rsid w:val="00CC5659"/>
    <w:rsid w:val="00CD47F0"/>
    <w:rsid w:val="00CD5566"/>
    <w:rsid w:val="00CD64D7"/>
    <w:rsid w:val="00CE4ACD"/>
    <w:rsid w:val="00CE6F22"/>
    <w:rsid w:val="00CF41F6"/>
    <w:rsid w:val="00CF7D3E"/>
    <w:rsid w:val="00D02B4E"/>
    <w:rsid w:val="00D21F11"/>
    <w:rsid w:val="00D251A5"/>
    <w:rsid w:val="00D36817"/>
    <w:rsid w:val="00D453EE"/>
    <w:rsid w:val="00D5666C"/>
    <w:rsid w:val="00D666BC"/>
    <w:rsid w:val="00D83542"/>
    <w:rsid w:val="00D86CC6"/>
    <w:rsid w:val="00D92F45"/>
    <w:rsid w:val="00D94637"/>
    <w:rsid w:val="00D9725C"/>
    <w:rsid w:val="00DA7006"/>
    <w:rsid w:val="00DB3621"/>
    <w:rsid w:val="00DC6427"/>
    <w:rsid w:val="00DD51EC"/>
    <w:rsid w:val="00DD56D7"/>
    <w:rsid w:val="00DD62F5"/>
    <w:rsid w:val="00DD66A1"/>
    <w:rsid w:val="00DE196D"/>
    <w:rsid w:val="00DF6B49"/>
    <w:rsid w:val="00E067C5"/>
    <w:rsid w:val="00E24D59"/>
    <w:rsid w:val="00E265BF"/>
    <w:rsid w:val="00E378D8"/>
    <w:rsid w:val="00E43A12"/>
    <w:rsid w:val="00E6056C"/>
    <w:rsid w:val="00E67C67"/>
    <w:rsid w:val="00E761ED"/>
    <w:rsid w:val="00E77476"/>
    <w:rsid w:val="00E77BD4"/>
    <w:rsid w:val="00E8228B"/>
    <w:rsid w:val="00EB039C"/>
    <w:rsid w:val="00EE5706"/>
    <w:rsid w:val="00EF373D"/>
    <w:rsid w:val="00F11595"/>
    <w:rsid w:val="00F13BC9"/>
    <w:rsid w:val="00F357B2"/>
    <w:rsid w:val="00F36556"/>
    <w:rsid w:val="00F47629"/>
    <w:rsid w:val="00F66F88"/>
    <w:rsid w:val="00F705DF"/>
    <w:rsid w:val="00F70622"/>
    <w:rsid w:val="00F75C6C"/>
    <w:rsid w:val="00F828AE"/>
    <w:rsid w:val="00F85624"/>
    <w:rsid w:val="00F8602D"/>
    <w:rsid w:val="00F87C05"/>
    <w:rsid w:val="00F93191"/>
    <w:rsid w:val="00F93A17"/>
    <w:rsid w:val="00FA2AF6"/>
    <w:rsid w:val="00FB073D"/>
    <w:rsid w:val="00FB36A7"/>
    <w:rsid w:val="00FB771F"/>
    <w:rsid w:val="00FC5386"/>
    <w:rsid w:val="00FD55D1"/>
    <w:rsid w:val="00FE4E9F"/>
    <w:rsid w:val="00FF4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semiHidden/>
    <w:rsid w:val="006C36CD"/>
    <w:rPr>
      <w:position w:val="6"/>
      <w:sz w:val="18"/>
    </w:rPr>
  </w:style>
  <w:style w:type="paragraph" w:styleId="FootnoteText">
    <w:name w:val="footnote text"/>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Caption">
    <w:name w:val="caption"/>
    <w:basedOn w:val="Normal"/>
    <w:next w:val="Normal"/>
    <w:uiPriority w:val="35"/>
    <w:semiHidden/>
    <w:unhideWhenUsed/>
    <w:qFormat/>
    <w:rsid w:val="00046AD5"/>
    <w:pPr>
      <w:widowControl w:val="0"/>
      <w:tabs>
        <w:tab w:val="clear" w:pos="794"/>
        <w:tab w:val="clear" w:pos="1191"/>
        <w:tab w:val="clear" w:pos="1588"/>
        <w:tab w:val="clear" w:pos="1985"/>
      </w:tabs>
      <w:overflowPunct/>
      <w:autoSpaceDE/>
      <w:autoSpaceDN/>
      <w:spacing w:before="0" w:after="120" w:line="276" w:lineRule="auto"/>
      <w:textAlignment w:val="auto"/>
    </w:pPr>
    <w:rPr>
      <w:rFonts w:ascii="Arial" w:eastAsia="Times New Roman" w:hAnsi="Arial" w:cs="Arial"/>
      <w:b/>
      <w:bCs/>
      <w:sz w:val="20"/>
    </w:rPr>
  </w:style>
  <w:style w:type="paragraph" w:styleId="BodyText">
    <w:name w:val="Body Text"/>
    <w:basedOn w:val="Normal"/>
    <w:link w:val="BodyTextChar"/>
    <w:semiHidden/>
    <w:unhideWhenUsed/>
    <w:qFormat/>
    <w:rsid w:val="00046AD5"/>
    <w:pPr>
      <w:widowControl w:val="0"/>
      <w:tabs>
        <w:tab w:val="clear" w:pos="794"/>
        <w:tab w:val="clear" w:pos="1191"/>
        <w:tab w:val="clear" w:pos="1588"/>
        <w:tab w:val="clear" w:pos="1985"/>
      </w:tabs>
      <w:overflowPunct/>
      <w:autoSpaceDE/>
      <w:autoSpaceDN/>
      <w:spacing w:before="0" w:after="120" w:line="276" w:lineRule="auto"/>
      <w:textAlignment w:val="auto"/>
    </w:pPr>
    <w:rPr>
      <w:rFonts w:ascii="Arial" w:eastAsia="Times New Roman" w:hAnsi="Arial" w:cs="Arial"/>
      <w:sz w:val="20"/>
      <w:szCs w:val="24"/>
    </w:rPr>
  </w:style>
  <w:style w:type="character" w:customStyle="1" w:styleId="BodyTextChar">
    <w:name w:val="Body Text Char"/>
    <w:basedOn w:val="DefaultParagraphFont"/>
    <w:link w:val="BodyText"/>
    <w:semiHidden/>
    <w:rsid w:val="00046AD5"/>
    <w:rPr>
      <w:rFonts w:ascii="Arial" w:eastAsia="Times New Roman" w:hAnsi="Arial" w:cs="Arial"/>
      <w:szCs w:val="24"/>
      <w:lang w:val="en-GB" w:eastAsia="en-US"/>
    </w:rPr>
  </w:style>
  <w:style w:type="character" w:customStyle="1" w:styleId="BodyTextChar0">
    <w:name w:val="BodyText Char"/>
    <w:link w:val="BodyText0"/>
    <w:locked/>
    <w:rsid w:val="00046AD5"/>
    <w:rPr>
      <w:rFonts w:ascii="Arial" w:hAnsi="Arial" w:cs="Arial"/>
      <w:color w:val="000000"/>
      <w:lang w:eastAsia="en-US"/>
    </w:rPr>
  </w:style>
  <w:style w:type="paragraph" w:customStyle="1" w:styleId="BodyText0">
    <w:name w:val="BodyText"/>
    <w:link w:val="BodyTextChar0"/>
    <w:rsid w:val="00046AD5"/>
    <w:pPr>
      <w:tabs>
        <w:tab w:val="left" w:pos="1080"/>
      </w:tabs>
      <w:adjustRightInd w:val="0"/>
      <w:spacing w:after="170" w:line="280" w:lineRule="exact"/>
    </w:pPr>
    <w:rPr>
      <w:rFonts w:ascii="Arial" w:hAnsi="Arial" w:cs="Arial"/>
      <w:color w:val="000000"/>
      <w:lang w:eastAsia="en-US"/>
    </w:rPr>
  </w:style>
  <w:style w:type="paragraph" w:customStyle="1" w:styleId="Bullet">
    <w:name w:val="Bullet"/>
    <w:uiPriority w:val="5"/>
    <w:qFormat/>
    <w:rsid w:val="00046AD5"/>
    <w:pPr>
      <w:widowControl w:val="0"/>
      <w:numPr>
        <w:numId w:val="8"/>
      </w:numPr>
      <w:adjustRightInd w:val="0"/>
      <w:spacing w:after="170" w:line="280" w:lineRule="exact"/>
    </w:pPr>
    <w:rPr>
      <w:rFonts w:ascii="Arial" w:eastAsia="Times New Roman" w:hAnsi="Arial" w:cs="Arial"/>
      <w:color w:val="000000"/>
      <w:lang w:val="en-GB" w:eastAsia="en-US"/>
    </w:rPr>
  </w:style>
  <w:style w:type="character" w:customStyle="1" w:styleId="imageChar">
    <w:name w:val="image Char"/>
    <w:link w:val="image"/>
    <w:locked/>
    <w:rsid w:val="00046AD5"/>
    <w:rPr>
      <w:rFonts w:ascii="Arial" w:hAnsi="Arial" w:cs="Arial"/>
      <w:color w:val="FF0000"/>
      <w:lang w:eastAsia="en-US"/>
    </w:rPr>
  </w:style>
  <w:style w:type="paragraph" w:customStyle="1" w:styleId="image">
    <w:name w:val="image"/>
    <w:next w:val="BodyText0"/>
    <w:link w:val="imageChar"/>
    <w:rsid w:val="00046AD5"/>
    <w:pPr>
      <w:keepNext/>
      <w:widowControl w:val="0"/>
      <w:adjustRightInd w:val="0"/>
      <w:spacing w:after="120" w:line="360" w:lineRule="atLeast"/>
    </w:pPr>
    <w:rPr>
      <w:rFonts w:ascii="Arial" w:hAnsi="Arial" w:cs="Arial"/>
      <w:color w:val="FF0000"/>
      <w:lang w:eastAsia="en-US"/>
    </w:rPr>
  </w:style>
  <w:style w:type="character" w:customStyle="1" w:styleId="Number1Char">
    <w:name w:val="Number 1 Char"/>
    <w:link w:val="Number1"/>
    <w:uiPriority w:val="2"/>
    <w:locked/>
    <w:rsid w:val="00046AD5"/>
    <w:rPr>
      <w:rFonts w:ascii="Arial" w:hAnsi="Arial" w:cs="Arial"/>
      <w:color w:val="000000"/>
      <w:szCs w:val="24"/>
      <w:lang w:eastAsia="en-US"/>
    </w:rPr>
  </w:style>
  <w:style w:type="paragraph" w:customStyle="1" w:styleId="Number1">
    <w:name w:val="Number 1"/>
    <w:link w:val="Number1Char"/>
    <w:uiPriority w:val="2"/>
    <w:qFormat/>
    <w:rsid w:val="00046AD5"/>
    <w:pPr>
      <w:numPr>
        <w:numId w:val="9"/>
      </w:numPr>
      <w:tabs>
        <w:tab w:val="left" w:pos="454"/>
      </w:tabs>
      <w:adjustRightInd w:val="0"/>
      <w:spacing w:before="120" w:after="170" w:line="280" w:lineRule="exact"/>
    </w:pPr>
    <w:rPr>
      <w:rFonts w:ascii="Arial" w:hAnsi="Arial" w:cs="Arial"/>
      <w:color w:val="000000"/>
      <w:szCs w:val="24"/>
      <w:lang w:eastAsia="en-US"/>
    </w:rPr>
  </w:style>
  <w:style w:type="paragraph" w:customStyle="1" w:styleId="zzDoNotRemove">
    <w:name w:val="zz Do Not Remove"/>
    <w:basedOn w:val="Normal"/>
    <w:rsid w:val="00046AD5"/>
    <w:pPr>
      <w:pBdr>
        <w:top w:val="single" w:sz="4" w:space="9" w:color="auto"/>
      </w:pBdr>
      <w:tabs>
        <w:tab w:val="clear" w:pos="794"/>
        <w:tab w:val="clear" w:pos="1191"/>
        <w:tab w:val="clear" w:pos="1588"/>
        <w:tab w:val="clear" w:pos="1985"/>
      </w:tabs>
      <w:overflowPunct/>
      <w:autoSpaceDE/>
      <w:autoSpaceDN/>
      <w:adjustRightInd/>
      <w:spacing w:before="0" w:after="170" w:line="320" w:lineRule="exact"/>
      <w:textAlignment w:val="auto"/>
    </w:pPr>
    <w:rPr>
      <w:rFonts w:ascii="Arial" w:eastAsia="Times New Roman" w:hAnsi="Arial" w:cs="Arial"/>
      <w:sz w:val="20"/>
      <w:lang w:eastAsia="en-GB"/>
    </w:rPr>
  </w:style>
  <w:style w:type="paragraph" w:customStyle="1" w:styleId="HeaderzzContents">
    <w:name w:val="Header zz Contents"/>
    <w:rsid w:val="00046AD5"/>
    <w:pPr>
      <w:widowControl w:val="0"/>
      <w:adjustRightInd w:val="0"/>
      <w:spacing w:after="480" w:line="360" w:lineRule="atLeast"/>
      <w:jc w:val="both"/>
    </w:pPr>
    <w:rPr>
      <w:rFonts w:ascii="Arial" w:eastAsia="Times New Roman" w:hAnsi="Arial" w:cs="HelveticaNeue-Light"/>
      <w:color w:val="000000"/>
      <w:spacing w:val="-6"/>
      <w:sz w:val="48"/>
      <w:szCs w:val="56"/>
      <w:lang w:val="en-GB" w:eastAsia="en-US"/>
    </w:rPr>
  </w:style>
  <w:style w:type="paragraph" w:customStyle="1" w:styleId="zz">
    <w:name w:val="zz"/>
    <w:rsid w:val="00046AD5"/>
    <w:pPr>
      <w:spacing w:after="120" w:line="480" w:lineRule="exact"/>
    </w:pPr>
    <w:rPr>
      <w:rFonts w:ascii="Arial" w:eastAsia="Times New Roman" w:hAnsi="Arial" w:cs="Arial"/>
      <w:sz w:val="36"/>
      <w:szCs w:val="40"/>
      <w:lang w:val="en-GB" w:eastAsia="en-GB"/>
    </w:rPr>
  </w:style>
  <w:style w:type="paragraph" w:customStyle="1" w:styleId="zzDocType">
    <w:name w:val="zzDocType"/>
    <w:basedOn w:val="Normal"/>
    <w:rsid w:val="00046AD5"/>
    <w:pPr>
      <w:tabs>
        <w:tab w:val="clear" w:pos="794"/>
        <w:tab w:val="clear" w:pos="1191"/>
        <w:tab w:val="clear" w:pos="1588"/>
        <w:tab w:val="clear" w:pos="1985"/>
      </w:tabs>
      <w:overflowPunct/>
      <w:autoSpaceDE/>
      <w:autoSpaceDN/>
      <w:adjustRightInd/>
      <w:spacing w:after="120" w:line="240" w:lineRule="exact"/>
      <w:textAlignment w:val="auto"/>
    </w:pPr>
    <w:rPr>
      <w:rFonts w:ascii="Arial" w:eastAsia="Times New Roman" w:hAnsi="Arial"/>
      <w:b/>
      <w:sz w:val="20"/>
      <w:szCs w:val="24"/>
      <w:lang w:eastAsia="en-GB"/>
    </w:rPr>
  </w:style>
  <w:style w:type="paragraph" w:customStyle="1" w:styleId="zzReporttitle">
    <w:name w:val="zz Report title"/>
    <w:basedOn w:val="Normal"/>
    <w:rsid w:val="00046AD5"/>
    <w:pPr>
      <w:keepNext/>
      <w:widowControl w:val="0"/>
      <w:tabs>
        <w:tab w:val="clear" w:pos="794"/>
        <w:tab w:val="clear" w:pos="1191"/>
        <w:tab w:val="clear" w:pos="1588"/>
        <w:tab w:val="clear" w:pos="1985"/>
      </w:tabs>
      <w:overflowPunct/>
      <w:autoSpaceDE/>
      <w:autoSpaceDN/>
      <w:spacing w:before="200" w:after="200" w:line="560" w:lineRule="exact"/>
      <w:textAlignment w:val="auto"/>
    </w:pPr>
    <w:rPr>
      <w:rFonts w:ascii="Arial" w:eastAsia="Times New Roman" w:hAnsi="Arial" w:cs="HelveticaNeue-Light"/>
      <w:color w:val="000000"/>
      <w:spacing w:val="-6"/>
      <w:sz w:val="48"/>
      <w:szCs w:val="56"/>
      <w:lang w:eastAsia="en-GB"/>
    </w:rPr>
  </w:style>
  <w:style w:type="paragraph" w:customStyle="1" w:styleId="FigureSource">
    <w:name w:val="Figure Source"/>
    <w:uiPriority w:val="21"/>
    <w:qFormat/>
    <w:rsid w:val="00046AD5"/>
    <w:pPr>
      <w:spacing w:before="60" w:after="40" w:line="180" w:lineRule="exact"/>
    </w:pPr>
    <w:rPr>
      <w:rFonts w:ascii="Arial" w:eastAsia="Times New Roman" w:hAnsi="Arial"/>
      <w:sz w:val="14"/>
      <w:szCs w:val="16"/>
      <w:lang w:val="en-GB" w:eastAsia="en-GB"/>
    </w:rPr>
  </w:style>
  <w:style w:type="character" w:customStyle="1" w:styleId="FiguretextChar">
    <w:name w:val="Figure text Char"/>
    <w:link w:val="Figuretext"/>
    <w:uiPriority w:val="20"/>
    <w:locked/>
    <w:rsid w:val="00046AD5"/>
    <w:rPr>
      <w:rFonts w:ascii="Arial" w:hAnsi="Arial" w:cs="Arial"/>
      <w:color w:val="000000"/>
      <w:sz w:val="16"/>
      <w:szCs w:val="16"/>
    </w:rPr>
  </w:style>
  <w:style w:type="paragraph" w:customStyle="1" w:styleId="Figuretext">
    <w:name w:val="Figure text"/>
    <w:basedOn w:val="Normal"/>
    <w:link w:val="FiguretextChar"/>
    <w:uiPriority w:val="20"/>
    <w:qFormat/>
    <w:rsid w:val="00046AD5"/>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s="Arial"/>
      <w:color w:val="000000"/>
      <w:sz w:val="16"/>
      <w:szCs w:val="16"/>
      <w:lang w:val="en-US" w:eastAsia="zh-CN"/>
    </w:rPr>
  </w:style>
  <w:style w:type="paragraph" w:customStyle="1" w:styleId="ColumnHeading">
    <w:name w:val="Column Heading"/>
    <w:basedOn w:val="Normal"/>
    <w:uiPriority w:val="19"/>
    <w:qFormat/>
    <w:rsid w:val="00046AD5"/>
    <w:pPr>
      <w:tabs>
        <w:tab w:val="clear" w:pos="794"/>
        <w:tab w:val="clear" w:pos="1191"/>
        <w:tab w:val="clear" w:pos="1588"/>
        <w:tab w:val="clear" w:pos="1985"/>
      </w:tabs>
      <w:overflowPunct/>
      <w:autoSpaceDE/>
      <w:autoSpaceDN/>
      <w:adjustRightInd/>
      <w:spacing w:after="120" w:line="220" w:lineRule="exact"/>
      <w:textAlignment w:val="auto"/>
    </w:pPr>
    <w:rPr>
      <w:rFonts w:ascii="Arial" w:eastAsia="Times New Roman" w:hAnsi="Arial"/>
      <w:b/>
      <w:color w:val="000000"/>
      <w:sz w:val="16"/>
      <w:szCs w:val="16"/>
      <w:lang w:eastAsia="en-GB"/>
    </w:rPr>
  </w:style>
  <w:style w:type="paragraph" w:customStyle="1" w:styleId="zzDepartmentname">
    <w:name w:val="zz Department name"/>
    <w:rsid w:val="00046AD5"/>
    <w:pPr>
      <w:pBdr>
        <w:top w:val="single" w:sz="4" w:space="1" w:color="auto"/>
      </w:pBdr>
      <w:spacing w:before="4000" w:after="120" w:line="276" w:lineRule="auto"/>
    </w:pPr>
    <w:rPr>
      <w:rFonts w:ascii="Arial" w:eastAsia="Times New Roman" w:hAnsi="Arial" w:cs="Arial"/>
      <w:b/>
      <w:position w:val="-36"/>
      <w:sz w:val="28"/>
      <w:szCs w:val="28"/>
      <w:lang w:val="en-GB" w:eastAsia="en-GB"/>
    </w:rPr>
  </w:style>
  <w:style w:type="paragraph" w:customStyle="1" w:styleId="KeyFactsStatisticSmall">
    <w:name w:val="Key Facts Statistic Small"/>
    <w:basedOn w:val="BodyText"/>
    <w:qFormat/>
    <w:rsid w:val="00046AD5"/>
    <w:pPr>
      <w:spacing w:before="60" w:after="60" w:line="280" w:lineRule="exact"/>
    </w:pPr>
    <w:rPr>
      <w:b/>
      <w:color w:val="000000"/>
    </w:rPr>
  </w:style>
  <w:style w:type="character" w:customStyle="1" w:styleId="Italic">
    <w:name w:val="Italic"/>
    <w:rsid w:val="00046AD5"/>
    <w:rPr>
      <w:i/>
      <w:iCs/>
    </w:rPr>
  </w:style>
  <w:style w:type="character" w:customStyle="1" w:styleId="Bold">
    <w:name w:val="Bold"/>
    <w:uiPriority w:val="3"/>
    <w:qFormat/>
    <w:rsid w:val="00046AD5"/>
    <w:rPr>
      <w:b/>
      <w:bCs/>
    </w:rPr>
  </w:style>
  <w:style w:type="paragraph" w:customStyle="1" w:styleId="MainTextNumbered">
    <w:name w:val="MainText Numbered"/>
    <w:basedOn w:val="Number1"/>
    <w:qFormat/>
    <w:rsid w:val="00046AD5"/>
    <w:pPr>
      <w:numPr>
        <w:numId w:val="10"/>
      </w:numPr>
      <w:tabs>
        <w:tab w:val="clear" w:pos="0"/>
        <w:tab w:val="num" w:pos="360"/>
        <w:tab w:val="num" w:pos="1080"/>
      </w:tabs>
      <w:ind w:left="1080" w:hanging="360"/>
    </w:pPr>
    <w:rPr>
      <w:rFonts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25651379">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18-PDF-E.pdf"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2</TotalTime>
  <Pages>14</Pages>
  <Words>9813</Words>
  <Characters>1659</Characters>
  <Application>Microsoft Office Word</Application>
  <DocSecurity>4</DocSecurity>
  <Lines>13</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11450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2</cp:revision>
  <cp:lastPrinted>2015-02-24T13:23:00Z</cp:lastPrinted>
  <dcterms:created xsi:type="dcterms:W3CDTF">2024-05-24T10:15:00Z</dcterms:created>
  <dcterms:modified xsi:type="dcterms:W3CDTF">2024-05-24T10:15:00Z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