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46FCB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5AC7F1FB" w:rsidR="00796BD3" w:rsidRPr="00D46FC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46FCB">
              <w:rPr>
                <w:b/>
                <w:lang w:val="ru-RU"/>
              </w:rPr>
              <w:t>Пункт повестки дня:</w:t>
            </w:r>
            <w:r w:rsidR="00D42F17" w:rsidRPr="00D46FCB">
              <w:rPr>
                <w:b/>
                <w:lang w:val="ru-RU"/>
              </w:rPr>
              <w:t xml:space="preserve"> ADM </w:t>
            </w:r>
            <w:r w:rsidR="006C3DC4" w:rsidRPr="00D46FCB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2E842227" w14:textId="2C411400" w:rsidR="00796BD3" w:rsidRPr="00D46FC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46FCB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D46FCB">
              <w:rPr>
                <w:b/>
                <w:lang w:val="ru-RU"/>
              </w:rPr>
              <w:t>C2</w:t>
            </w:r>
            <w:r w:rsidR="00660449" w:rsidRPr="00D46FCB">
              <w:rPr>
                <w:b/>
                <w:lang w:val="ru-RU"/>
              </w:rPr>
              <w:t>4</w:t>
            </w:r>
            <w:proofErr w:type="spellEnd"/>
            <w:r w:rsidR="00796BD3" w:rsidRPr="00D46FCB">
              <w:rPr>
                <w:b/>
                <w:lang w:val="ru-RU"/>
              </w:rPr>
              <w:t>/</w:t>
            </w:r>
            <w:r w:rsidR="006C3DC4" w:rsidRPr="00D46FCB">
              <w:rPr>
                <w:b/>
                <w:lang w:val="ru-RU"/>
              </w:rPr>
              <w:t>3</w:t>
            </w:r>
            <w:r w:rsidR="00492313" w:rsidRPr="00D46FCB">
              <w:rPr>
                <w:b/>
                <w:lang w:val="ru-RU"/>
              </w:rPr>
              <w:t>9</w:t>
            </w:r>
            <w:r w:rsidR="00796BD3" w:rsidRPr="00D46FCB">
              <w:rPr>
                <w:b/>
                <w:lang w:val="ru-RU"/>
              </w:rPr>
              <w:t>-R</w:t>
            </w:r>
          </w:p>
        </w:tc>
      </w:tr>
      <w:tr w:rsidR="00796BD3" w:rsidRPr="00D46FCB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D46F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53CE8F39" w:rsidR="00796BD3" w:rsidRPr="00D46FCB" w:rsidRDefault="0049231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46FCB">
              <w:rPr>
                <w:b/>
                <w:lang w:val="ru-RU"/>
              </w:rPr>
              <w:t>9 апреля</w:t>
            </w:r>
            <w:r w:rsidR="00796BD3" w:rsidRPr="00D46FCB">
              <w:rPr>
                <w:b/>
                <w:lang w:val="ru-RU"/>
              </w:rPr>
              <w:t xml:space="preserve"> 202</w:t>
            </w:r>
            <w:r w:rsidR="00660449" w:rsidRPr="00D46FCB">
              <w:rPr>
                <w:b/>
                <w:lang w:val="ru-RU"/>
              </w:rPr>
              <w:t>4</w:t>
            </w:r>
            <w:r w:rsidR="00D42F17" w:rsidRPr="00D46FCB">
              <w:rPr>
                <w:b/>
                <w:lang w:val="ru-RU"/>
              </w:rPr>
              <w:t xml:space="preserve"> года</w:t>
            </w:r>
          </w:p>
        </w:tc>
      </w:tr>
      <w:tr w:rsidR="00796BD3" w:rsidRPr="00D46FCB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D46F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77777777" w:rsidR="00796BD3" w:rsidRPr="00D46FC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46FC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46FCB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D46F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D46FC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46FCB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77777777" w:rsidR="00796BD3" w:rsidRPr="00D46FC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46FC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46FCB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70BF2695" w:rsidR="00796BD3" w:rsidRPr="00D46FCB" w:rsidRDefault="006C3DC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2974427"/>
            <w:bookmarkStart w:id="7" w:name="dtitle1" w:colFirst="0" w:colLast="0"/>
            <w:bookmarkEnd w:id="5"/>
            <w:r w:rsidRPr="00D46FCB">
              <w:rPr>
                <w:sz w:val="32"/>
                <w:szCs w:val="32"/>
                <w:lang w:val="ru-RU"/>
              </w:rPr>
              <w:t>НОВЫЕ ЗАЯВКИ НА ПРЕДОСТАВЛЕНИЕ ОСВОБОЖДЕНИЯ ОТ УПЛАТЫ ВЗНОСОВ ОРГАНИЗАЦИЙ МЕЖДУНАРОДНОГО ХАРАКТЕРА</w:t>
            </w:r>
            <w:bookmarkEnd w:id="6"/>
          </w:p>
        </w:tc>
      </w:tr>
      <w:tr w:rsidR="00796BD3" w:rsidRPr="00D46FCB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D46F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46FC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AC3D99" w14:textId="2083F301" w:rsidR="00796BD3" w:rsidRPr="00D46FCB" w:rsidRDefault="006C3DC4" w:rsidP="00492313">
            <w:pPr>
              <w:rPr>
                <w:szCs w:val="22"/>
                <w:lang w:val="ru-RU"/>
              </w:rPr>
            </w:pPr>
            <w:r w:rsidRPr="00D46FCB">
              <w:rPr>
                <w:lang w:val="ru-RU"/>
              </w:rPr>
              <w:t>Ежегодно МСЭ получает заявки от организаций международного характера, запрашивающих освобождение от уплаты членских взносов и других финансовых вкладов в Союз на основе принципа взаимности. Эти новые заявки рассматриваются Секретариатом в соответствии с</w:t>
            </w:r>
            <w:r w:rsidR="004E05E7" w:rsidRPr="00D46FCB">
              <w:rPr>
                <w:lang w:val="ru-RU"/>
              </w:rPr>
              <w:t> </w:t>
            </w:r>
            <w:r w:rsidRPr="00D46FCB">
              <w:rPr>
                <w:lang w:val="ru-RU"/>
              </w:rPr>
              <w:t>критериями, установленными Советом.</w:t>
            </w:r>
          </w:p>
          <w:p w14:paraId="07C3F18C" w14:textId="77777777" w:rsidR="00796BD3" w:rsidRPr="00D46F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46FC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164EF8" w14:textId="5259431C" w:rsidR="00796BD3" w:rsidRPr="00D46FCB" w:rsidRDefault="006C3DC4" w:rsidP="00E31DCE">
            <w:pPr>
              <w:rPr>
                <w:lang w:val="ru-RU"/>
              </w:rPr>
            </w:pPr>
            <w:r w:rsidRPr="00D46FCB">
              <w:rPr>
                <w:lang w:val="ru-RU"/>
              </w:rPr>
              <w:t xml:space="preserve">Совету предлагается </w:t>
            </w:r>
            <w:r w:rsidRPr="00D46FCB">
              <w:rPr>
                <w:b/>
                <w:bCs/>
                <w:lang w:val="ru-RU"/>
              </w:rPr>
              <w:t>рассмотреть</w:t>
            </w:r>
            <w:r w:rsidRPr="00D46FCB">
              <w:rPr>
                <w:lang w:val="ru-RU"/>
              </w:rPr>
              <w:t xml:space="preserve"> рекомендации Генерального секретаря относительно новых заявок на освобождение от уплаты.</w:t>
            </w:r>
          </w:p>
          <w:p w14:paraId="59269F19" w14:textId="77777777" w:rsidR="00492313" w:rsidRPr="00D46FCB" w:rsidRDefault="00492313" w:rsidP="0049231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46FC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9B271E0" w14:textId="71EE0B7A" w:rsidR="00492313" w:rsidRPr="00D46FCB" w:rsidRDefault="006C3DC4" w:rsidP="00492313">
            <w:pPr>
              <w:spacing w:before="100"/>
              <w:rPr>
                <w:lang w:val="ru-RU"/>
              </w:rPr>
            </w:pPr>
            <w:r w:rsidRPr="00D46FCB">
              <w:rPr>
                <w:lang w:val="ru-RU"/>
              </w:rPr>
              <w:t>Партнерства и международное сотрудничество.</w:t>
            </w:r>
          </w:p>
          <w:p w14:paraId="0DC77884" w14:textId="77777777" w:rsidR="00492313" w:rsidRPr="00D46FCB" w:rsidRDefault="00492313" w:rsidP="0049231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46FC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928E0F3" w14:textId="1AC5F377" w:rsidR="00796BD3" w:rsidRPr="00D46FCB" w:rsidRDefault="006C3DC4" w:rsidP="00492313">
            <w:pPr>
              <w:rPr>
                <w:lang w:val="ru-RU"/>
              </w:rPr>
            </w:pPr>
            <w:r w:rsidRPr="00D46FCB">
              <w:rPr>
                <w:lang w:val="ru-RU"/>
              </w:rPr>
              <w:t>Сумма членских взносов, не подлежащих уплате в результате освобождения, в размере 115</w:t>
            </w:r>
            <w:r w:rsidR="004E05E7" w:rsidRPr="00D46FCB">
              <w:rPr>
                <w:lang w:val="ru-RU"/>
              </w:rPr>
              <w:t> </w:t>
            </w:r>
            <w:r w:rsidRPr="00D46FCB">
              <w:rPr>
                <w:lang w:val="ru-RU"/>
              </w:rPr>
              <w:t>тыс. швейцарских франков в год.</w:t>
            </w:r>
          </w:p>
          <w:p w14:paraId="004A803B" w14:textId="77777777" w:rsidR="00796BD3" w:rsidRPr="00D46F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46FC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14BDE723" w:rsidR="00796BD3" w:rsidRPr="00D46FCB" w:rsidRDefault="00D46FCB" w:rsidP="00E31DCE">
            <w:pPr>
              <w:spacing w:after="160"/>
              <w:rPr>
                <w:lang w:val="ru-RU"/>
              </w:rPr>
            </w:pPr>
            <w:hyperlink r:id="rId8" w:history="1">
              <w:proofErr w:type="spellStart"/>
              <w:r w:rsidR="006C3DC4" w:rsidRPr="00D46FCB">
                <w:rPr>
                  <w:rStyle w:val="Hyperlink"/>
                  <w:i/>
                  <w:iCs/>
                  <w:lang w:val="ru-RU"/>
                </w:rPr>
                <w:t>C2000</w:t>
              </w:r>
              <w:proofErr w:type="spellEnd"/>
              <w:r w:rsidR="006C3DC4" w:rsidRPr="00D46FCB">
                <w:rPr>
                  <w:rStyle w:val="Hyperlink"/>
                  <w:i/>
                  <w:iCs/>
                  <w:lang w:val="ru-RU"/>
                </w:rPr>
                <w:t>/28(Rev.1)</w:t>
              </w:r>
            </w:hyperlink>
            <w:r w:rsidR="006C3DC4" w:rsidRPr="00D46FCB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6C3DC4" w:rsidRPr="00D46FCB">
                <w:rPr>
                  <w:rStyle w:val="Hyperlink"/>
                  <w:i/>
                  <w:iCs/>
                  <w:lang w:val="ru-RU"/>
                </w:rPr>
                <w:t>Резолюция 925 Совета</w:t>
              </w:r>
            </w:hyperlink>
            <w:r w:rsidR="006C3DC4" w:rsidRPr="00D46FCB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6C3DC4" w:rsidRPr="00D46FCB">
                <w:rPr>
                  <w:rStyle w:val="Hyperlink"/>
                  <w:i/>
                  <w:iCs/>
                  <w:lang w:val="ru-RU"/>
                </w:rPr>
                <w:t>критерии Совета для освобождения (Пересм. 2017 г.)</w:t>
              </w:r>
            </w:hyperlink>
          </w:p>
        </w:tc>
      </w:tr>
      <w:bookmarkEnd w:id="2"/>
      <w:bookmarkEnd w:id="7"/>
    </w:tbl>
    <w:p w14:paraId="07AD1330" w14:textId="77777777" w:rsidR="004E05E7" w:rsidRPr="00D46FCB" w:rsidRDefault="004E05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D46FCB">
        <w:rPr>
          <w:lang w:val="ru-RU"/>
        </w:rPr>
        <w:br w:type="page"/>
      </w:r>
    </w:p>
    <w:p w14:paraId="34C83487" w14:textId="3C0E3251" w:rsidR="006C3DC4" w:rsidRPr="00D46FCB" w:rsidRDefault="006C3DC4" w:rsidP="00E17CE6">
      <w:pPr>
        <w:pStyle w:val="Heading1"/>
        <w:rPr>
          <w:rFonts w:eastAsia="Calibri"/>
          <w:szCs w:val="24"/>
          <w:lang w:val="ru-RU"/>
        </w:rPr>
      </w:pPr>
      <w:r w:rsidRPr="00D46FCB">
        <w:rPr>
          <w:lang w:val="ru-RU"/>
        </w:rPr>
        <w:lastRenderedPageBreak/>
        <w:t>1</w:t>
      </w:r>
      <w:r w:rsidRPr="00D46FCB">
        <w:rPr>
          <w:lang w:val="ru-RU"/>
        </w:rPr>
        <w:tab/>
        <w:t>Базовая информация</w:t>
      </w:r>
    </w:p>
    <w:p w14:paraId="7F93ED44" w14:textId="2696BAF5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1.1</w:t>
      </w:r>
      <w:r w:rsidRPr="00D46FCB">
        <w:rPr>
          <w:lang w:val="ru-RU"/>
        </w:rPr>
        <w:tab/>
        <w:t>Ежегодно МСЭ получает заявки от организаций международного характера, запрашивающих освобождение от уплаты членских взносов и других финансовых вкладов в Союз. Эти заявки рассматриваются в соответствии с процедурой, установленной на сессии Совета в 2000 году (</w:t>
      </w:r>
      <w:proofErr w:type="spellStart"/>
      <w:r w:rsidR="00D46FCB" w:rsidRPr="00D46FCB">
        <w:rPr>
          <w:lang w:val="ru-RU"/>
        </w:rPr>
        <w:fldChar w:fldCharType="begin"/>
      </w:r>
      <w:r w:rsidR="00D46FCB" w:rsidRPr="00D46FCB">
        <w:rPr>
          <w:lang w:val="ru-RU"/>
        </w:rPr>
        <w:instrText>HYPERLINK "http://www.itu.int/itudoc/gs/council/c00/docs/28rev1.html"</w:instrText>
      </w:r>
      <w:r w:rsidR="00D46FCB" w:rsidRPr="00D46FCB">
        <w:rPr>
          <w:lang w:val="ru-RU"/>
        </w:rPr>
      </w:r>
      <w:r w:rsidR="00D46FCB" w:rsidRPr="00D46FCB">
        <w:rPr>
          <w:lang w:val="ru-RU"/>
        </w:rPr>
        <w:fldChar w:fldCharType="separate"/>
      </w:r>
      <w:r w:rsidR="004E05E7" w:rsidRPr="00D46FCB">
        <w:rPr>
          <w:rStyle w:val="Hyperlink"/>
          <w:rFonts w:eastAsia="Calibri" w:cs="Calibri"/>
          <w:lang w:val="ru-RU"/>
        </w:rPr>
        <w:t>C2000</w:t>
      </w:r>
      <w:proofErr w:type="spellEnd"/>
      <w:r w:rsidR="004E05E7" w:rsidRPr="00D46FCB">
        <w:rPr>
          <w:rStyle w:val="Hyperlink"/>
          <w:rFonts w:eastAsia="Calibri" w:cs="Calibri"/>
          <w:lang w:val="ru-RU"/>
        </w:rPr>
        <w:t>/28(Rev.1)</w:t>
      </w:r>
      <w:r w:rsidR="00D46FCB" w:rsidRPr="00D46FCB">
        <w:rPr>
          <w:rStyle w:val="Hyperlink"/>
          <w:rFonts w:eastAsia="Calibri" w:cs="Calibri"/>
          <w:lang w:val="ru-RU"/>
        </w:rPr>
        <w:fldChar w:fldCharType="end"/>
      </w:r>
      <w:r w:rsidRPr="00D46FCB">
        <w:rPr>
          <w:lang w:val="ru-RU"/>
        </w:rPr>
        <w:t xml:space="preserve">), а также в соответствии с п. 476 Конвенции и </w:t>
      </w:r>
      <w:hyperlink r:id="rId11" w:history="1">
        <w:r w:rsidRPr="00D46FCB">
          <w:rPr>
            <w:rStyle w:val="Hyperlink"/>
            <w:lang w:val="ru-RU"/>
          </w:rPr>
          <w:t>Резолюцией</w:t>
        </w:r>
        <w:r w:rsidR="001F3D69" w:rsidRPr="00D46FCB">
          <w:rPr>
            <w:rStyle w:val="Hyperlink"/>
            <w:lang w:val="ru-RU"/>
          </w:rPr>
          <w:t> </w:t>
        </w:r>
        <w:r w:rsidRPr="00D46FCB">
          <w:rPr>
            <w:rStyle w:val="Hyperlink"/>
            <w:lang w:val="ru-RU"/>
          </w:rPr>
          <w:t>925 Совета</w:t>
        </w:r>
      </w:hyperlink>
      <w:r w:rsidRPr="00D46FCB">
        <w:rPr>
          <w:lang w:val="ru-RU"/>
        </w:rPr>
        <w:t xml:space="preserve"> и критериями, установленными Советом, пересмотренными в</w:t>
      </w:r>
      <w:r w:rsidR="001F3D69" w:rsidRPr="00D46FCB">
        <w:rPr>
          <w:lang w:val="ru-RU"/>
        </w:rPr>
        <w:t> </w:t>
      </w:r>
      <w:r w:rsidRPr="00D46FCB">
        <w:rPr>
          <w:lang w:val="ru-RU"/>
        </w:rPr>
        <w:t>2017</w:t>
      </w:r>
      <w:r w:rsidR="001F3D69" w:rsidRPr="00D46FCB">
        <w:rPr>
          <w:lang w:val="ru-RU"/>
        </w:rPr>
        <w:t> </w:t>
      </w:r>
      <w:r w:rsidRPr="00D46FCB">
        <w:rPr>
          <w:lang w:val="ru-RU"/>
        </w:rPr>
        <w:t>году (см.</w:t>
      </w:r>
      <w:r w:rsidR="00E17CE6" w:rsidRPr="00D46FCB">
        <w:rPr>
          <w:lang w:val="ru-RU"/>
        </w:rPr>
        <w:t> </w:t>
      </w:r>
      <w:r w:rsidRPr="00D46FCB">
        <w:rPr>
          <w:lang w:val="ru-RU"/>
        </w:rPr>
        <w:t>пункт</w:t>
      </w:r>
      <w:r w:rsidR="00E17CE6" w:rsidRPr="00D46FCB">
        <w:rPr>
          <w:lang w:val="ru-RU"/>
        </w:rPr>
        <w:t> </w:t>
      </w:r>
      <w:r w:rsidRPr="00D46FCB">
        <w:rPr>
          <w:lang w:val="ru-RU"/>
        </w:rPr>
        <w:t>1.5</w:t>
      </w:r>
      <w:r w:rsidR="00E17CE6" w:rsidRPr="00D46FCB">
        <w:rPr>
          <w:lang w:val="ru-RU"/>
        </w:rPr>
        <w:t>,</w:t>
      </w:r>
      <w:r w:rsidRPr="00D46FCB">
        <w:rPr>
          <w:lang w:val="ru-RU"/>
        </w:rPr>
        <w:t xml:space="preserve"> ниже).</w:t>
      </w:r>
    </w:p>
    <w:p w14:paraId="69023BD1" w14:textId="7F8F20E4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1.2</w:t>
      </w:r>
      <w:r w:rsidRPr="00D46FCB">
        <w:rPr>
          <w:lang w:val="ru-RU"/>
        </w:rPr>
        <w:tab/>
        <w:t>Освобождение от уплаты взносов предоставляется Советом после анализа соответствующих Бюро и по рекомендации Генерального секретаря. В случае утверждения организации становятся Членами Секторов или Ассоциированными членами согласно п.</w:t>
      </w:r>
      <w:r w:rsidR="00E17CE6" w:rsidRPr="00D46FCB">
        <w:rPr>
          <w:lang w:val="ru-RU"/>
        </w:rPr>
        <w:t> </w:t>
      </w:r>
      <w:r w:rsidRPr="00D46FCB">
        <w:rPr>
          <w:lang w:val="ru-RU"/>
        </w:rPr>
        <w:t>231 Конвенции.</w:t>
      </w:r>
    </w:p>
    <w:p w14:paraId="15BDB358" w14:textId="77777777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1.3</w:t>
      </w:r>
      <w:r w:rsidRPr="00D46FCB">
        <w:rPr>
          <w:lang w:val="ru-RU"/>
        </w:rPr>
        <w:tab/>
        <w:t xml:space="preserve">В настоящее время от уплаты освобождены 137 организаций международного характера. Полный список доступен </w:t>
      </w:r>
      <w:hyperlink r:id="rId12" w:history="1">
        <w:r w:rsidRPr="00D46FCB">
          <w:rPr>
            <w:rStyle w:val="Hyperlink"/>
            <w:lang w:val="ru-RU"/>
          </w:rPr>
          <w:t>здесь</w:t>
        </w:r>
      </w:hyperlink>
      <w:r w:rsidRPr="00D46FCB">
        <w:rPr>
          <w:lang w:val="ru-RU"/>
        </w:rPr>
        <w:t>.</w:t>
      </w:r>
    </w:p>
    <w:p w14:paraId="2995F875" w14:textId="6B188442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1.4</w:t>
      </w:r>
      <w:r w:rsidRPr="00D46FCB">
        <w:rPr>
          <w:lang w:val="ru-RU"/>
        </w:rPr>
        <w:tab/>
        <w:t>В своей Резолюции 187 (Пусан, 2014 г.) Полномочная конференция 2014 года поручила Совету "рассмотреть практику и критерии освобождения объединений от членских сборов и при необходимости внести изменения, направленные на ужесточение критериев соответствия условиям, чтобы содействовать большей ясности, последовательности и справедливости в отношении платящих и не платящих взносы членов и сократить общее количество освобожденных объединений".</w:t>
      </w:r>
    </w:p>
    <w:p w14:paraId="796970E6" w14:textId="30EDCD81" w:rsidR="006C3DC4" w:rsidRPr="00D46FCB" w:rsidRDefault="006C3DC4" w:rsidP="00E17CE6">
      <w:pPr>
        <w:rPr>
          <w:rFonts w:eastAsia="Calibri"/>
          <w:szCs w:val="24"/>
          <w:lang w:val="ru-RU"/>
        </w:rPr>
      </w:pPr>
      <w:r w:rsidRPr="00D46FCB">
        <w:rPr>
          <w:lang w:val="ru-RU"/>
        </w:rPr>
        <w:t>1.5</w:t>
      </w:r>
      <w:r w:rsidRPr="00D46FCB">
        <w:rPr>
          <w:lang w:val="ru-RU"/>
        </w:rPr>
        <w:tab/>
        <w:t xml:space="preserve">Совет 2017 года утвердил пересмотренные критерии, представленные </w:t>
      </w:r>
      <w:hyperlink r:id="rId13" w:history="1">
        <w:r w:rsidRPr="00D46FCB">
          <w:rPr>
            <w:rStyle w:val="Hyperlink"/>
            <w:lang w:val="ru-RU"/>
          </w:rPr>
          <w:t>здесь</w:t>
        </w:r>
      </w:hyperlink>
      <w:r w:rsidRPr="00D46FCB">
        <w:rPr>
          <w:lang w:val="ru-RU"/>
        </w:rPr>
        <w:t>. С этого времени на каждой сессии Совет рассматривает новые заявки в соответствии с этими критериями.</w:t>
      </w:r>
    </w:p>
    <w:p w14:paraId="5D1D23EF" w14:textId="77777777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1.6</w:t>
      </w:r>
      <w:r w:rsidRPr="00D46FCB">
        <w:rPr>
          <w:lang w:val="ru-RU"/>
        </w:rPr>
        <w:tab/>
        <w:t>В настоящем документе рассматриваются только новые заявки на освобождение от уплаты взносов за период после прошлой сессии Совета.</w:t>
      </w:r>
    </w:p>
    <w:p w14:paraId="41F875BF" w14:textId="77777777" w:rsidR="006C3DC4" w:rsidRPr="00D46FCB" w:rsidRDefault="006C3DC4" w:rsidP="004E05E7">
      <w:pPr>
        <w:pStyle w:val="Heading1"/>
        <w:spacing w:before="360"/>
        <w:rPr>
          <w:rFonts w:eastAsia="Calibri"/>
          <w:szCs w:val="24"/>
          <w:lang w:val="ru-RU"/>
        </w:rPr>
      </w:pPr>
      <w:r w:rsidRPr="00D46FCB">
        <w:rPr>
          <w:lang w:val="ru-RU"/>
        </w:rPr>
        <w:t>2</w:t>
      </w:r>
      <w:r w:rsidRPr="00D46FCB">
        <w:rPr>
          <w:lang w:val="ru-RU"/>
        </w:rPr>
        <w:tab/>
        <w:t>Новые заявки и рекомендации</w:t>
      </w:r>
    </w:p>
    <w:p w14:paraId="73C9E5C4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2.1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60"/>
        <w:gridCol w:w="2975"/>
      </w:tblGrid>
      <w:tr w:rsidR="006C3DC4" w:rsidRPr="00D46FCB" w14:paraId="7EC62B71" w14:textId="77777777" w:rsidTr="001F3D69">
        <w:trPr>
          <w:cantSplit/>
        </w:trPr>
        <w:tc>
          <w:tcPr>
            <w:tcW w:w="4528" w:type="dxa"/>
            <w:vAlign w:val="center"/>
          </w:tcPr>
          <w:p w14:paraId="2380980D" w14:textId="77777777" w:rsidR="006C3DC4" w:rsidRPr="00D46FCB" w:rsidRDefault="006C3DC4" w:rsidP="00E17CE6">
            <w:pPr>
              <w:pStyle w:val="Tablehead"/>
              <w:rPr>
                <w:rFonts w:asciiTheme="minorHAnsi" w:eastAsia="SimSun" w:hAnsiTheme="minorHAnsi" w:cs="Calibri"/>
                <w:szCs w:val="24"/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60" w:type="dxa"/>
            <w:vAlign w:val="center"/>
          </w:tcPr>
          <w:p w14:paraId="1755EA57" w14:textId="77777777" w:rsidR="006C3DC4" w:rsidRPr="00D46FCB" w:rsidRDefault="006C3DC4" w:rsidP="00E17CE6">
            <w:pPr>
              <w:pStyle w:val="Tablehead"/>
              <w:rPr>
                <w:rFonts w:asciiTheme="minorHAnsi" w:eastAsia="SimSun" w:hAnsiTheme="minorHAnsi" w:cs="Calibri"/>
                <w:szCs w:val="24"/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75" w:type="dxa"/>
            <w:vAlign w:val="center"/>
          </w:tcPr>
          <w:p w14:paraId="1CE7AC35" w14:textId="26927D89" w:rsidR="006C3DC4" w:rsidRPr="00D46FCB" w:rsidRDefault="006C3DC4" w:rsidP="00E17CE6">
            <w:pPr>
              <w:pStyle w:val="Tablehead"/>
              <w:rPr>
                <w:rFonts w:asciiTheme="minorHAnsi" w:eastAsia="SimSun" w:hAnsiTheme="minorHAnsi" w:cstheme="minorBidi"/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763EFC05" w14:textId="77777777" w:rsidTr="001F3D69">
        <w:trPr>
          <w:cantSplit/>
        </w:trPr>
        <w:tc>
          <w:tcPr>
            <w:tcW w:w="4528" w:type="dxa"/>
            <w:vAlign w:val="center"/>
          </w:tcPr>
          <w:p w14:paraId="137D851D" w14:textId="77777777" w:rsidR="006C3DC4" w:rsidRPr="00D46FCB" w:rsidRDefault="006C3DC4" w:rsidP="00E17CE6">
            <w:pPr>
              <w:pStyle w:val="Tabletext"/>
              <w:rPr>
                <w:rFonts w:asciiTheme="minorHAnsi" w:eastAsia="SimSun" w:hAnsiTheme="minorHAnsi" w:cs="Calibri"/>
                <w:b/>
                <w:bCs/>
                <w:i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Институт технологических инновационных центров Африки (</w:t>
            </w:r>
            <w:proofErr w:type="spellStart"/>
            <w:r w:rsidRPr="00D46FCB">
              <w:rPr>
                <w:b/>
                <w:bCs/>
                <w:lang w:val="ru-RU"/>
              </w:rPr>
              <w:t>Afrilabs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60" w:type="dxa"/>
          </w:tcPr>
          <w:p w14:paraId="51687523" w14:textId="77777777" w:rsidR="006C3DC4" w:rsidRPr="00D46FCB" w:rsidRDefault="006C3DC4" w:rsidP="001E53EE">
            <w:pPr>
              <w:pStyle w:val="Tabletext"/>
              <w:jc w:val="center"/>
              <w:rPr>
                <w:rFonts w:asciiTheme="minorHAnsi" w:eastAsia="SimSun" w:hAnsiTheme="minorHAnsi" w:cs="Calibri"/>
                <w:szCs w:val="24"/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75" w:type="dxa"/>
          </w:tcPr>
          <w:p w14:paraId="2F62A41F" w14:textId="77777777" w:rsidR="006C3DC4" w:rsidRPr="00D46FCB" w:rsidRDefault="006C3DC4" w:rsidP="001E53EE">
            <w:pPr>
              <w:pStyle w:val="Tabletext"/>
              <w:jc w:val="center"/>
              <w:rPr>
                <w:rFonts w:asciiTheme="minorHAnsi" w:eastAsia="SimSun" w:hAnsiTheme="minorHAnsi" w:cs="Calibri"/>
                <w:szCs w:val="24"/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p w14:paraId="695745F3" w14:textId="2B061C15" w:rsidR="006C3DC4" w:rsidRPr="00D46FCB" w:rsidRDefault="006C3DC4" w:rsidP="00E17CE6">
      <w:pPr>
        <w:rPr>
          <w:rFonts w:eastAsia="SimSun"/>
          <w:lang w:val="ru-RU"/>
        </w:rPr>
      </w:pPr>
      <w:r w:rsidRPr="00D46FCB">
        <w:rPr>
          <w:lang w:val="ru-RU"/>
        </w:rPr>
        <w:t xml:space="preserve">Институт </w:t>
      </w:r>
      <w:proofErr w:type="spellStart"/>
      <w:r w:rsidRPr="00D46FCB">
        <w:rPr>
          <w:lang w:val="ru-RU"/>
        </w:rPr>
        <w:t>AfriLabs</w:t>
      </w:r>
      <w:proofErr w:type="spellEnd"/>
      <w:r w:rsidRPr="00D46FCB">
        <w:rPr>
          <w:lang w:val="ru-RU"/>
        </w:rPr>
        <w:t xml:space="preserve">, основанный в 2011 году, представляет собой сетевую организацию, поддерживающую более 400 инновационных центров в 52 африканских странах. Его миссия состоит в содействии предпринимателям с высоким потенциалом для стимулирования экономического роста и социального развития в Африке. Секретариат </w:t>
      </w:r>
      <w:proofErr w:type="spellStart"/>
      <w:r w:rsidRPr="00D46FCB">
        <w:rPr>
          <w:lang w:val="ru-RU"/>
        </w:rPr>
        <w:t>AfriLabs</w:t>
      </w:r>
      <w:proofErr w:type="spellEnd"/>
      <w:r w:rsidRPr="00D46FCB">
        <w:rPr>
          <w:lang w:val="ru-RU"/>
        </w:rPr>
        <w:t xml:space="preserve"> расположен в Абудже, Нигерия, и входящие в его состав 419 центров работают в 52 африканских странах. По</w:t>
      </w:r>
      <w:r w:rsidR="00E17CE6" w:rsidRPr="00D46FCB">
        <w:rPr>
          <w:lang w:val="ru-RU"/>
        </w:rPr>
        <w:t> </w:t>
      </w:r>
      <w:r w:rsidRPr="00D46FCB">
        <w:rPr>
          <w:lang w:val="ru-RU"/>
        </w:rPr>
        <w:t>мнению Секретариата, это объединение как региональная организация, в состав которой входят центры, отвечает критериям, установленным Советом для освобождения от уплаты взносов.</w:t>
      </w:r>
    </w:p>
    <w:p w14:paraId="5423581D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2.2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6B38A7ED" w14:textId="77777777" w:rsidTr="001F3D69">
        <w:trPr>
          <w:cantSplit/>
        </w:trPr>
        <w:tc>
          <w:tcPr>
            <w:tcW w:w="4528" w:type="dxa"/>
          </w:tcPr>
          <w:p w14:paraId="6AF82C65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4DCC130E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145064D3" w14:textId="538B0F11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5CAF1B25" w14:textId="77777777" w:rsidTr="001F3D69">
        <w:trPr>
          <w:cantSplit/>
        </w:trPr>
        <w:tc>
          <w:tcPr>
            <w:tcW w:w="4528" w:type="dxa"/>
            <w:vAlign w:val="center"/>
          </w:tcPr>
          <w:p w14:paraId="778F0E8E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Экологическая коалиция по стандартам (</w:t>
            </w:r>
            <w:proofErr w:type="spellStart"/>
            <w:r w:rsidRPr="00D46FCB">
              <w:rPr>
                <w:b/>
                <w:bCs/>
                <w:lang w:val="ru-RU"/>
              </w:rPr>
              <w:t>ECOS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  <w:vAlign w:val="center"/>
          </w:tcPr>
          <w:p w14:paraId="462E474F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  <w:vAlign w:val="center"/>
          </w:tcPr>
          <w:p w14:paraId="787286ED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p w14:paraId="44B14DC2" w14:textId="77777777" w:rsidR="006C3DC4" w:rsidRPr="00D46FCB" w:rsidRDefault="006C3DC4" w:rsidP="00E17CE6">
      <w:pPr>
        <w:rPr>
          <w:rFonts w:asciiTheme="minorHAnsi" w:eastAsia="SimSun" w:hAnsiTheme="minorHAnsi" w:cstheme="minorBidi"/>
          <w:color w:val="000000" w:themeColor="text1"/>
          <w:lang w:val="ru-RU"/>
        </w:rPr>
      </w:pPr>
      <w:r w:rsidRPr="00D46FCB">
        <w:rPr>
          <w:lang w:val="ru-RU"/>
        </w:rPr>
        <w:t>Созданная в 2001 году Экологическая коалиция по стандартам (</w:t>
      </w:r>
      <w:proofErr w:type="spellStart"/>
      <w:r w:rsidRPr="00D46FCB">
        <w:rPr>
          <w:lang w:val="ru-RU"/>
        </w:rPr>
        <w:t>ECOS</w:t>
      </w:r>
      <w:proofErr w:type="spellEnd"/>
      <w:r w:rsidRPr="00D46FCB">
        <w:rPr>
          <w:lang w:val="ru-RU"/>
        </w:rPr>
        <w:t xml:space="preserve">) – это международная НПО, обладающая сетью членов и экспертов, выступающих за экологически безопасные технические стандарты, стратегии и законы. </w:t>
      </w:r>
      <w:proofErr w:type="spellStart"/>
      <w:r w:rsidRPr="00D46FCB">
        <w:rPr>
          <w:lang w:val="ru-RU"/>
        </w:rPr>
        <w:t>ECOS</w:t>
      </w:r>
      <w:proofErr w:type="spellEnd"/>
      <w:r w:rsidRPr="00D46FCB">
        <w:rPr>
          <w:lang w:val="ru-RU"/>
        </w:rPr>
        <w:t xml:space="preserve"> стремится создать более инклюзивную, </w:t>
      </w:r>
      <w:r w:rsidRPr="00D46FCB">
        <w:rPr>
          <w:lang w:val="ru-RU"/>
        </w:rPr>
        <w:lastRenderedPageBreak/>
        <w:t>открытую и прозрачную систему стандартизации в международном масштабе и на европейском и национальном уровнях, обеспечивая при этом надлежащее использование стандартов для поддержки экологического законодательства и политики. Эта организация является Членом МСЭ-Т, освобожденным от уплаты взносов. По мнению Секретариата, это объединение как международная организация, в состав которой входят НПО, отвечает критериям, установленным Советом для освобождения от уплаты взносов.</w:t>
      </w:r>
    </w:p>
    <w:p w14:paraId="6100D3DB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2.3</w:t>
      </w:r>
      <w:bookmarkStart w:id="8" w:name="_Hlk106608884"/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5C95B7A9" w14:textId="77777777" w:rsidTr="001F3D69">
        <w:trPr>
          <w:cantSplit/>
        </w:trPr>
        <w:tc>
          <w:tcPr>
            <w:tcW w:w="4528" w:type="dxa"/>
          </w:tcPr>
          <w:p w14:paraId="77CC643A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772E05F2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108F17EE" w14:textId="0C6D2E04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194A8D5D" w14:textId="77777777" w:rsidTr="001F3D69">
        <w:trPr>
          <w:cantSplit/>
        </w:trPr>
        <w:tc>
          <w:tcPr>
            <w:tcW w:w="4528" w:type="dxa"/>
            <w:vAlign w:val="center"/>
          </w:tcPr>
          <w:p w14:paraId="76B3C30E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Европейский альянс цифровых МСП</w:t>
            </w:r>
          </w:p>
        </w:tc>
        <w:tc>
          <w:tcPr>
            <w:tcW w:w="1553" w:type="dxa"/>
            <w:vAlign w:val="center"/>
          </w:tcPr>
          <w:p w14:paraId="694EE92B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МСЭ-Т</w:t>
            </w:r>
          </w:p>
        </w:tc>
        <w:tc>
          <w:tcPr>
            <w:tcW w:w="2982" w:type="dxa"/>
            <w:vAlign w:val="center"/>
          </w:tcPr>
          <w:p w14:paraId="135404D8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bookmarkEnd w:id="8"/>
    <w:p w14:paraId="5C1DF9C8" w14:textId="2F4537FE" w:rsidR="006C3DC4" w:rsidRPr="00D46FCB" w:rsidRDefault="006C3DC4" w:rsidP="00E17CE6">
      <w:pPr>
        <w:rPr>
          <w:rFonts w:asciiTheme="minorHAnsi" w:eastAsia="SimSun" w:hAnsiTheme="minorHAnsi" w:cstheme="minorBidi"/>
          <w:color w:val="000000" w:themeColor="text1"/>
          <w:lang w:val="ru-RU"/>
        </w:rPr>
      </w:pPr>
      <w:r w:rsidRPr="00D46FCB">
        <w:rPr>
          <w:lang w:val="ru-RU"/>
        </w:rPr>
        <w:t>Европейский альянс цифровых МСП представляет собой объединение более 45</w:t>
      </w:r>
      <w:r w:rsidR="004E05E7" w:rsidRPr="00D46FCB">
        <w:rPr>
          <w:lang w:val="ru-RU"/>
        </w:rPr>
        <w:t> </w:t>
      </w:r>
      <w:r w:rsidRPr="00D46FCB">
        <w:rPr>
          <w:lang w:val="ru-RU"/>
        </w:rPr>
        <w:t>000</w:t>
      </w:r>
      <w:r w:rsidR="004E05E7" w:rsidRPr="00D46FCB">
        <w:rPr>
          <w:lang w:val="ru-RU"/>
        </w:rPr>
        <w:t> </w:t>
      </w:r>
      <w:r w:rsidRPr="00D46FCB">
        <w:rPr>
          <w:lang w:val="ru-RU"/>
        </w:rPr>
        <w:t>малых и средних предприятий в области ИКТ в Европе. Альянс является совместной инициативой 30</w:t>
      </w:r>
      <w:r w:rsidR="004E05E7" w:rsidRPr="00D46FCB">
        <w:rPr>
          <w:lang w:val="ru-RU"/>
        </w:rPr>
        <w:t> </w:t>
      </w:r>
      <w:r w:rsidRPr="00D46FCB">
        <w:rPr>
          <w:lang w:val="ru-RU"/>
        </w:rPr>
        <w:t>национальных и региональных ассоциаций МСП из государств – членов ЕС и соседних стран. Его основная цель состоит в том, чтобы создать благоприятную для МСП цифровую среду, уделяя стратегическое внимание стандартизации. Активно участвуя в различных органах Европейской комиссии и финансируемых ЕС проектах по разработке стандартов в области ИКТ, Альянс также поддерживает широкую сеть экспертов по МСП в области ИКТ в различных организациях по разработке стандартов. По мнению Секретариата, это объединение как региональная организация с сетью членов отвечает критериям, установленным Советом для освобождения от уплаты взносов.</w:t>
      </w:r>
    </w:p>
    <w:p w14:paraId="05045510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2.4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2E72B7A5" w14:textId="77777777" w:rsidTr="001F3D69">
        <w:trPr>
          <w:cantSplit/>
        </w:trPr>
        <w:tc>
          <w:tcPr>
            <w:tcW w:w="4528" w:type="dxa"/>
          </w:tcPr>
          <w:p w14:paraId="123FED67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398350CD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38AF0C2C" w14:textId="7EC2A62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7EC54EBC" w14:textId="77777777" w:rsidTr="001F3D69">
        <w:trPr>
          <w:cantSplit/>
        </w:trPr>
        <w:tc>
          <w:tcPr>
            <w:tcW w:w="4528" w:type="dxa"/>
            <w:vAlign w:val="center"/>
          </w:tcPr>
          <w:p w14:paraId="01FC0F9C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House of Africa</w:t>
            </w:r>
          </w:p>
        </w:tc>
        <w:tc>
          <w:tcPr>
            <w:tcW w:w="1553" w:type="dxa"/>
            <w:vAlign w:val="center"/>
          </w:tcPr>
          <w:p w14:paraId="3DEF7EE8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  <w:vAlign w:val="center"/>
          </w:tcPr>
          <w:p w14:paraId="27E45CB5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</w:tc>
      </w:tr>
    </w:tbl>
    <w:p w14:paraId="726A9155" w14:textId="77777777" w:rsidR="006C3DC4" w:rsidRPr="00D46FCB" w:rsidRDefault="006C3DC4" w:rsidP="00E17CE6">
      <w:pPr>
        <w:rPr>
          <w:rFonts w:asciiTheme="minorHAnsi" w:eastAsia="SimSun" w:hAnsiTheme="minorHAnsi" w:cstheme="minorBidi"/>
          <w:lang w:val="ru-RU"/>
        </w:rPr>
      </w:pPr>
      <w:r w:rsidRPr="00D46FCB">
        <w:rPr>
          <w:lang w:val="ru-RU"/>
        </w:rPr>
        <w:t>House of Africa, расположенная в городе Нджамена, Чад, – это панафриканская организация, созданная в 2017 году. Организация занимается главным образом развитием ИКТ в Африке. House of Africa стремится содействовать развитию ИКТ и управления использованием интернета в Африке, вносить вклад в достижение целей ООН в области устойчивого развития и поддерживать Повестку дня Африканского союза на период до 2063 года. Организация также обеспечивает платформу для сотрудничества для африканской молодежи, женщин и детей и стремится содействовать образованию в области прав человека. По мнению Секретариата, это объединение, согласно имеющейся информации, не отвечает критериям, установленным Советом для освобождения от уплаты взносов.</w:t>
      </w:r>
    </w:p>
    <w:p w14:paraId="7D5660A3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2.5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216839B3" w14:textId="77777777" w:rsidTr="001F3D69">
        <w:trPr>
          <w:cantSplit/>
        </w:trPr>
        <w:tc>
          <w:tcPr>
            <w:tcW w:w="4528" w:type="dxa"/>
          </w:tcPr>
          <w:p w14:paraId="75C649AB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53051A15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2C1AF651" w14:textId="30210B7E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344647E8" w14:textId="77777777" w:rsidTr="001F3D69">
        <w:trPr>
          <w:cantSplit/>
        </w:trPr>
        <w:tc>
          <w:tcPr>
            <w:tcW w:w="4528" w:type="dxa"/>
            <w:vAlign w:val="center"/>
          </w:tcPr>
          <w:p w14:paraId="367A4B50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 xml:space="preserve">Human Rights </w:t>
            </w:r>
            <w:proofErr w:type="spellStart"/>
            <w:r w:rsidRPr="00D46FCB">
              <w:rPr>
                <w:b/>
                <w:bCs/>
                <w:lang w:val="ru-RU"/>
              </w:rPr>
              <w:t>and</w:t>
            </w:r>
            <w:proofErr w:type="spellEnd"/>
            <w:r w:rsidRPr="00D46FCB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46FCB">
              <w:rPr>
                <w:b/>
                <w:bCs/>
                <w:lang w:val="ru-RU"/>
              </w:rPr>
              <w:t>Forest</w:t>
            </w:r>
            <w:proofErr w:type="spellEnd"/>
            <w:r w:rsidRPr="00D46FCB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46FCB">
              <w:rPr>
                <w:b/>
                <w:bCs/>
                <w:lang w:val="ru-RU"/>
              </w:rPr>
              <w:t>Brain</w:t>
            </w:r>
            <w:proofErr w:type="spellEnd"/>
            <w:r w:rsidRPr="00D46FCB">
              <w:rPr>
                <w:b/>
                <w:bCs/>
                <w:lang w:val="ru-RU"/>
              </w:rPr>
              <w:t xml:space="preserve"> Africa (</w:t>
            </w:r>
            <w:proofErr w:type="spellStart"/>
            <w:r w:rsidRPr="00D46FCB">
              <w:rPr>
                <w:b/>
                <w:bCs/>
                <w:lang w:val="ru-RU"/>
              </w:rPr>
              <w:t>Hurifba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  <w:vAlign w:val="center"/>
          </w:tcPr>
          <w:p w14:paraId="0CA81A40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</w:t>
            </w:r>
            <w:r w:rsidRPr="00D46FCB">
              <w:rPr>
                <w:lang w:val="ru-RU"/>
              </w:rPr>
              <w:noBreakHyphen/>
              <w:t>R</w:t>
            </w:r>
          </w:p>
        </w:tc>
        <w:tc>
          <w:tcPr>
            <w:tcW w:w="2982" w:type="dxa"/>
            <w:vAlign w:val="center"/>
          </w:tcPr>
          <w:p w14:paraId="2803C917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</w:tc>
      </w:tr>
    </w:tbl>
    <w:p w14:paraId="07414CE0" w14:textId="77777777" w:rsidR="006C3DC4" w:rsidRPr="00D46FCB" w:rsidRDefault="006C3DC4" w:rsidP="00E17CE6">
      <w:pPr>
        <w:rPr>
          <w:rFonts w:asciiTheme="minorHAnsi" w:eastAsia="SimSun" w:hAnsiTheme="minorHAnsi" w:cstheme="minorBidi"/>
          <w:lang w:val="ru-RU"/>
        </w:rPr>
      </w:pPr>
      <w:proofErr w:type="spellStart"/>
      <w:r w:rsidRPr="00D46FCB">
        <w:rPr>
          <w:lang w:val="ru-RU"/>
        </w:rPr>
        <w:t>HURIFBA</w:t>
      </w:r>
      <w:proofErr w:type="spellEnd"/>
      <w:r w:rsidRPr="00D46FCB">
        <w:rPr>
          <w:lang w:val="ru-RU"/>
        </w:rPr>
        <w:t xml:space="preserve"> является некоммерческой организацией, расположенной в Камеруне. Ее миссия предусматривает всестороннее развитие бедного населения и улучшение его условий жизни на социальном, медицинском, экономическом и экологическом уровнях. </w:t>
      </w:r>
      <w:proofErr w:type="spellStart"/>
      <w:r w:rsidRPr="00D46FCB">
        <w:rPr>
          <w:lang w:val="ru-RU"/>
        </w:rPr>
        <w:t>HURIFBA</w:t>
      </w:r>
      <w:proofErr w:type="spellEnd"/>
      <w:r w:rsidRPr="00D46FCB">
        <w:rPr>
          <w:lang w:val="ru-RU"/>
        </w:rPr>
        <w:t xml:space="preserve"> активно участвует в решении таких общественных проблем, как опустынивание, нищета, а также содействует устойчивому развитию. В рамках своей стратегии и деятельности организация стремится объединять представителей интеллигенции, деятелей искусства и социальных новаторов, содействуя возрождению социально-экономической практики, основанной на солидарности. По мнению Секретариата, это объединение, согласно имеющейся информации, не отвечает критериям, установленным Советом для освобождения от уплаты взносов.</w:t>
      </w:r>
    </w:p>
    <w:p w14:paraId="6F2EECB0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lastRenderedPageBreak/>
        <w:t>2.6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0471EBF0" w14:textId="77777777" w:rsidTr="001F3D69">
        <w:trPr>
          <w:cantSplit/>
        </w:trPr>
        <w:tc>
          <w:tcPr>
            <w:tcW w:w="4528" w:type="dxa"/>
          </w:tcPr>
          <w:p w14:paraId="763B086E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51BF64C3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519962D8" w14:textId="5D1956BA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411E8264" w14:textId="77777777" w:rsidTr="001F3D69">
        <w:trPr>
          <w:cantSplit/>
        </w:trPr>
        <w:tc>
          <w:tcPr>
            <w:tcW w:w="4528" w:type="dxa"/>
            <w:vAlign w:val="center"/>
          </w:tcPr>
          <w:p w14:paraId="21750625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Международный научно-исследовательский центр для развивающихся стран, не имеющих выхода к морю (</w:t>
            </w:r>
            <w:proofErr w:type="spellStart"/>
            <w:r w:rsidRPr="00D46FCB">
              <w:rPr>
                <w:b/>
                <w:bCs/>
                <w:lang w:val="ru-RU"/>
              </w:rPr>
              <w:t>ITTLLDC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</w:tcPr>
          <w:p w14:paraId="21797683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</w:tcPr>
          <w:p w14:paraId="4BC4347D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p w14:paraId="4A7D0E25" w14:textId="77777777" w:rsidR="006C3DC4" w:rsidRPr="00D46FCB" w:rsidRDefault="006C3DC4" w:rsidP="00E17CE6">
      <w:pPr>
        <w:rPr>
          <w:rFonts w:asciiTheme="minorHAnsi" w:eastAsia="SimSun" w:hAnsiTheme="minorHAnsi" w:cs="Calibri"/>
          <w:lang w:val="ru-RU"/>
        </w:rPr>
      </w:pPr>
      <w:bookmarkStart w:id="9" w:name="_Hlk129002000"/>
      <w:r w:rsidRPr="00D46FCB">
        <w:rPr>
          <w:lang w:val="ru-RU"/>
        </w:rPr>
        <w:t>Международный научно-исследовательский центр для развивающихся стран, не имеющих выхода к морю (</w:t>
      </w:r>
      <w:proofErr w:type="spellStart"/>
      <w:r w:rsidRPr="00D46FCB">
        <w:rPr>
          <w:lang w:val="ru-RU"/>
        </w:rPr>
        <w:t>ITTLLDC</w:t>
      </w:r>
      <w:proofErr w:type="spellEnd"/>
      <w:r w:rsidRPr="00D46FCB">
        <w:rPr>
          <w:lang w:val="ru-RU"/>
        </w:rPr>
        <w:t>), работает над удовлетворением конкретных потребностей и решением конкретных проблем, с которыми сталкиваются развивающиеся страны, не имеющие выхода к морю (ЛЛДС). Организация уделяет основное внимание выполнению Венской программы действий, поддержке инициатив, направленных на совершенствование транспорта, инфраструктуры и авиасообщения в ЛЛДС. Организация проводит исследования и готовит концептуальные записки по вопросам политики в области социально-экономических проблем, касающихся ЛЛДС, укрепляя свой потенциал для оказания помощи этим странам в преодолении их уникальных вызовов. По мнению Секретариата, это объединение как межправительственная организация, представляющая развивающиеся страны, не имеющие выхода к морю, отвечает критериям, установленным Советом для освобождения от уплаты взносов.</w:t>
      </w:r>
    </w:p>
    <w:p w14:paraId="3A9476C9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2.7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2C9C920A" w14:textId="77777777" w:rsidTr="001F3D69">
        <w:trPr>
          <w:cantSplit/>
        </w:trPr>
        <w:tc>
          <w:tcPr>
            <w:tcW w:w="4528" w:type="dxa"/>
          </w:tcPr>
          <w:p w14:paraId="6C9DD296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7DA4AEF6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70775248" w14:textId="6B3AD41A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3BF10071" w14:textId="77777777" w:rsidTr="001F3D69">
        <w:trPr>
          <w:cantSplit/>
        </w:trPr>
        <w:tc>
          <w:tcPr>
            <w:tcW w:w="4528" w:type="dxa"/>
            <w:vAlign w:val="center"/>
          </w:tcPr>
          <w:p w14:paraId="0812EFC9" w14:textId="77777777" w:rsidR="004E05E7" w:rsidRPr="00D46FCB" w:rsidRDefault="006C3DC4" w:rsidP="001F3D69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D46FCB">
              <w:rPr>
                <w:b/>
                <w:bCs/>
                <w:lang w:val="ru-RU"/>
              </w:rPr>
              <w:t>ROPTIC-UEMOA</w:t>
            </w:r>
            <w:proofErr w:type="spellEnd"/>
          </w:p>
          <w:p w14:paraId="186A2280" w14:textId="4A004990" w:rsidR="006C3DC4" w:rsidRPr="00D46FCB" w:rsidRDefault="006C3DC4" w:rsidP="001F3D69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Объединение профессиональных организаций в</w:t>
            </w:r>
            <w:r w:rsidR="001E53EE" w:rsidRPr="00D46FCB">
              <w:rPr>
                <w:b/>
                <w:bCs/>
                <w:lang w:val="ru-RU"/>
              </w:rPr>
              <w:t> </w:t>
            </w:r>
            <w:r w:rsidRPr="00D46FCB">
              <w:rPr>
                <w:b/>
                <w:bCs/>
                <w:lang w:val="ru-RU"/>
              </w:rPr>
              <w:t xml:space="preserve">области ИКТ региона </w:t>
            </w:r>
            <w:proofErr w:type="spellStart"/>
            <w:r w:rsidRPr="00D46FCB">
              <w:rPr>
                <w:b/>
                <w:bCs/>
                <w:lang w:val="ru-RU"/>
              </w:rPr>
              <w:t>ЗАЭВС</w:t>
            </w:r>
            <w:proofErr w:type="spellEnd"/>
          </w:p>
        </w:tc>
        <w:tc>
          <w:tcPr>
            <w:tcW w:w="1553" w:type="dxa"/>
          </w:tcPr>
          <w:p w14:paraId="17E05D5F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</w:tcPr>
          <w:p w14:paraId="156AC414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bookmarkEnd w:id="9"/>
    <w:p w14:paraId="27AACC57" w14:textId="77777777" w:rsidR="006C3DC4" w:rsidRPr="00D46FCB" w:rsidRDefault="006C3DC4" w:rsidP="00E17CE6">
      <w:pPr>
        <w:rPr>
          <w:rFonts w:eastAsia="Calibri" w:cs="Calibri"/>
          <w:lang w:val="ru-RU"/>
        </w:rPr>
      </w:pPr>
      <w:r w:rsidRPr="00D46FCB">
        <w:rPr>
          <w:lang w:val="ru-RU"/>
        </w:rPr>
        <w:t>Группа профессиональных организаций в области ИКТ (</w:t>
      </w:r>
      <w:proofErr w:type="spellStart"/>
      <w:r w:rsidRPr="00D46FCB">
        <w:rPr>
          <w:lang w:val="ru-RU"/>
        </w:rPr>
        <w:t>ROP-TIC</w:t>
      </w:r>
      <w:proofErr w:type="spellEnd"/>
      <w:r w:rsidRPr="00D46FCB">
        <w:rPr>
          <w:lang w:val="ru-RU"/>
        </w:rPr>
        <w:t xml:space="preserve">) представляет собой </w:t>
      </w:r>
      <w:proofErr w:type="spellStart"/>
      <w:r w:rsidRPr="00D46FCB">
        <w:rPr>
          <w:lang w:val="ru-RU"/>
        </w:rPr>
        <w:t>межпрофессиональное</w:t>
      </w:r>
      <w:proofErr w:type="spellEnd"/>
      <w:r w:rsidRPr="00D46FCB">
        <w:rPr>
          <w:lang w:val="ru-RU"/>
        </w:rPr>
        <w:t xml:space="preserve"> объединение специалистов в области цифровых технологий из региона </w:t>
      </w:r>
      <w:proofErr w:type="spellStart"/>
      <w:r w:rsidRPr="00D46FCB">
        <w:rPr>
          <w:lang w:val="ru-RU"/>
        </w:rPr>
        <w:t>ЗАЭВС</w:t>
      </w:r>
      <w:proofErr w:type="spellEnd"/>
      <w:r w:rsidRPr="00D46FCB">
        <w:rPr>
          <w:lang w:val="ru-RU"/>
        </w:rPr>
        <w:t xml:space="preserve">, в состав которого входят различные ассоциации и организации из разных стран-членов. Основная задача </w:t>
      </w:r>
      <w:proofErr w:type="spellStart"/>
      <w:r w:rsidRPr="00D46FCB">
        <w:rPr>
          <w:lang w:val="ru-RU"/>
        </w:rPr>
        <w:t>ROP-TIC</w:t>
      </w:r>
      <w:proofErr w:type="spellEnd"/>
      <w:r w:rsidRPr="00D46FCB">
        <w:rPr>
          <w:lang w:val="ru-RU"/>
        </w:rPr>
        <w:t xml:space="preserve"> заключается в организации сотрудничества между его членами и стимулировании цифровизации региона </w:t>
      </w:r>
      <w:proofErr w:type="spellStart"/>
      <w:r w:rsidRPr="00D46FCB">
        <w:rPr>
          <w:lang w:val="ru-RU"/>
        </w:rPr>
        <w:t>ЗАЭВС</w:t>
      </w:r>
      <w:proofErr w:type="spellEnd"/>
      <w:r w:rsidRPr="00D46FCB">
        <w:rPr>
          <w:lang w:val="ru-RU"/>
        </w:rPr>
        <w:t xml:space="preserve"> с помощью его компаний в области ИКТ. Для решения этой задачи </w:t>
      </w:r>
      <w:proofErr w:type="spellStart"/>
      <w:r w:rsidRPr="00D46FCB">
        <w:rPr>
          <w:lang w:val="ru-RU"/>
        </w:rPr>
        <w:t>ROP-TIC</w:t>
      </w:r>
      <w:proofErr w:type="spellEnd"/>
      <w:r w:rsidRPr="00D46FCB">
        <w:rPr>
          <w:lang w:val="ru-RU"/>
        </w:rPr>
        <w:t xml:space="preserve"> устанавливает конкретные цели, которые включают выполнение функций аналитического центра и разработку предложений, профессиональную подготовку, информирование и защиту интересов ее членов, содействие развитию цифровой культуры и поощрение инвестиций в цифровые технологии. Штаб-квартира </w:t>
      </w:r>
      <w:proofErr w:type="spellStart"/>
      <w:r w:rsidRPr="00D46FCB">
        <w:rPr>
          <w:lang w:val="ru-RU"/>
        </w:rPr>
        <w:t>ROP-TIC</w:t>
      </w:r>
      <w:proofErr w:type="spellEnd"/>
      <w:r w:rsidRPr="00D46FCB">
        <w:rPr>
          <w:lang w:val="ru-RU"/>
        </w:rPr>
        <w:t xml:space="preserve"> расположена в Уагадугу, Буркина-Фасо. По мнению Секретариата, это объединение как региональная ассоциация профессиональных организаций отвечает критериям, установленным Советом для освобождения от уплаты взносов.</w:t>
      </w:r>
    </w:p>
    <w:p w14:paraId="5E6DDE8D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2.8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7AE86D9D" w14:textId="77777777" w:rsidTr="001F3D69">
        <w:trPr>
          <w:cantSplit/>
        </w:trPr>
        <w:tc>
          <w:tcPr>
            <w:tcW w:w="4528" w:type="dxa"/>
          </w:tcPr>
          <w:p w14:paraId="37FFA2DC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6517B161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735765C7" w14:textId="611484E3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7E8CD4BA" w14:textId="77777777" w:rsidTr="001F3D69">
        <w:trPr>
          <w:cantSplit/>
        </w:trPr>
        <w:tc>
          <w:tcPr>
            <w:tcW w:w="4528" w:type="dxa"/>
            <w:vAlign w:val="center"/>
          </w:tcPr>
          <w:p w14:paraId="41C216A6" w14:textId="668A734E" w:rsidR="006C3DC4" w:rsidRPr="00D46FCB" w:rsidRDefault="00E17CE6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 xml:space="preserve">Организация по вопросам цифровой солидарности в сфере образования и здравоохранения города </w:t>
            </w:r>
            <w:proofErr w:type="spellStart"/>
            <w:r w:rsidRPr="00D46FCB">
              <w:rPr>
                <w:b/>
                <w:bCs/>
                <w:lang w:val="ru-RU"/>
              </w:rPr>
              <w:t>Кастр</w:t>
            </w:r>
            <w:proofErr w:type="spellEnd"/>
            <w:r w:rsidRPr="00D46FCB">
              <w:rPr>
                <w:b/>
                <w:bCs/>
                <w:lang w:val="ru-RU"/>
              </w:rPr>
              <w:t xml:space="preserve"> </w:t>
            </w:r>
            <w:r w:rsidR="006C3DC4" w:rsidRPr="00D46FCB">
              <w:rPr>
                <w:b/>
                <w:bCs/>
                <w:lang w:val="ru-RU"/>
              </w:rPr>
              <w:t>(</w:t>
            </w:r>
            <w:proofErr w:type="spellStart"/>
            <w:r w:rsidR="006C3DC4" w:rsidRPr="00D46FCB">
              <w:rPr>
                <w:b/>
                <w:bCs/>
                <w:lang w:val="ru-RU"/>
              </w:rPr>
              <w:t>SNESC</w:t>
            </w:r>
            <w:proofErr w:type="spellEnd"/>
            <w:r w:rsidR="006C3DC4"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</w:tcPr>
          <w:p w14:paraId="4DEBA676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</w:tcPr>
          <w:p w14:paraId="645DD3A2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</w:tc>
      </w:tr>
    </w:tbl>
    <w:p w14:paraId="7BC9CC77" w14:textId="77777777" w:rsidR="006C3DC4" w:rsidRPr="00D46FCB" w:rsidRDefault="006C3DC4" w:rsidP="00E17CE6">
      <w:pPr>
        <w:rPr>
          <w:rFonts w:asciiTheme="minorHAnsi" w:eastAsia="SimSun" w:hAnsiTheme="minorHAnsi" w:cstheme="minorBidi"/>
          <w:lang w:val="ru-RU"/>
        </w:rPr>
      </w:pPr>
      <w:r w:rsidRPr="00D46FCB">
        <w:rPr>
          <w:lang w:val="ru-RU"/>
        </w:rPr>
        <w:t xml:space="preserve">Организация по вопросам цифровой солидарности в области образования и здравоохранения города </w:t>
      </w:r>
      <w:proofErr w:type="spellStart"/>
      <w:r w:rsidRPr="00D46FCB">
        <w:rPr>
          <w:lang w:val="ru-RU"/>
        </w:rPr>
        <w:t>Кастр</w:t>
      </w:r>
      <w:proofErr w:type="spellEnd"/>
      <w:r w:rsidRPr="00D46FCB">
        <w:rPr>
          <w:lang w:val="ru-RU"/>
        </w:rPr>
        <w:t xml:space="preserve"> (</w:t>
      </w:r>
      <w:proofErr w:type="spellStart"/>
      <w:r w:rsidRPr="00D46FCB">
        <w:rPr>
          <w:lang w:val="ru-RU"/>
        </w:rPr>
        <w:t>SNESC</w:t>
      </w:r>
      <w:proofErr w:type="spellEnd"/>
      <w:r w:rsidRPr="00D46FCB">
        <w:rPr>
          <w:lang w:val="ru-RU"/>
        </w:rPr>
        <w:t>) представляет собой некоммерческую организацию, основной целью которой является содействие дистанционному, или электронному, обучению. Ее работа включает предоставление консультаций, разработку и распространение образовательных материалов и предоставление специальных знаний. По мнению Секретариата, это объединение, согласно имеющейся информации, не отвечает критериям, установленным Советом для освобождения от уплаты взносов.</w:t>
      </w:r>
    </w:p>
    <w:p w14:paraId="07B5FCD3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lastRenderedPageBreak/>
        <w:t>2.9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46744191" w14:textId="77777777" w:rsidTr="001F3D69">
        <w:trPr>
          <w:cantSplit/>
        </w:trPr>
        <w:tc>
          <w:tcPr>
            <w:tcW w:w="4528" w:type="dxa"/>
          </w:tcPr>
          <w:p w14:paraId="6BB0ED69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7D90CF46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6034036C" w14:textId="7F2C49B4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44C23127" w14:textId="77777777" w:rsidTr="001F3D69">
        <w:trPr>
          <w:cantSplit/>
        </w:trPr>
        <w:tc>
          <w:tcPr>
            <w:tcW w:w="4528" w:type="dxa"/>
            <w:vAlign w:val="center"/>
          </w:tcPr>
          <w:p w14:paraId="750430C3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 xml:space="preserve">The </w:t>
            </w:r>
            <w:proofErr w:type="spellStart"/>
            <w:r w:rsidRPr="00D46FCB">
              <w:rPr>
                <w:b/>
                <w:bCs/>
                <w:lang w:val="ru-RU"/>
              </w:rPr>
              <w:t>Unconnected</w:t>
            </w:r>
            <w:proofErr w:type="spellEnd"/>
            <w:r w:rsidRPr="00D46FCB">
              <w:rPr>
                <w:b/>
                <w:bCs/>
                <w:lang w:val="ru-RU"/>
              </w:rPr>
              <w:t xml:space="preserve"> Foundation</w:t>
            </w:r>
          </w:p>
        </w:tc>
        <w:tc>
          <w:tcPr>
            <w:tcW w:w="1553" w:type="dxa"/>
            <w:vAlign w:val="center"/>
          </w:tcPr>
          <w:p w14:paraId="3CCFA7EB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  <w:vAlign w:val="center"/>
          </w:tcPr>
          <w:p w14:paraId="0569BE9D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</w:tc>
      </w:tr>
    </w:tbl>
    <w:p w14:paraId="68E46DC5" w14:textId="77777777" w:rsidR="006C3DC4" w:rsidRPr="00D46FCB" w:rsidRDefault="006C3DC4" w:rsidP="00E17CE6">
      <w:pPr>
        <w:rPr>
          <w:rFonts w:asciiTheme="minorHAnsi" w:eastAsia="SimSun" w:hAnsiTheme="minorHAnsi" w:cstheme="minorBidi"/>
          <w:lang w:val="ru-RU"/>
        </w:rPr>
      </w:pPr>
      <w:r w:rsidRPr="00D46FCB">
        <w:rPr>
          <w:lang w:val="ru-RU"/>
        </w:rPr>
        <w:t>Основанная в 2020 году и расположенная в Лондоне, Unconnected.org – это благотворительная организация по сбору средств, которая занимается вопросами преодоления цифрового разрыва. Она уделяет основное внимание людям, по-прежнему не имеющим доступа к интернету, и стремится обеспечить подключение к интернету одного миллиарда не имеющих соединения человек. Она реализует глобальные проекты, касающиеся образования, торговли, рабочих мест, безопасности и здравоохранения, полагая, что доступ в интернет может сократить неравенство, ускорить развитие и обеспечить устойчивость. По мнению Секретариата, это объединение, согласно имеющейся информации, не отвечает критериям, установленным Советом для освобождения от уплаты взносов.</w:t>
      </w:r>
    </w:p>
    <w:p w14:paraId="1E541F25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2.10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10BA6BEB" w14:textId="77777777" w:rsidTr="001F3D69">
        <w:trPr>
          <w:cantSplit/>
        </w:trPr>
        <w:tc>
          <w:tcPr>
            <w:tcW w:w="4528" w:type="dxa"/>
          </w:tcPr>
          <w:p w14:paraId="1C3B9C98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35F33801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0FA6E561" w14:textId="7E1177C2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65F8513E" w14:textId="77777777" w:rsidTr="001F3D69">
        <w:trPr>
          <w:cantSplit/>
        </w:trPr>
        <w:tc>
          <w:tcPr>
            <w:tcW w:w="4528" w:type="dxa"/>
            <w:vAlign w:val="center"/>
          </w:tcPr>
          <w:p w14:paraId="5ACADA41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Всемирная организация "умных" и устойчивых городов (</w:t>
            </w:r>
            <w:proofErr w:type="spellStart"/>
            <w:r w:rsidRPr="00D46FCB">
              <w:rPr>
                <w:b/>
                <w:bCs/>
                <w:lang w:val="ru-RU"/>
              </w:rPr>
              <w:t>WeGo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</w:tcPr>
          <w:p w14:paraId="3323DF2F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МСЭ-Т</w:t>
            </w:r>
          </w:p>
        </w:tc>
        <w:tc>
          <w:tcPr>
            <w:tcW w:w="2982" w:type="dxa"/>
          </w:tcPr>
          <w:p w14:paraId="0235D350" w14:textId="77777777" w:rsidR="006C3DC4" w:rsidRPr="00D46FCB" w:rsidRDefault="006C3DC4" w:rsidP="001E53EE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p w14:paraId="0251A5AD" w14:textId="74F1A46A" w:rsidR="006C3DC4" w:rsidRPr="00D46FCB" w:rsidRDefault="006C3DC4" w:rsidP="00E17CE6">
      <w:pPr>
        <w:rPr>
          <w:rFonts w:asciiTheme="minorHAnsi" w:eastAsia="SimSun" w:hAnsiTheme="minorHAnsi" w:cs="Calibri"/>
          <w:lang w:val="ru-RU"/>
        </w:rPr>
      </w:pPr>
      <w:r w:rsidRPr="00D46FCB">
        <w:rPr>
          <w:lang w:val="ru-RU"/>
        </w:rPr>
        <w:t>Всемирная организация "умных" и устойчивых городов (</w:t>
      </w:r>
      <w:proofErr w:type="spellStart"/>
      <w:r w:rsidRPr="00D46FCB">
        <w:rPr>
          <w:lang w:val="ru-RU"/>
        </w:rPr>
        <w:t>WeGO</w:t>
      </w:r>
      <w:proofErr w:type="spellEnd"/>
      <w:r w:rsidRPr="00D46FCB">
        <w:rPr>
          <w:lang w:val="ru-RU"/>
        </w:rPr>
        <w:t xml:space="preserve">) является международной ассоциацией, в состав которой входят более 200 членов. Она состоит из местных органов власти, поставщиков "умных" технологических решений и различных учреждений. Основанная 50 городами-членами в 2010 году, </w:t>
      </w:r>
      <w:proofErr w:type="spellStart"/>
      <w:r w:rsidRPr="00D46FCB">
        <w:rPr>
          <w:lang w:val="ru-RU"/>
        </w:rPr>
        <w:t>WeGO</w:t>
      </w:r>
      <w:proofErr w:type="spellEnd"/>
      <w:r w:rsidRPr="00D46FCB">
        <w:rPr>
          <w:lang w:val="ru-RU"/>
        </w:rPr>
        <w:t xml:space="preserve"> стремится к преобразованию городов в "умные" устойчивые города путем содействия государственно-частным партнерствам (ГЧП). В</w:t>
      </w:r>
      <w:r w:rsidR="004E05E7" w:rsidRPr="00D46FCB">
        <w:rPr>
          <w:lang w:val="ru-RU"/>
        </w:rPr>
        <w:t> </w:t>
      </w:r>
      <w:r w:rsidRPr="00D46FCB">
        <w:rPr>
          <w:lang w:val="ru-RU"/>
        </w:rPr>
        <w:t xml:space="preserve">настоящее время </w:t>
      </w:r>
      <w:proofErr w:type="spellStart"/>
      <w:r w:rsidRPr="00D46FCB">
        <w:rPr>
          <w:lang w:val="ru-RU"/>
        </w:rPr>
        <w:t>WeGO</w:t>
      </w:r>
      <w:proofErr w:type="spellEnd"/>
      <w:r w:rsidRPr="00D46FCB">
        <w:rPr>
          <w:lang w:val="ru-RU"/>
        </w:rPr>
        <w:t xml:space="preserve"> служит для своих членов международной платформой для повышения качества жизни, внедрения инноваций в предоставлении государственных услуг и укрепления региональной конкурентоспособности. По мнению Секретариата, это объединение как международная ассоциация, в состав которой входят местные органы власти, отвечает критериям, установленным Советом для освобождения от уплаты взносов.</w:t>
      </w:r>
    </w:p>
    <w:p w14:paraId="114D826A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2.11</w:t>
      </w: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553"/>
        <w:gridCol w:w="2982"/>
      </w:tblGrid>
      <w:tr w:rsidR="006C3DC4" w:rsidRPr="00D46FCB" w14:paraId="2969EA78" w14:textId="77777777" w:rsidTr="001F3D69">
        <w:trPr>
          <w:cantSplit/>
        </w:trPr>
        <w:tc>
          <w:tcPr>
            <w:tcW w:w="4528" w:type="dxa"/>
          </w:tcPr>
          <w:p w14:paraId="6590E88F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0336B4CF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2982" w:type="dxa"/>
          </w:tcPr>
          <w:p w14:paraId="64C30A2A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559C6CE0" w14:textId="77777777" w:rsidTr="001F3D69">
        <w:trPr>
          <w:cantSplit/>
        </w:trPr>
        <w:tc>
          <w:tcPr>
            <w:tcW w:w="4528" w:type="dxa"/>
          </w:tcPr>
          <w:p w14:paraId="5F54B5B7" w14:textId="77777777" w:rsidR="006C3DC4" w:rsidRPr="00D46FCB" w:rsidRDefault="006C3DC4" w:rsidP="001E53EE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Всемирный фонд гуманитарной поддержки (</w:t>
            </w:r>
            <w:proofErr w:type="spellStart"/>
            <w:r w:rsidRPr="00D46FCB">
              <w:rPr>
                <w:b/>
                <w:bCs/>
                <w:lang w:val="ru-RU"/>
              </w:rPr>
              <w:t>WHSF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  <w:vAlign w:val="center"/>
          </w:tcPr>
          <w:p w14:paraId="4FCC0931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</w:t>
            </w:r>
            <w:r w:rsidRPr="00D46FCB">
              <w:rPr>
                <w:lang w:val="ru-RU"/>
              </w:rPr>
              <w:noBreakHyphen/>
              <w:t>R</w:t>
            </w:r>
          </w:p>
          <w:p w14:paraId="6189833A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МСЭ-Т</w:t>
            </w:r>
          </w:p>
          <w:p w14:paraId="737C2D85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МСЭ-D</w:t>
            </w:r>
          </w:p>
        </w:tc>
        <w:tc>
          <w:tcPr>
            <w:tcW w:w="2982" w:type="dxa"/>
            <w:vAlign w:val="center"/>
          </w:tcPr>
          <w:p w14:paraId="7DEB4544" w14:textId="3FBED58B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  <w:p w14:paraId="45CD4EF1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  <w:p w14:paraId="705A5C86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Нет</w:t>
            </w:r>
          </w:p>
        </w:tc>
      </w:tr>
    </w:tbl>
    <w:p w14:paraId="6D09B24D" w14:textId="77777777" w:rsidR="006C3DC4" w:rsidRPr="00D46FCB" w:rsidRDefault="006C3DC4" w:rsidP="00E17CE6">
      <w:pPr>
        <w:rPr>
          <w:rFonts w:asciiTheme="minorHAnsi" w:eastAsia="SimSun" w:hAnsiTheme="minorHAnsi" w:cstheme="minorBidi"/>
          <w:lang w:val="ru-RU"/>
        </w:rPr>
      </w:pPr>
      <w:r w:rsidRPr="00D46FCB">
        <w:rPr>
          <w:lang w:val="ru-RU"/>
        </w:rPr>
        <w:t>Всемирный фонд гуманитарной поддержки (</w:t>
      </w:r>
      <w:proofErr w:type="spellStart"/>
      <w:r w:rsidRPr="00D46FCB">
        <w:rPr>
          <w:lang w:val="ru-RU"/>
        </w:rPr>
        <w:t>WHSF</w:t>
      </w:r>
      <w:proofErr w:type="spellEnd"/>
      <w:r w:rsidRPr="00D46FCB">
        <w:rPr>
          <w:lang w:val="ru-RU"/>
        </w:rPr>
        <w:t>) – это НПО, миссия которой заключается в оказании гуманитарной поддержки путем сокращения масштабов нищеты, при этом основное внимание уделяется сохранению человеческого достоинства, укреплению сообществ и развитию людей, с тем чтобы они в полной мере раскрыли свой потенциал. Деятельность организации, расположенной в Нигерии и США, направлена на сокращение масштабов нищеты посредством обеспечения образования и профессиональной подготовки для маргинализированных лиц и их сообществ. По мнению Секретариата, это объединение, согласно имеющейся информации, не отвечает критериям, установленным Советом для освобождения от уплаты взносов.</w:t>
      </w:r>
    </w:p>
    <w:p w14:paraId="280A2784" w14:textId="77777777" w:rsidR="006C3DC4" w:rsidRPr="00D46FCB" w:rsidRDefault="006C3DC4" w:rsidP="005D1AA0">
      <w:pPr>
        <w:keepNext/>
        <w:spacing w:after="120"/>
        <w:rPr>
          <w:lang w:val="ru-RU"/>
        </w:rPr>
      </w:pPr>
      <w:r w:rsidRPr="00D46FCB">
        <w:rPr>
          <w:lang w:val="ru-RU"/>
        </w:rPr>
        <w:t>2.12</w:t>
      </w:r>
    </w:p>
    <w:tbl>
      <w:tblPr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553"/>
        <w:gridCol w:w="3134"/>
      </w:tblGrid>
      <w:tr w:rsidR="006C3DC4" w:rsidRPr="00D46FCB" w14:paraId="1274D238" w14:textId="77777777" w:rsidTr="001F3D69">
        <w:trPr>
          <w:cantSplit/>
        </w:trPr>
        <w:tc>
          <w:tcPr>
            <w:tcW w:w="4528" w:type="dxa"/>
          </w:tcPr>
          <w:p w14:paraId="289AAA07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Организация</w:t>
            </w:r>
          </w:p>
        </w:tc>
        <w:tc>
          <w:tcPr>
            <w:tcW w:w="1553" w:type="dxa"/>
          </w:tcPr>
          <w:p w14:paraId="5079956D" w14:textId="77777777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Сектор</w:t>
            </w:r>
          </w:p>
        </w:tc>
        <w:tc>
          <w:tcPr>
            <w:tcW w:w="3134" w:type="dxa"/>
          </w:tcPr>
          <w:p w14:paraId="6631757B" w14:textId="41589323" w:rsidR="006C3DC4" w:rsidRPr="00D46FCB" w:rsidRDefault="006C3DC4" w:rsidP="00E17CE6">
            <w:pPr>
              <w:pStyle w:val="Tablehead"/>
              <w:rPr>
                <w:lang w:val="ru-RU"/>
              </w:rPr>
            </w:pPr>
            <w:r w:rsidRPr="00D46FCB">
              <w:rPr>
                <w:lang w:val="ru-RU"/>
              </w:rPr>
              <w:t>Рекомендация</w:t>
            </w:r>
          </w:p>
        </w:tc>
      </w:tr>
      <w:tr w:rsidR="006C3DC4" w:rsidRPr="00D46FCB" w14:paraId="336355E7" w14:textId="77777777" w:rsidTr="001F3D69">
        <w:trPr>
          <w:cantSplit/>
        </w:trPr>
        <w:tc>
          <w:tcPr>
            <w:tcW w:w="4528" w:type="dxa"/>
            <w:vAlign w:val="center"/>
          </w:tcPr>
          <w:p w14:paraId="26B15C5A" w14:textId="77777777" w:rsidR="006C3DC4" w:rsidRPr="00D46FCB" w:rsidRDefault="006C3DC4" w:rsidP="00E17CE6">
            <w:pPr>
              <w:pStyle w:val="Tabletext"/>
              <w:rPr>
                <w:b/>
                <w:bCs/>
                <w:lang w:val="ru-RU"/>
              </w:rPr>
            </w:pPr>
            <w:r w:rsidRPr="00D46FCB">
              <w:rPr>
                <w:b/>
                <w:bCs/>
                <w:lang w:val="ru-RU"/>
              </w:rPr>
              <w:t>Организации цифрового сотрудничества (</w:t>
            </w:r>
            <w:proofErr w:type="spellStart"/>
            <w:r w:rsidRPr="00D46FCB">
              <w:rPr>
                <w:b/>
                <w:bCs/>
                <w:lang w:val="ru-RU"/>
              </w:rPr>
              <w:t>DCO</w:t>
            </w:r>
            <w:proofErr w:type="spellEnd"/>
            <w:r w:rsidRPr="00D46FCB">
              <w:rPr>
                <w:b/>
                <w:bCs/>
                <w:lang w:val="ru-RU"/>
              </w:rPr>
              <w:t>)</w:t>
            </w:r>
          </w:p>
        </w:tc>
        <w:tc>
          <w:tcPr>
            <w:tcW w:w="1553" w:type="dxa"/>
            <w:vAlign w:val="center"/>
          </w:tcPr>
          <w:p w14:paraId="7D30B066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МСЭ-Т</w:t>
            </w:r>
          </w:p>
        </w:tc>
        <w:tc>
          <w:tcPr>
            <w:tcW w:w="3134" w:type="dxa"/>
            <w:vAlign w:val="center"/>
          </w:tcPr>
          <w:p w14:paraId="4FEC32BD" w14:textId="77777777" w:rsidR="006C3DC4" w:rsidRPr="00D46FCB" w:rsidRDefault="006C3DC4" w:rsidP="00E17CE6">
            <w:pPr>
              <w:pStyle w:val="Tabletext"/>
              <w:jc w:val="center"/>
              <w:rPr>
                <w:lang w:val="ru-RU"/>
              </w:rPr>
            </w:pPr>
            <w:r w:rsidRPr="00D46FCB">
              <w:rPr>
                <w:lang w:val="ru-RU"/>
              </w:rPr>
              <w:t>Да</w:t>
            </w:r>
          </w:p>
        </w:tc>
      </w:tr>
    </w:tbl>
    <w:p w14:paraId="1CFCA840" w14:textId="77777777" w:rsidR="006C3DC4" w:rsidRPr="00D46FCB" w:rsidRDefault="006C3DC4" w:rsidP="00E17CE6">
      <w:pPr>
        <w:rPr>
          <w:rFonts w:asciiTheme="minorHAnsi" w:eastAsia="SimSun" w:hAnsiTheme="minorHAnsi" w:cstheme="minorBidi"/>
          <w:color w:val="000000" w:themeColor="text1"/>
          <w:lang w:val="ru-RU"/>
        </w:rPr>
      </w:pPr>
      <w:r w:rsidRPr="00D46FCB">
        <w:rPr>
          <w:lang w:val="ru-RU"/>
        </w:rPr>
        <w:lastRenderedPageBreak/>
        <w:t>Организация цифрового сотрудничества (</w:t>
      </w:r>
      <w:proofErr w:type="spellStart"/>
      <w:r w:rsidRPr="00D46FCB">
        <w:rPr>
          <w:lang w:val="ru-RU"/>
        </w:rPr>
        <w:t>DCO</w:t>
      </w:r>
      <w:proofErr w:type="spellEnd"/>
      <w:r w:rsidRPr="00D46FCB">
        <w:rPr>
          <w:lang w:val="ru-RU"/>
        </w:rPr>
        <w:t xml:space="preserve">) является международным объединением, которое стремится содействовать цифровому сотрудничеству между своими членами и укреплять роль технологий и цифровизации в развитии стран. Его целью является укрепление глобальной цифровой экономики, построение цифрового общества, обеспечивающего процветающее будущее, инновации и устойчивый рост, а также создание цифровой среды, обеспечивающей цифровую безопасность в мире. </w:t>
      </w:r>
      <w:proofErr w:type="spellStart"/>
      <w:r w:rsidRPr="00D46FCB">
        <w:rPr>
          <w:lang w:val="ru-RU"/>
        </w:rPr>
        <w:t>DCO</w:t>
      </w:r>
      <w:proofErr w:type="spellEnd"/>
      <w:r w:rsidRPr="00D46FCB">
        <w:rPr>
          <w:lang w:val="ru-RU"/>
        </w:rPr>
        <w:t xml:space="preserve"> является Членом Сектора МСЭ-D, освобожденным от уплаты взносов. По мнению Секретариата это объединение как международная организация, в состав которой входят Государства-Члены, отвечает критериям, установленным Советом для освобождения от уплаты взносов.</w:t>
      </w:r>
    </w:p>
    <w:p w14:paraId="28C9DD73" w14:textId="51490FC4" w:rsidR="00796BD3" w:rsidRPr="00D46FCB" w:rsidRDefault="00492313" w:rsidP="004E05E7">
      <w:pPr>
        <w:spacing w:before="720"/>
        <w:jc w:val="center"/>
        <w:rPr>
          <w:lang w:val="ru-RU"/>
        </w:rPr>
      </w:pPr>
      <w:r w:rsidRPr="00D46FCB">
        <w:rPr>
          <w:lang w:val="ru-RU"/>
        </w:rPr>
        <w:t>______________</w:t>
      </w:r>
    </w:p>
    <w:sectPr w:rsidR="00796BD3" w:rsidRPr="00D46FCB" w:rsidSect="00903109">
      <w:footerReference w:type="default" r:id="rId14"/>
      <w:headerReference w:type="first" r:id="rId15"/>
      <w:footerReference w:type="first" r:id="rId16"/>
      <w:pgSz w:w="11907" w:h="16834" w:code="9"/>
      <w:pgMar w:top="1418" w:right="1418" w:bottom="1418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0D3B" w14:textId="77777777" w:rsidR="00903109" w:rsidRDefault="00903109">
      <w:r>
        <w:separator/>
      </w:r>
    </w:p>
  </w:endnote>
  <w:endnote w:type="continuationSeparator" w:id="0">
    <w:p w14:paraId="242F7A29" w14:textId="77777777" w:rsidR="00903109" w:rsidRDefault="009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313" w:rsidRPr="00784011" w14:paraId="10E76132" w14:textId="77777777" w:rsidTr="00B11E3E">
      <w:trPr>
        <w:jc w:val="center"/>
      </w:trPr>
      <w:tc>
        <w:tcPr>
          <w:tcW w:w="1803" w:type="dxa"/>
          <w:vAlign w:val="center"/>
        </w:tcPr>
        <w:p w14:paraId="62055C8D" w14:textId="5CA9DBBD" w:rsidR="00492313" w:rsidRPr="00492313" w:rsidRDefault="00492313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BC67D1" w14:textId="52B09D00" w:rsidR="00492313" w:rsidRPr="00E06FD5" w:rsidRDefault="00492313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934657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E17CE6">
            <w:rPr>
              <w:bCs/>
              <w:lang w:val="ru-RU"/>
            </w:rPr>
            <w:t>3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654678217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="00934657" w:rsidRPr="00934657">
                <w:rPr>
                  <w:szCs w:val="18"/>
                </w:rPr>
                <w:fldChar w:fldCharType="begin"/>
              </w:r>
              <w:r w:rsidR="00934657" w:rsidRPr="00934657">
                <w:rPr>
                  <w:szCs w:val="18"/>
                </w:rPr>
                <w:instrText xml:space="preserve"> PAGE   \* MERGEFORMAT </w:instrText>
              </w:r>
              <w:r w:rsidR="00934657" w:rsidRPr="00934657">
                <w:rPr>
                  <w:szCs w:val="18"/>
                </w:rPr>
                <w:fldChar w:fldCharType="separate"/>
              </w:r>
              <w:r w:rsidR="00934657">
                <w:rPr>
                  <w:szCs w:val="18"/>
                </w:rPr>
                <w:t>1</w:t>
              </w:r>
              <w:r w:rsidR="00934657"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31213545" w14:textId="77777777" w:rsidR="00492313" w:rsidRDefault="0049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4657" w:rsidRPr="00784011" w14:paraId="0048C966" w14:textId="77777777" w:rsidTr="00B11E3E">
      <w:trPr>
        <w:jc w:val="center"/>
      </w:trPr>
      <w:tc>
        <w:tcPr>
          <w:tcW w:w="1803" w:type="dxa"/>
          <w:vAlign w:val="center"/>
        </w:tcPr>
        <w:p w14:paraId="60AEA135" w14:textId="061CA50B" w:rsidR="00934657" w:rsidRPr="00492313" w:rsidRDefault="004268C4" w:rsidP="00934657">
          <w:pPr>
            <w:pStyle w:val="Header"/>
            <w:jc w:val="left"/>
            <w:rPr>
              <w:noProof/>
              <w:lang w:val="ru-RU"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66B5FD9" w14:textId="67C9A514" w:rsidR="00934657" w:rsidRPr="00E06FD5" w:rsidRDefault="00934657" w:rsidP="00934657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6C3DC4">
            <w:rPr>
              <w:bCs/>
              <w:lang w:val="ru-RU"/>
            </w:rPr>
            <w:t>3</w:t>
          </w:r>
          <w:r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912534863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13C25093" w14:textId="77777777" w:rsidR="00934657" w:rsidRPr="00934657" w:rsidRDefault="00934657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CA2" w14:textId="77777777" w:rsidR="00903109" w:rsidRDefault="00903109">
      <w:r>
        <w:t>____________________</w:t>
      </w:r>
    </w:p>
  </w:footnote>
  <w:footnote w:type="continuationSeparator" w:id="0">
    <w:p w14:paraId="108E91D0" w14:textId="77777777" w:rsidR="00903109" w:rsidRDefault="009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492313" w:rsidRPr="00784011" w14:paraId="233AD319" w14:textId="77777777" w:rsidTr="00B11E3E">
      <w:trPr>
        <w:trHeight w:val="1104"/>
        <w:jc w:val="center"/>
      </w:trPr>
      <w:tc>
        <w:tcPr>
          <w:tcW w:w="4390" w:type="dxa"/>
          <w:vAlign w:val="center"/>
        </w:tcPr>
        <w:p w14:paraId="3601F459" w14:textId="77777777" w:rsidR="00492313" w:rsidRPr="009621F8" w:rsidRDefault="00492313" w:rsidP="004923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67851785" wp14:editId="77E4428C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60001" w14:textId="675EAA4B" w:rsidR="00492313" w:rsidRPr="00784011" w:rsidRDefault="00492313" w:rsidP="004923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22C12A6B" w14:textId="77777777" w:rsidR="00492313" w:rsidRDefault="00492313" w:rsidP="004923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F105" wp14:editId="65FFFF8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FF6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1638"/>
    <w:multiLevelType w:val="hybridMultilevel"/>
    <w:tmpl w:val="09649332"/>
    <w:lvl w:ilvl="0" w:tplc="B96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B18"/>
    <w:multiLevelType w:val="hybridMultilevel"/>
    <w:tmpl w:val="87101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62C7A"/>
    <w:multiLevelType w:val="hybridMultilevel"/>
    <w:tmpl w:val="171AA56C"/>
    <w:lvl w:ilvl="0" w:tplc="5D8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482"/>
    <w:multiLevelType w:val="hybridMultilevel"/>
    <w:tmpl w:val="7CE0F97E"/>
    <w:lvl w:ilvl="0" w:tplc="D5B2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6"/>
  </w:num>
  <w:num w:numId="4" w16cid:durableId="2129275002">
    <w:abstractNumId w:val="1"/>
  </w:num>
  <w:num w:numId="5" w16cid:durableId="1796826036">
    <w:abstractNumId w:val="4"/>
  </w:num>
  <w:num w:numId="6" w16cid:durableId="370111735">
    <w:abstractNumId w:val="7"/>
  </w:num>
  <w:num w:numId="7" w16cid:durableId="114183123">
    <w:abstractNumId w:val="3"/>
  </w:num>
  <w:num w:numId="8" w16cid:durableId="13134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B3DBD"/>
    <w:rsid w:val="000E568E"/>
    <w:rsid w:val="0014734F"/>
    <w:rsid w:val="0015710D"/>
    <w:rsid w:val="00160B42"/>
    <w:rsid w:val="00163A32"/>
    <w:rsid w:val="00165D06"/>
    <w:rsid w:val="00186E4F"/>
    <w:rsid w:val="00192B41"/>
    <w:rsid w:val="001B7B09"/>
    <w:rsid w:val="001E53EE"/>
    <w:rsid w:val="001E6719"/>
    <w:rsid w:val="001E7F50"/>
    <w:rsid w:val="001F3D69"/>
    <w:rsid w:val="00225368"/>
    <w:rsid w:val="00227FF0"/>
    <w:rsid w:val="00291EB6"/>
    <w:rsid w:val="002D2F57"/>
    <w:rsid w:val="002D48C5"/>
    <w:rsid w:val="00300852"/>
    <w:rsid w:val="0033025A"/>
    <w:rsid w:val="003531B6"/>
    <w:rsid w:val="0036686D"/>
    <w:rsid w:val="003F099E"/>
    <w:rsid w:val="003F235E"/>
    <w:rsid w:val="004023E0"/>
    <w:rsid w:val="00403DD8"/>
    <w:rsid w:val="00410915"/>
    <w:rsid w:val="0041297C"/>
    <w:rsid w:val="004268C4"/>
    <w:rsid w:val="00442515"/>
    <w:rsid w:val="0045686C"/>
    <w:rsid w:val="00476DD9"/>
    <w:rsid w:val="004918C4"/>
    <w:rsid w:val="00492313"/>
    <w:rsid w:val="00497703"/>
    <w:rsid w:val="004A0374"/>
    <w:rsid w:val="004A45B5"/>
    <w:rsid w:val="004D0129"/>
    <w:rsid w:val="004E05E7"/>
    <w:rsid w:val="005A64D5"/>
    <w:rsid w:val="005B3DEC"/>
    <w:rsid w:val="005C0776"/>
    <w:rsid w:val="005D1AA0"/>
    <w:rsid w:val="00601994"/>
    <w:rsid w:val="00660449"/>
    <w:rsid w:val="00672F8A"/>
    <w:rsid w:val="006C3DC4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0D30"/>
    <w:rsid w:val="008173AA"/>
    <w:rsid w:val="0082787D"/>
    <w:rsid w:val="00840A14"/>
    <w:rsid w:val="008A3421"/>
    <w:rsid w:val="008B62B4"/>
    <w:rsid w:val="008D2D7B"/>
    <w:rsid w:val="008E0737"/>
    <w:rsid w:val="008F7C2C"/>
    <w:rsid w:val="00903109"/>
    <w:rsid w:val="00934657"/>
    <w:rsid w:val="00940E96"/>
    <w:rsid w:val="009657C5"/>
    <w:rsid w:val="009A78C9"/>
    <w:rsid w:val="009B0BAE"/>
    <w:rsid w:val="009C1C89"/>
    <w:rsid w:val="009F3448"/>
    <w:rsid w:val="00A01CF9"/>
    <w:rsid w:val="00A71773"/>
    <w:rsid w:val="00AE2293"/>
    <w:rsid w:val="00AE2C85"/>
    <w:rsid w:val="00B12A37"/>
    <w:rsid w:val="00B200E1"/>
    <w:rsid w:val="00B41837"/>
    <w:rsid w:val="00B63EF2"/>
    <w:rsid w:val="00BA7D89"/>
    <w:rsid w:val="00BC0D39"/>
    <w:rsid w:val="00BC7BC0"/>
    <w:rsid w:val="00BD57B7"/>
    <w:rsid w:val="00BE63E2"/>
    <w:rsid w:val="00C34F8E"/>
    <w:rsid w:val="00C62315"/>
    <w:rsid w:val="00CD2009"/>
    <w:rsid w:val="00CF4694"/>
    <w:rsid w:val="00CF629C"/>
    <w:rsid w:val="00D42F17"/>
    <w:rsid w:val="00D46FCB"/>
    <w:rsid w:val="00D92EEA"/>
    <w:rsid w:val="00DA5D4E"/>
    <w:rsid w:val="00E176BA"/>
    <w:rsid w:val="00E17CE6"/>
    <w:rsid w:val="00E423EC"/>
    <w:rsid w:val="00E55121"/>
    <w:rsid w:val="00EB4FCB"/>
    <w:rsid w:val="00EC50A1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300852"/>
    <w:pPr>
      <w:spacing w:before="320"/>
      <w:outlineLvl w:val="1"/>
    </w:pPr>
    <w:rPr>
      <w:b w:val="0"/>
    </w:rPr>
  </w:style>
  <w:style w:type="paragraph" w:styleId="Heading3">
    <w:name w:val="heading 3"/>
    <w:basedOn w:val="Heading1"/>
    <w:next w:val="Normal"/>
    <w:uiPriority w:val="12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11"/>
    <w:rsid w:val="00300852"/>
    <w:rPr>
      <w:rFonts w:ascii="Calibri" w:hAnsi="Calibri"/>
      <w:sz w:val="26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10"/>
    <w:rsid w:val="00EC50A1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34657"/>
    <w:rPr>
      <w:rFonts w:ascii="Calibri" w:hAnsi="Calibri"/>
      <w:caps/>
      <w:noProof/>
      <w:sz w:val="16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hyperlink" Target="https://www.itu.int/hub/membership/itu-family/organizations/exempted-entities/exemption-criteri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hub/membership/itu-family/organizations/exempted-entit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4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hub/membership/our-members/exempted-ent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56</TotalTime>
  <Pages>6</Pages>
  <Words>1561</Words>
  <Characters>11862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8</cp:revision>
  <cp:lastPrinted>2006-03-28T16:12:00Z</cp:lastPrinted>
  <dcterms:created xsi:type="dcterms:W3CDTF">2024-05-21T11:56:00Z</dcterms:created>
  <dcterms:modified xsi:type="dcterms:W3CDTF">2024-05-21T13:35:00Z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