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A07C215">
        <w:trPr>
          <w:cantSplit/>
          <w:trHeight w:val="23"/>
        </w:trPr>
        <w:tc>
          <w:tcPr>
            <w:tcW w:w="3969" w:type="dxa"/>
            <w:vMerge w:val="restart"/>
            <w:tcMar>
              <w:left w:w="0" w:type="dxa"/>
            </w:tcMar>
          </w:tcPr>
          <w:p w14:paraId="60A806D3" w14:textId="5A55DCB1"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3F61AC">
              <w:rPr>
                <w:b/>
              </w:rPr>
              <w:t>ADM 1</w:t>
            </w:r>
          </w:p>
        </w:tc>
        <w:tc>
          <w:tcPr>
            <w:tcW w:w="5245" w:type="dxa"/>
          </w:tcPr>
          <w:p w14:paraId="291AB2A2" w14:textId="5181566F"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3F61AC">
              <w:rPr>
                <w:b/>
              </w:rPr>
              <w:t>39</w:t>
            </w:r>
            <w:r>
              <w:rPr>
                <w:b/>
              </w:rPr>
              <w:t>-E</w:t>
            </w:r>
          </w:p>
        </w:tc>
      </w:tr>
      <w:tr w:rsidR="00AD3606" w:rsidRPr="00813E5E" w14:paraId="789B45BA" w14:textId="77777777" w:rsidTr="4A07C215">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481A05D" w:rsidR="00AD3606" w:rsidRPr="00E85629" w:rsidRDefault="002043C2" w:rsidP="00AD3606">
            <w:pPr>
              <w:tabs>
                <w:tab w:val="left" w:pos="851"/>
              </w:tabs>
              <w:spacing w:before="0"/>
              <w:jc w:val="right"/>
              <w:rPr>
                <w:b/>
              </w:rPr>
            </w:pPr>
            <w:r>
              <w:rPr>
                <w:b/>
              </w:rPr>
              <w:t>9</w:t>
            </w:r>
            <w:r w:rsidR="003F61AC">
              <w:rPr>
                <w:b/>
              </w:rPr>
              <w:t xml:space="preserve"> April</w:t>
            </w:r>
            <w:r w:rsidR="00AD3606">
              <w:rPr>
                <w:b/>
              </w:rPr>
              <w:t xml:space="preserve"> 202</w:t>
            </w:r>
            <w:r w:rsidR="00E23618">
              <w:rPr>
                <w:b/>
              </w:rPr>
              <w:t>4</w:t>
            </w:r>
          </w:p>
        </w:tc>
      </w:tr>
      <w:tr w:rsidR="00AD3606" w:rsidRPr="00813E5E" w14:paraId="58A84C4A" w14:textId="77777777" w:rsidTr="4A07C215">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4A07C215">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A07C215">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4A07C215">
        <w:trPr>
          <w:cantSplit/>
        </w:trPr>
        <w:tc>
          <w:tcPr>
            <w:tcW w:w="9214" w:type="dxa"/>
            <w:gridSpan w:val="2"/>
            <w:tcMar>
              <w:left w:w="0" w:type="dxa"/>
            </w:tcMar>
          </w:tcPr>
          <w:p w14:paraId="47B91AA8" w14:textId="0607813B" w:rsidR="00AD3606" w:rsidRPr="000232D1" w:rsidRDefault="000232D1" w:rsidP="006850BE">
            <w:pPr>
              <w:pStyle w:val="Subtitle1"/>
              <w:framePr w:hSpace="0" w:wrap="auto" w:xAlign="left" w:yAlign="inline"/>
              <w:rPr>
                <w:sz w:val="34"/>
                <w:szCs w:val="34"/>
              </w:rPr>
            </w:pPr>
            <w:bookmarkStart w:id="9" w:name="_Hlk162974427"/>
            <w:bookmarkStart w:id="10" w:name="dtitle1" w:colFirst="0" w:colLast="0"/>
            <w:bookmarkEnd w:id="8"/>
            <w:r w:rsidRPr="000232D1">
              <w:rPr>
                <w:sz w:val="34"/>
                <w:szCs w:val="34"/>
              </w:rPr>
              <w:t>NEW REQUESTS FOR EXEMPTION FROM FEES FOR ORGANI</w:t>
            </w:r>
            <w:r w:rsidR="00401B74">
              <w:rPr>
                <w:sz w:val="34"/>
                <w:szCs w:val="34"/>
              </w:rPr>
              <w:t>Z</w:t>
            </w:r>
            <w:r w:rsidRPr="000232D1">
              <w:rPr>
                <w:sz w:val="34"/>
                <w:szCs w:val="34"/>
              </w:rPr>
              <w:t>ATIONS OF AN INTERNATIONAL CHARACTER</w:t>
            </w:r>
            <w:bookmarkEnd w:id="9"/>
          </w:p>
        </w:tc>
      </w:tr>
      <w:tr w:rsidR="00AD3606" w:rsidRPr="00813E5E" w14:paraId="1F564D2D" w14:textId="77777777" w:rsidTr="4A07C215">
        <w:trPr>
          <w:cantSplit/>
        </w:trPr>
        <w:tc>
          <w:tcPr>
            <w:tcW w:w="9214" w:type="dxa"/>
            <w:gridSpan w:val="2"/>
            <w:tcBorders>
              <w:top w:val="single" w:sz="4" w:space="0" w:color="auto"/>
              <w:bottom w:val="single" w:sz="4" w:space="0" w:color="auto"/>
            </w:tcBorders>
            <w:tcMar>
              <w:left w:w="0" w:type="dxa"/>
            </w:tcMar>
          </w:tcPr>
          <w:p w14:paraId="4912ADDA" w14:textId="6818BB5D" w:rsidR="000232D1" w:rsidRPr="000232D1" w:rsidRDefault="000232D1" w:rsidP="000232D1">
            <w:pPr>
              <w:spacing w:before="160"/>
              <w:rPr>
                <w:b/>
                <w:bCs/>
                <w:sz w:val="26"/>
                <w:szCs w:val="26"/>
              </w:rPr>
            </w:pPr>
            <w:r w:rsidRPr="000232D1">
              <w:rPr>
                <w:b/>
                <w:bCs/>
                <w:sz w:val="26"/>
                <w:szCs w:val="26"/>
              </w:rPr>
              <w:t>Purpose</w:t>
            </w:r>
          </w:p>
          <w:p w14:paraId="6CA4708A" w14:textId="73A40271" w:rsidR="000232D1" w:rsidRPr="000232D1" w:rsidRDefault="000232D1" w:rsidP="000232D1">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 w:val="26"/>
                <w:szCs w:val="26"/>
              </w:rPr>
            </w:pPr>
            <w:r w:rsidRPr="000232D1">
              <w:rPr>
                <w:rFonts w:eastAsia="Calibri" w:cs="Calibri"/>
                <w:sz w:val="26"/>
                <w:szCs w:val="26"/>
              </w:rPr>
              <w:t xml:space="preserve">Each year, ITU receives requests from </w:t>
            </w:r>
            <w:bookmarkStart w:id="11" w:name="_Hlk95832083"/>
            <w:r w:rsidRPr="000232D1">
              <w:rPr>
                <w:rFonts w:eastAsia="SimSun"/>
                <w:sz w:val="26"/>
                <w:szCs w:val="26"/>
              </w:rPr>
              <w:t>organizations of an international character</w:t>
            </w:r>
            <w:r w:rsidRPr="000232D1">
              <w:rPr>
                <w:rFonts w:eastAsia="Calibri" w:cs="Calibri"/>
                <w:sz w:val="26"/>
                <w:szCs w:val="26"/>
              </w:rPr>
              <w:t xml:space="preserve"> </w:t>
            </w:r>
            <w:bookmarkEnd w:id="11"/>
            <w:r w:rsidRPr="000232D1">
              <w:rPr>
                <w:rFonts w:eastAsia="Calibri" w:cs="Calibri"/>
                <w:sz w:val="26"/>
                <w:szCs w:val="26"/>
              </w:rPr>
              <w:t xml:space="preserve">seeking exemption from membership fees and other financial contributions to the Union based on reciprocity. These new requests are reviewed by the secretariat according to criteria established by </w:t>
            </w:r>
            <w:r w:rsidR="00D5158B">
              <w:rPr>
                <w:rFonts w:eastAsia="Calibri" w:cs="Calibri"/>
                <w:sz w:val="26"/>
                <w:szCs w:val="26"/>
              </w:rPr>
              <w:t xml:space="preserve">the </w:t>
            </w:r>
            <w:r w:rsidRPr="000232D1">
              <w:rPr>
                <w:rFonts w:eastAsia="Calibri" w:cs="Calibri"/>
                <w:sz w:val="26"/>
                <w:szCs w:val="26"/>
              </w:rPr>
              <w:t>Council.</w:t>
            </w:r>
          </w:p>
          <w:p w14:paraId="7B7E50FF" w14:textId="77777777" w:rsidR="000232D1" w:rsidRPr="000232D1" w:rsidRDefault="000232D1" w:rsidP="000232D1">
            <w:pPr>
              <w:spacing w:before="160"/>
              <w:rPr>
                <w:b/>
                <w:bCs/>
                <w:sz w:val="26"/>
                <w:szCs w:val="26"/>
              </w:rPr>
            </w:pPr>
            <w:r w:rsidRPr="000232D1">
              <w:rPr>
                <w:b/>
                <w:bCs/>
                <w:sz w:val="26"/>
                <w:szCs w:val="26"/>
              </w:rPr>
              <w:t>Action required by the Council</w:t>
            </w:r>
          </w:p>
          <w:p w14:paraId="37F63203" w14:textId="77777777" w:rsidR="000232D1" w:rsidRPr="000232D1" w:rsidRDefault="000232D1" w:rsidP="000232D1">
            <w:pPr>
              <w:tabs>
                <w:tab w:val="left" w:pos="0"/>
              </w:tabs>
              <w:spacing w:after="120"/>
              <w:jc w:val="both"/>
              <w:rPr>
                <w:rFonts w:asciiTheme="minorHAnsi" w:eastAsiaTheme="minorEastAsia" w:hAnsiTheme="minorHAnsi" w:cstheme="minorBidi"/>
                <w:sz w:val="26"/>
                <w:szCs w:val="26"/>
                <w:lang w:eastAsia="zh-CN"/>
              </w:rPr>
            </w:pPr>
            <w:r w:rsidRPr="000232D1">
              <w:rPr>
                <w:rFonts w:asciiTheme="minorHAnsi" w:eastAsiaTheme="minorEastAsia" w:hAnsiTheme="minorHAnsi" w:cstheme="minorBidi"/>
                <w:sz w:val="26"/>
                <w:szCs w:val="26"/>
                <w:lang w:eastAsia="zh-CN"/>
              </w:rPr>
              <w:t xml:space="preserve">The Council is invited </w:t>
            </w:r>
            <w:r w:rsidRPr="000232D1">
              <w:rPr>
                <w:rFonts w:asciiTheme="minorHAnsi" w:eastAsiaTheme="minorEastAsia" w:hAnsiTheme="minorHAnsi" w:cstheme="minorBidi"/>
                <w:b/>
                <w:bCs/>
                <w:sz w:val="26"/>
                <w:szCs w:val="26"/>
                <w:lang w:eastAsia="zh-CN"/>
              </w:rPr>
              <w:t>to consider</w:t>
            </w:r>
            <w:r w:rsidRPr="000232D1">
              <w:rPr>
                <w:rFonts w:asciiTheme="minorHAnsi" w:eastAsiaTheme="minorEastAsia" w:hAnsiTheme="minorHAnsi" w:cstheme="minorBidi"/>
                <w:sz w:val="26"/>
                <w:szCs w:val="26"/>
                <w:lang w:eastAsia="zh-CN"/>
              </w:rPr>
              <w:t xml:space="preserve"> the recommendations of the Secretary-General regarding new requests for exemption. </w:t>
            </w:r>
          </w:p>
          <w:p w14:paraId="5E9AB63D" w14:textId="6D0BCF3B" w:rsidR="003F61AC" w:rsidRDefault="000232D1" w:rsidP="03C70384">
            <w:pPr>
              <w:spacing w:before="160"/>
              <w:rPr>
                <w:b/>
                <w:bCs/>
                <w:sz w:val="26"/>
                <w:szCs w:val="26"/>
              </w:rPr>
            </w:pPr>
            <w:r w:rsidRPr="03C70384">
              <w:rPr>
                <w:b/>
                <w:bCs/>
                <w:sz w:val="26"/>
                <w:szCs w:val="26"/>
              </w:rPr>
              <w:t>Relevant link</w:t>
            </w:r>
            <w:r w:rsidR="00992851">
              <w:rPr>
                <w:b/>
                <w:bCs/>
                <w:sz w:val="26"/>
                <w:szCs w:val="26"/>
              </w:rPr>
              <w:t>(s)</w:t>
            </w:r>
            <w:r w:rsidRPr="03C70384">
              <w:rPr>
                <w:b/>
                <w:bCs/>
                <w:sz w:val="26"/>
                <w:szCs w:val="26"/>
              </w:rPr>
              <w:t xml:space="preserve"> with the Strategic Plan</w:t>
            </w:r>
          </w:p>
          <w:p w14:paraId="7AE95BCD" w14:textId="700A06A7" w:rsidR="000232D1" w:rsidRPr="003F61AC" w:rsidRDefault="4B4447A7" w:rsidP="03C70384">
            <w:pPr>
              <w:spacing w:before="160"/>
              <w:rPr>
                <w:szCs w:val="24"/>
              </w:rPr>
            </w:pPr>
            <w:r w:rsidRPr="003F61AC">
              <w:rPr>
                <w:szCs w:val="24"/>
              </w:rPr>
              <w:t>Partnerships and International Cooperation</w:t>
            </w:r>
            <w:r w:rsidR="003F61AC">
              <w:rPr>
                <w:szCs w:val="24"/>
              </w:rPr>
              <w:t>.</w:t>
            </w:r>
          </w:p>
          <w:p w14:paraId="0177E7F3" w14:textId="7CCDCF42" w:rsidR="003F61AC" w:rsidRDefault="000232D1" w:rsidP="000232D1">
            <w:pPr>
              <w:spacing w:before="160"/>
              <w:rPr>
                <w:b/>
                <w:bCs/>
                <w:sz w:val="26"/>
                <w:szCs w:val="26"/>
              </w:rPr>
            </w:pPr>
            <w:r w:rsidRPr="03C70384">
              <w:rPr>
                <w:b/>
                <w:bCs/>
                <w:sz w:val="26"/>
                <w:szCs w:val="26"/>
              </w:rPr>
              <w:t xml:space="preserve">Financial implications </w:t>
            </w:r>
          </w:p>
          <w:p w14:paraId="6573C8F2" w14:textId="1D6E336D" w:rsidR="000232D1" w:rsidRPr="003F61AC" w:rsidRDefault="73F6D2EE" w:rsidP="4A07C215">
            <w:pPr>
              <w:spacing w:before="160"/>
              <w:rPr>
                <w:b/>
                <w:bCs/>
              </w:rPr>
            </w:pPr>
            <w:r>
              <w:t>115k</w:t>
            </w:r>
            <w:r w:rsidR="40D34C66">
              <w:t xml:space="preserve"> CHF</w:t>
            </w:r>
            <w:r w:rsidR="4FFC185A">
              <w:t xml:space="preserve"> </w:t>
            </w:r>
            <w:r w:rsidR="21F6CB15">
              <w:t xml:space="preserve">per annum </w:t>
            </w:r>
            <w:r w:rsidR="4FFC185A">
              <w:t>in exempted membership fees</w:t>
            </w:r>
            <w:r w:rsidR="5DCEE48C">
              <w:t>.</w:t>
            </w:r>
          </w:p>
          <w:p w14:paraId="25F0E753" w14:textId="77777777" w:rsidR="000232D1" w:rsidRPr="000232D1" w:rsidRDefault="000232D1" w:rsidP="000232D1">
            <w:pPr>
              <w:spacing w:before="160"/>
              <w:rPr>
                <w:caps/>
                <w:sz w:val="26"/>
                <w:szCs w:val="26"/>
              </w:rPr>
            </w:pPr>
            <w:r w:rsidRPr="000232D1">
              <w:rPr>
                <w:sz w:val="26"/>
                <w:szCs w:val="26"/>
              </w:rPr>
              <w:t>__________________</w:t>
            </w:r>
          </w:p>
          <w:p w14:paraId="25E714D9" w14:textId="77777777" w:rsidR="000232D1" w:rsidRPr="000232D1" w:rsidRDefault="000232D1" w:rsidP="000232D1">
            <w:pPr>
              <w:spacing w:before="160"/>
              <w:rPr>
                <w:b/>
                <w:bCs/>
                <w:sz w:val="26"/>
                <w:szCs w:val="26"/>
              </w:rPr>
            </w:pPr>
            <w:r w:rsidRPr="000232D1">
              <w:rPr>
                <w:b/>
                <w:bCs/>
                <w:sz w:val="26"/>
                <w:szCs w:val="26"/>
              </w:rPr>
              <w:t>References</w:t>
            </w:r>
          </w:p>
          <w:p w14:paraId="0175CD6C" w14:textId="37B1E583" w:rsidR="00AD3606" w:rsidRPr="002043C2" w:rsidRDefault="002043C2" w:rsidP="000232D1">
            <w:pPr>
              <w:spacing w:after="160"/>
              <w:rPr>
                <w:sz w:val="26"/>
                <w:szCs w:val="26"/>
              </w:rPr>
            </w:pPr>
            <w:hyperlink r:id="rId11" w:history="1">
              <w:r w:rsidR="000232D1" w:rsidRPr="002043C2">
                <w:rPr>
                  <w:rStyle w:val="Hyperlink"/>
                  <w:rFonts w:eastAsia="Calibri" w:cs="Calibri"/>
                  <w:i/>
                  <w:iCs/>
                  <w:sz w:val="26"/>
                  <w:szCs w:val="26"/>
                </w:rPr>
                <w:t>C2000/28(Rev.1)</w:t>
              </w:r>
            </w:hyperlink>
            <w:r w:rsidR="000232D1" w:rsidRPr="002043C2">
              <w:rPr>
                <w:rFonts w:eastAsia="Calibri" w:cs="Calibri"/>
                <w:sz w:val="26"/>
                <w:szCs w:val="26"/>
              </w:rPr>
              <w:t>,</w:t>
            </w:r>
            <w:r w:rsidR="000232D1" w:rsidRPr="002043C2">
              <w:rPr>
                <w:rFonts w:eastAsia="Calibri" w:cs="Calibri"/>
                <w:i/>
                <w:iCs/>
                <w:sz w:val="26"/>
                <w:szCs w:val="26"/>
              </w:rPr>
              <w:t xml:space="preserve"> </w:t>
            </w:r>
            <w:hyperlink r:id="rId12" w:history="1">
              <w:r w:rsidR="000232D1" w:rsidRPr="002043C2">
                <w:rPr>
                  <w:rStyle w:val="Hyperlink"/>
                  <w:rFonts w:eastAsia="Calibri" w:cs="Calibri"/>
                  <w:i/>
                  <w:iCs/>
                  <w:sz w:val="26"/>
                  <w:szCs w:val="26"/>
                </w:rPr>
                <w:t>Council Resolution 925</w:t>
              </w:r>
            </w:hyperlink>
            <w:r w:rsidR="000232D1" w:rsidRPr="002043C2">
              <w:rPr>
                <w:rFonts w:eastAsia="Calibri" w:cs="Calibri"/>
                <w:i/>
                <w:iCs/>
                <w:sz w:val="26"/>
                <w:szCs w:val="26"/>
              </w:rPr>
              <w:t xml:space="preserve">, </w:t>
            </w:r>
            <w:hyperlink r:id="rId13" w:history="1">
              <w:r w:rsidR="000232D1" w:rsidRPr="002043C2">
                <w:rPr>
                  <w:rStyle w:val="Hyperlink"/>
                  <w:rFonts w:eastAsia="Calibri" w:cs="Calibri"/>
                  <w:i/>
                  <w:iCs/>
                  <w:sz w:val="26"/>
                  <w:szCs w:val="26"/>
                </w:rPr>
                <w:t>Council Criteria for Exemptions (Rev</w:t>
              </w:r>
              <w:r>
                <w:rPr>
                  <w:rStyle w:val="Hyperlink"/>
                  <w:rFonts w:eastAsia="Calibri" w:cs="Calibri"/>
                  <w:i/>
                  <w:iCs/>
                  <w:sz w:val="26"/>
                  <w:szCs w:val="26"/>
                </w:rPr>
                <w:t>.</w:t>
              </w:r>
              <w:r w:rsidR="000232D1" w:rsidRPr="002043C2">
                <w:rPr>
                  <w:rStyle w:val="Hyperlink"/>
                  <w:rFonts w:eastAsia="Calibri" w:cs="Calibri"/>
                  <w:i/>
                  <w:iCs/>
                  <w:sz w:val="26"/>
                  <w:szCs w:val="26"/>
                </w:rPr>
                <w:t xml:space="preserve"> 2017)</w:t>
              </w:r>
            </w:hyperlink>
          </w:p>
        </w:tc>
      </w:tr>
    </w:tbl>
    <w:p w14:paraId="634D3975" w14:textId="77777777" w:rsidR="003F61AC" w:rsidRDefault="003F61AC">
      <w:pPr>
        <w:tabs>
          <w:tab w:val="clear" w:pos="567"/>
          <w:tab w:val="clear" w:pos="1134"/>
          <w:tab w:val="clear" w:pos="1701"/>
          <w:tab w:val="clear" w:pos="2268"/>
          <w:tab w:val="clear" w:pos="2835"/>
        </w:tabs>
        <w:overflowPunct/>
        <w:autoSpaceDE/>
        <w:autoSpaceDN/>
        <w:adjustRightInd/>
        <w:spacing w:before="0"/>
        <w:textAlignment w:val="auto"/>
        <w:rPr>
          <w:rFonts w:eastAsia="Calibri"/>
          <w:b/>
          <w:szCs w:val="24"/>
        </w:rPr>
      </w:pPr>
      <w:bookmarkStart w:id="12" w:name="_Hlk133421428"/>
      <w:bookmarkEnd w:id="2"/>
      <w:bookmarkEnd w:id="3"/>
      <w:bookmarkEnd w:id="4"/>
      <w:bookmarkEnd w:id="10"/>
      <w:r>
        <w:rPr>
          <w:rFonts w:eastAsia="Calibri"/>
          <w:b/>
          <w:szCs w:val="24"/>
        </w:rPr>
        <w:br w:type="page"/>
      </w:r>
    </w:p>
    <w:p w14:paraId="2FA0117D" w14:textId="77777777" w:rsidR="003F61AC" w:rsidRDefault="003F61AC" w:rsidP="000232D1">
      <w:pPr>
        <w:keepNext/>
        <w:keepLines/>
        <w:spacing w:before="480"/>
        <w:ind w:left="567" w:hanging="567"/>
        <w:jc w:val="both"/>
        <w:outlineLvl w:val="0"/>
        <w:rPr>
          <w:rFonts w:eastAsia="Calibri"/>
          <w:b/>
          <w:szCs w:val="24"/>
        </w:rPr>
        <w:sectPr w:rsidR="003F61AC" w:rsidSect="001E1167">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13697078" w14:textId="2B908BBA" w:rsidR="000232D1" w:rsidRPr="006D5E09" w:rsidRDefault="000232D1" w:rsidP="000232D1">
      <w:pPr>
        <w:keepNext/>
        <w:keepLines/>
        <w:spacing w:before="480"/>
        <w:ind w:left="567" w:hanging="567"/>
        <w:jc w:val="both"/>
        <w:outlineLvl w:val="0"/>
        <w:rPr>
          <w:rFonts w:eastAsia="Calibri"/>
          <w:b/>
          <w:szCs w:val="24"/>
        </w:rPr>
      </w:pPr>
      <w:r w:rsidRPr="006D5E09">
        <w:rPr>
          <w:rFonts w:eastAsia="Calibri"/>
          <w:b/>
          <w:szCs w:val="24"/>
        </w:rPr>
        <w:lastRenderedPageBreak/>
        <w:t>1</w:t>
      </w:r>
      <w:r w:rsidRPr="006D5E09">
        <w:rPr>
          <w:rFonts w:eastAsia="Calibri"/>
          <w:b/>
          <w:szCs w:val="24"/>
        </w:rPr>
        <w:tab/>
        <w:t>Background</w:t>
      </w:r>
    </w:p>
    <w:p w14:paraId="4F0C575A" w14:textId="5D8DDF50" w:rsidR="000232D1" w:rsidRPr="006D5E09" w:rsidRDefault="000232D1" w:rsidP="000232D1">
      <w:pPr>
        <w:spacing w:after="120"/>
        <w:jc w:val="both"/>
        <w:rPr>
          <w:rFonts w:eastAsia="Calibri" w:cs="Calibri"/>
        </w:rPr>
      </w:pPr>
      <w:r w:rsidRPr="006D5E09">
        <w:rPr>
          <w:rFonts w:eastAsia="Calibri" w:cs="Calibri"/>
        </w:rPr>
        <w:t>1.1</w:t>
      </w:r>
      <w:r w:rsidRPr="006D5E09">
        <w:rPr>
          <w:rFonts w:eastAsia="SimSun"/>
        </w:rPr>
        <w:tab/>
      </w:r>
      <w:r w:rsidRPr="006D5E09">
        <w:rPr>
          <w:rFonts w:eastAsia="Calibri" w:cs="Calibri"/>
        </w:rPr>
        <w:t xml:space="preserve">Each year, ITU receives requests from organizations of an international character seeking exemption from membership fees and other financial contributions to the Union. These requests are considered as per the procedure established by </w:t>
      </w:r>
      <w:r w:rsidR="008E629F">
        <w:rPr>
          <w:rFonts w:eastAsia="Calibri" w:cs="Calibri"/>
        </w:rPr>
        <w:t xml:space="preserve">the </w:t>
      </w:r>
      <w:r w:rsidRPr="006D5E09">
        <w:rPr>
          <w:rFonts w:eastAsia="Calibri" w:cs="Calibri"/>
        </w:rPr>
        <w:t>Council at its 2000 session (</w:t>
      </w:r>
      <w:hyperlink r:id="rId17" w:history="1">
        <w:r w:rsidRPr="002043C2">
          <w:rPr>
            <w:rStyle w:val="Hyperlink"/>
            <w:rFonts w:eastAsia="Calibri" w:cs="Calibri"/>
          </w:rPr>
          <w:t>C2000/28(Rev.1)</w:t>
        </w:r>
      </w:hyperlink>
      <w:r w:rsidRPr="002043C2">
        <w:rPr>
          <w:rFonts w:eastAsia="Calibri" w:cs="Calibri"/>
        </w:rPr>
        <w:t xml:space="preserve">) </w:t>
      </w:r>
      <w:r w:rsidRPr="006D5E09">
        <w:rPr>
          <w:rFonts w:eastAsia="Calibri" w:cs="Calibri"/>
        </w:rPr>
        <w:t xml:space="preserve">and in accordance with No. 476 of the Convention and </w:t>
      </w:r>
      <w:hyperlink r:id="rId18" w:history="1">
        <w:r w:rsidRPr="002043C2">
          <w:rPr>
            <w:rStyle w:val="Hyperlink"/>
            <w:rFonts w:eastAsia="Calibri" w:cs="Calibri"/>
          </w:rPr>
          <w:t>Council Resolution 925</w:t>
        </w:r>
      </w:hyperlink>
      <w:r w:rsidRPr="002043C2">
        <w:rPr>
          <w:rFonts w:eastAsia="Calibri" w:cs="Calibri"/>
        </w:rPr>
        <w:t>,</w:t>
      </w:r>
      <w:r w:rsidRPr="006D5E09">
        <w:rPr>
          <w:rFonts w:eastAsia="Calibri" w:cs="Calibri"/>
        </w:rPr>
        <w:t xml:space="preserve"> as well as criteria established by </w:t>
      </w:r>
      <w:r w:rsidR="008E629F">
        <w:rPr>
          <w:rFonts w:eastAsia="Calibri" w:cs="Calibri"/>
        </w:rPr>
        <w:t xml:space="preserve">the </w:t>
      </w:r>
      <w:r w:rsidRPr="006D5E09">
        <w:rPr>
          <w:rFonts w:eastAsia="Calibri" w:cs="Calibri"/>
        </w:rPr>
        <w:t xml:space="preserve">Council, revised in 2017 (see point 1.5 below). </w:t>
      </w:r>
    </w:p>
    <w:p w14:paraId="277FF489" w14:textId="7D86BB62" w:rsidR="000232D1" w:rsidRPr="006D5E09" w:rsidRDefault="000232D1" w:rsidP="000232D1">
      <w:pPr>
        <w:spacing w:after="120"/>
        <w:jc w:val="both"/>
        <w:rPr>
          <w:rFonts w:eastAsia="Calibri" w:cs="Calibri"/>
        </w:rPr>
      </w:pPr>
      <w:r w:rsidRPr="03C70384">
        <w:rPr>
          <w:rFonts w:eastAsia="Calibri" w:cs="Calibri"/>
        </w:rPr>
        <w:t>1.2</w:t>
      </w:r>
      <w:r>
        <w:tab/>
      </w:r>
      <w:r w:rsidRPr="03C70384">
        <w:rPr>
          <w:rFonts w:eastAsia="Calibri" w:cs="Calibri"/>
        </w:rPr>
        <w:t xml:space="preserve">Exemption from fees is granted by the Council following an analysis of the relevant </w:t>
      </w:r>
      <w:r w:rsidR="4BA6F611" w:rsidRPr="03C70384">
        <w:rPr>
          <w:rFonts w:eastAsia="Calibri" w:cs="Calibri"/>
        </w:rPr>
        <w:t>Bureaux</w:t>
      </w:r>
      <w:r w:rsidRPr="03C70384">
        <w:rPr>
          <w:rFonts w:eastAsia="Calibri" w:cs="Calibri"/>
        </w:rPr>
        <w:t xml:space="preserve"> and a recommendation by the Secretary-General. If approved, they become Sector Members or Associates under the terms of No. 231 of the Convention. </w:t>
      </w:r>
    </w:p>
    <w:p w14:paraId="72D4E144" w14:textId="6B232C71" w:rsidR="000232D1" w:rsidRPr="006D5E09" w:rsidRDefault="000232D1" w:rsidP="000232D1">
      <w:pPr>
        <w:spacing w:after="120"/>
        <w:jc w:val="both"/>
        <w:rPr>
          <w:rFonts w:eastAsia="Calibri" w:cs="Calibri"/>
        </w:rPr>
      </w:pPr>
      <w:r w:rsidRPr="006D5E09">
        <w:rPr>
          <w:rFonts w:eastAsia="Calibri" w:cs="Calibri"/>
        </w:rPr>
        <w:t>1.3</w:t>
      </w:r>
      <w:r w:rsidRPr="006D5E09">
        <w:rPr>
          <w:rFonts w:eastAsia="SimSun"/>
        </w:rPr>
        <w:tab/>
      </w:r>
      <w:r w:rsidRPr="006D5E09">
        <w:rPr>
          <w:rFonts w:eastAsia="Calibri" w:cs="Calibri"/>
        </w:rPr>
        <w:t>Currently, there are 13</w:t>
      </w:r>
      <w:r>
        <w:rPr>
          <w:rFonts w:eastAsia="Calibri" w:cs="Calibri"/>
        </w:rPr>
        <w:t>7</w:t>
      </w:r>
      <w:r w:rsidRPr="006D5E09">
        <w:rPr>
          <w:rFonts w:eastAsia="Calibri" w:cs="Calibri"/>
        </w:rPr>
        <w:t xml:space="preserve"> exempted organizations of an international character. A full list is available </w:t>
      </w:r>
      <w:hyperlink r:id="rId19" w:history="1">
        <w:r w:rsidRPr="002043C2">
          <w:rPr>
            <w:rStyle w:val="Hyperlink"/>
            <w:rFonts w:eastAsia="Calibri" w:cs="Calibri"/>
          </w:rPr>
          <w:t>here</w:t>
        </w:r>
      </w:hyperlink>
      <w:r w:rsidRPr="006D5E09">
        <w:rPr>
          <w:rFonts w:asciiTheme="minorHAnsi" w:eastAsiaTheme="minorEastAsia" w:hAnsiTheme="minorHAnsi" w:cstheme="minorBidi"/>
        </w:rPr>
        <w:t>.</w:t>
      </w:r>
    </w:p>
    <w:p w14:paraId="6BD2E210" w14:textId="00A0AF18" w:rsidR="000232D1" w:rsidRPr="006D5E09" w:rsidRDefault="000232D1" w:rsidP="000232D1">
      <w:pPr>
        <w:spacing w:after="120"/>
        <w:jc w:val="both"/>
        <w:rPr>
          <w:rFonts w:eastAsia="Calibri" w:cs="Calibri"/>
        </w:rPr>
      </w:pPr>
      <w:r w:rsidRPr="006D5E09">
        <w:rPr>
          <w:rFonts w:eastAsia="Calibri" w:cs="Calibri"/>
        </w:rPr>
        <w:t>1.4</w:t>
      </w:r>
      <w:r w:rsidRPr="006D5E09">
        <w:rPr>
          <w:rFonts w:eastAsia="SimSun"/>
        </w:rPr>
        <w:tab/>
      </w:r>
      <w:r w:rsidRPr="006D5E09">
        <w:rPr>
          <w:rFonts w:eastAsia="Calibri" w:cs="Calibri"/>
        </w:rPr>
        <w:t xml:space="preserve">In Resolution 187 (Busan, 2014), the 2014 Plenipotentiary Conference instructed </w:t>
      </w:r>
      <w:r w:rsidR="008E629F">
        <w:rPr>
          <w:rFonts w:eastAsia="Calibri" w:cs="Calibri"/>
        </w:rPr>
        <w:t xml:space="preserve">the </w:t>
      </w:r>
      <w:r w:rsidRPr="006D5E09">
        <w:rPr>
          <w:rFonts w:eastAsia="Calibri" w:cs="Calibri"/>
        </w:rPr>
        <w:t xml:space="preserve">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14378377" w14:textId="098C05B8" w:rsidR="000232D1" w:rsidRPr="006D5E09" w:rsidRDefault="000232D1" w:rsidP="000232D1">
      <w:pPr>
        <w:spacing w:before="240" w:after="120"/>
        <w:jc w:val="both"/>
        <w:rPr>
          <w:rFonts w:eastAsia="Calibri"/>
          <w:szCs w:val="24"/>
        </w:rPr>
      </w:pPr>
      <w:r w:rsidRPr="006D5E09">
        <w:rPr>
          <w:rFonts w:eastAsia="Calibri" w:cs="Calibri"/>
        </w:rPr>
        <w:t>1.5</w:t>
      </w:r>
      <w:r w:rsidRPr="006D5E09">
        <w:rPr>
          <w:rFonts w:eastAsia="SimSun"/>
        </w:rPr>
        <w:tab/>
      </w:r>
      <w:r w:rsidRPr="006D5E09">
        <w:rPr>
          <w:rFonts w:eastAsia="Calibri" w:cs="Calibri"/>
        </w:rPr>
        <w:t>Council</w:t>
      </w:r>
      <w:r w:rsidR="008E629F">
        <w:rPr>
          <w:rFonts w:eastAsia="Calibri" w:cs="Calibri"/>
        </w:rPr>
        <w:t>-</w:t>
      </w:r>
      <w:r w:rsidRPr="006D5E09">
        <w:rPr>
          <w:rFonts w:eastAsia="Calibri" w:cs="Calibri"/>
        </w:rPr>
        <w:t xml:space="preserve">17 approved revised criteria, available </w:t>
      </w:r>
      <w:hyperlink r:id="rId20" w:history="1">
        <w:r w:rsidRPr="002043C2">
          <w:rPr>
            <w:rStyle w:val="Hyperlink"/>
            <w:rFonts w:eastAsia="Calibri" w:cs="Calibri"/>
          </w:rPr>
          <w:t>here</w:t>
        </w:r>
      </w:hyperlink>
      <w:r w:rsidRPr="006D5E09">
        <w:rPr>
          <w:rFonts w:eastAsia="Calibri" w:cs="Calibri"/>
        </w:rPr>
        <w:t xml:space="preserve">. Since then, each Council has reviewed new applications according to these criteria. </w:t>
      </w:r>
    </w:p>
    <w:p w14:paraId="30BB2541" w14:textId="77777777" w:rsidR="000232D1" w:rsidRDefault="000232D1" w:rsidP="000232D1">
      <w:pPr>
        <w:spacing w:before="240" w:after="120"/>
        <w:jc w:val="both"/>
        <w:rPr>
          <w:rFonts w:eastAsia="Calibri" w:cs="Calibri"/>
        </w:rPr>
      </w:pPr>
      <w:r w:rsidRPr="186B2739">
        <w:rPr>
          <w:rFonts w:eastAsia="Calibri" w:cs="Calibri"/>
        </w:rPr>
        <w:t>1.6</w:t>
      </w:r>
      <w:r>
        <w:tab/>
      </w:r>
      <w:r w:rsidRPr="186B2739">
        <w:rPr>
          <w:rFonts w:eastAsia="Calibri" w:cs="Calibri"/>
        </w:rPr>
        <w:t>This document addresses only new requests for fee exemption since the last Council</w:t>
      </w:r>
      <w:r>
        <w:rPr>
          <w:rFonts w:eastAsia="Calibri" w:cs="Calibri"/>
        </w:rPr>
        <w:t>.</w:t>
      </w:r>
    </w:p>
    <w:p w14:paraId="508EAEE5" w14:textId="77777777" w:rsidR="000232D1" w:rsidRPr="006D5E09" w:rsidRDefault="000232D1" w:rsidP="003F61AC">
      <w:pPr>
        <w:spacing w:before="480" w:after="120"/>
        <w:jc w:val="both"/>
        <w:rPr>
          <w:rFonts w:eastAsia="Calibri"/>
          <w:b/>
          <w:bCs/>
          <w:szCs w:val="24"/>
        </w:rPr>
      </w:pPr>
      <w:r w:rsidRPr="00761699">
        <w:rPr>
          <w:rFonts w:eastAsia="Calibri"/>
          <w:b/>
          <w:bCs/>
          <w:szCs w:val="24"/>
        </w:rPr>
        <w:t>2</w:t>
      </w:r>
      <w:r w:rsidRPr="006D5E09">
        <w:rPr>
          <w:rFonts w:eastAsia="SimSun"/>
        </w:rPr>
        <w:tab/>
      </w:r>
      <w:r w:rsidRPr="006D5E09">
        <w:rPr>
          <w:rFonts w:eastAsia="Calibri"/>
          <w:b/>
          <w:bCs/>
          <w:szCs w:val="24"/>
        </w:rPr>
        <w:t>New Requests and Recommendations</w:t>
      </w:r>
    </w:p>
    <w:p w14:paraId="0CD87125" w14:textId="77777777" w:rsidR="000232D1" w:rsidRPr="006D5E09" w:rsidRDefault="000232D1" w:rsidP="000232D1">
      <w:pPr>
        <w:spacing w:after="120"/>
        <w:rPr>
          <w:rFonts w:asciiTheme="minorHAnsi" w:eastAsia="SimSun" w:hAnsiTheme="minorHAnsi" w:cs="Calibri"/>
          <w:lang w:val="en-US"/>
        </w:rPr>
      </w:pPr>
      <w:r w:rsidRPr="006D5E09">
        <w:rPr>
          <w:rFonts w:asciiTheme="minorHAnsi" w:eastAsia="SimSun" w:hAnsiTheme="minorHAnsi" w:cs="Calibri"/>
          <w:lang w:val="en-US"/>
        </w:rPr>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0232D1" w:rsidRPr="006D5E09" w14:paraId="7241DA4B" w14:textId="77777777">
        <w:trPr>
          <w:cantSplit/>
          <w:jc w:val="center"/>
        </w:trPr>
        <w:tc>
          <w:tcPr>
            <w:tcW w:w="3906" w:type="dxa"/>
          </w:tcPr>
          <w:p w14:paraId="667945C5"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r w:rsidRPr="006D5E09">
              <w:rPr>
                <w:rFonts w:asciiTheme="minorHAnsi" w:eastAsia="SimSun" w:hAnsiTheme="minorHAnsi" w:cs="Calibri"/>
                <w:b/>
                <w:szCs w:val="24"/>
                <w:lang w:val="en-US"/>
              </w:rPr>
              <w:t>Organization</w:t>
            </w:r>
          </w:p>
        </w:tc>
        <w:tc>
          <w:tcPr>
            <w:tcW w:w="1559" w:type="dxa"/>
          </w:tcPr>
          <w:p w14:paraId="557692A6"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r w:rsidRPr="006D5E09">
              <w:rPr>
                <w:rFonts w:asciiTheme="minorHAnsi" w:eastAsia="SimSun" w:hAnsiTheme="minorHAnsi" w:cs="Calibri"/>
                <w:b/>
                <w:szCs w:val="24"/>
                <w:lang w:val="en-US"/>
              </w:rPr>
              <w:t>Sector</w:t>
            </w:r>
          </w:p>
        </w:tc>
        <w:tc>
          <w:tcPr>
            <w:tcW w:w="3325" w:type="dxa"/>
          </w:tcPr>
          <w:p w14:paraId="40E4BC5A"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221A9E91"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p>
        </w:tc>
      </w:tr>
      <w:tr w:rsidR="000232D1" w:rsidRPr="006D5E09" w14:paraId="44532FCC" w14:textId="77777777">
        <w:trPr>
          <w:cantSplit/>
          <w:trHeight w:val="805"/>
          <w:jc w:val="center"/>
        </w:trPr>
        <w:tc>
          <w:tcPr>
            <w:tcW w:w="3906" w:type="dxa"/>
            <w:vAlign w:val="center"/>
          </w:tcPr>
          <w:p w14:paraId="6360633C" w14:textId="77777777" w:rsidR="000232D1" w:rsidRPr="006D5E09" w:rsidRDefault="000232D1">
            <w:pPr>
              <w:rPr>
                <w:rFonts w:asciiTheme="minorHAnsi" w:eastAsia="SimSun" w:hAnsiTheme="minorHAnsi" w:cs="Calibri"/>
                <w:b/>
                <w:bCs/>
                <w:iCs/>
              </w:rPr>
            </w:pPr>
            <w:r w:rsidRPr="00170078">
              <w:rPr>
                <w:rFonts w:asciiTheme="minorHAnsi" w:eastAsia="SimSun" w:hAnsiTheme="minorHAnsi" w:cs="Calibri"/>
                <w:b/>
                <w:bCs/>
                <w:iCs/>
              </w:rPr>
              <w:t>African Technology Innovation Hubs Institute (Afrilabs)</w:t>
            </w:r>
          </w:p>
        </w:tc>
        <w:tc>
          <w:tcPr>
            <w:tcW w:w="1559" w:type="dxa"/>
            <w:vAlign w:val="center"/>
          </w:tcPr>
          <w:p w14:paraId="03CBD589"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Calibri"/>
                <w:szCs w:val="24"/>
                <w:lang w:val="fr-CH"/>
              </w:rPr>
            </w:pPr>
            <w:r w:rsidRPr="006D5E09">
              <w:rPr>
                <w:rFonts w:asciiTheme="minorHAnsi" w:eastAsia="SimSun" w:hAnsiTheme="minorHAnsi" w:cs="Calibri"/>
                <w:szCs w:val="24"/>
                <w:lang w:val="fr-CH"/>
              </w:rPr>
              <w:t>ITU-D</w:t>
            </w:r>
          </w:p>
        </w:tc>
        <w:tc>
          <w:tcPr>
            <w:tcW w:w="3325" w:type="dxa"/>
            <w:vAlign w:val="center"/>
          </w:tcPr>
          <w:p w14:paraId="3DCB88FD" w14:textId="77777777" w:rsidR="000232D1" w:rsidRPr="00170078"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Calibri"/>
                <w:szCs w:val="24"/>
                <w:lang w:val="fr-CH"/>
              </w:rPr>
            </w:pPr>
            <w:r>
              <w:rPr>
                <w:rFonts w:asciiTheme="minorHAnsi" w:eastAsia="SimSun" w:hAnsiTheme="minorHAnsi" w:cstheme="minorBidi"/>
                <w:color w:val="000000" w:themeColor="text1"/>
                <w:lang w:val="fr-FR"/>
              </w:rPr>
              <w:t>Yes</w:t>
            </w:r>
          </w:p>
        </w:tc>
      </w:tr>
    </w:tbl>
    <w:p w14:paraId="2CA90535" w14:textId="560CA88B" w:rsidR="000232D1" w:rsidRDefault="000232D1" w:rsidP="03C70384">
      <w:pPr>
        <w:jc w:val="both"/>
        <w:rPr>
          <w:rFonts w:eastAsia="SimSun"/>
        </w:rPr>
      </w:pPr>
      <w:r w:rsidRPr="03C70384">
        <w:rPr>
          <w:rFonts w:eastAsia="SimSun" w:cstheme="minorBidi"/>
        </w:rPr>
        <w:t>AfriLabs, founded in 2011, is a network organization supporting over 400 innovation centres across 52 African countries. Its mission is to foster high-potential entrepreneurs to stimulate economic growth and social development in Africa. The AfriLabs Secretariat is based in Abuja, Nigeria, with 419 member hubs operating in 52 African countries</w:t>
      </w:r>
      <w:r w:rsidRPr="03C70384">
        <w:rPr>
          <w:rFonts w:eastAsia="SimSun"/>
        </w:rPr>
        <w:t>. As a regional organization with member hubs, i</w:t>
      </w:r>
      <w:r w:rsidRPr="03C70384">
        <w:rPr>
          <w:rFonts w:asciiTheme="minorHAnsi" w:eastAsia="SimSun" w:hAnsiTheme="minorHAnsi" w:cstheme="minorBidi"/>
          <w:lang w:val="en-US"/>
        </w:rPr>
        <w:t>n the view of t</w:t>
      </w:r>
      <w:r w:rsidRPr="03C70384">
        <w:rPr>
          <w:rFonts w:asciiTheme="minorHAnsi" w:eastAsia="SimSun" w:hAnsiTheme="minorHAnsi" w:cstheme="minorBidi"/>
        </w:rPr>
        <w:t>he</w:t>
      </w:r>
      <w:r w:rsidRPr="03C70384">
        <w:rPr>
          <w:rFonts w:asciiTheme="minorHAnsi" w:eastAsia="SimSun" w:hAnsiTheme="minorHAnsi" w:cstheme="minorBidi"/>
          <w:lang w:val="en-US"/>
        </w:rPr>
        <w:t xml:space="preserve"> s</w:t>
      </w:r>
      <w:r w:rsidRPr="03C70384">
        <w:rPr>
          <w:rFonts w:asciiTheme="minorHAnsi" w:eastAsia="SimSun" w:hAnsiTheme="minorHAnsi" w:cstheme="minorBidi"/>
          <w:color w:val="000000" w:themeColor="text1"/>
        </w:rPr>
        <w:t xml:space="preserve">ecretariat, this entity meets the criteria established by </w:t>
      </w:r>
      <w:r w:rsidR="003E575E">
        <w:rPr>
          <w:rFonts w:asciiTheme="minorHAnsi" w:eastAsia="SimSun" w:hAnsiTheme="minorHAnsi" w:cstheme="minorBidi"/>
          <w:color w:val="000000" w:themeColor="text1"/>
        </w:rPr>
        <w:t xml:space="preserve">the </w:t>
      </w:r>
      <w:r w:rsidRPr="03C70384">
        <w:rPr>
          <w:rFonts w:asciiTheme="minorHAnsi" w:eastAsia="SimSun" w:hAnsiTheme="minorHAnsi" w:cstheme="minorBidi"/>
          <w:color w:val="000000" w:themeColor="text1"/>
        </w:rPr>
        <w:t>Council for fee exemption</w:t>
      </w:r>
      <w:r w:rsidR="397B9729" w:rsidRPr="03C70384">
        <w:rPr>
          <w:rFonts w:asciiTheme="minorHAnsi" w:eastAsia="SimSun" w:hAnsiTheme="minorHAnsi" w:cstheme="minorBidi"/>
          <w:color w:val="000000" w:themeColor="text1"/>
        </w:rPr>
        <w:t>.</w:t>
      </w:r>
    </w:p>
    <w:p w14:paraId="0988FCB9" w14:textId="77777777" w:rsidR="000232D1" w:rsidRPr="006D5E09" w:rsidRDefault="000232D1" w:rsidP="003F61AC">
      <w:pPr>
        <w:keepNext/>
        <w:keepLines/>
        <w:spacing w:before="240" w:after="120"/>
        <w:rPr>
          <w:rFonts w:asciiTheme="minorHAnsi" w:eastAsia="SimSun" w:hAnsiTheme="minorHAnsi" w:cs="Calibri"/>
          <w:lang w:val="en-US"/>
        </w:rPr>
      </w:pPr>
      <w:r w:rsidRPr="006D5E09">
        <w:rPr>
          <w:rFonts w:asciiTheme="minorHAnsi" w:eastAsia="SimSun" w:hAnsiTheme="minorHAnsi" w:cs="Calibri"/>
          <w:lang w:val="en-US"/>
        </w:rPr>
        <w:lastRenderedPageBreak/>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0232D1" w:rsidRPr="006D5E09" w14:paraId="14917E15" w14:textId="77777777">
        <w:trPr>
          <w:cantSplit/>
          <w:jc w:val="center"/>
        </w:trPr>
        <w:tc>
          <w:tcPr>
            <w:tcW w:w="3906" w:type="dxa"/>
          </w:tcPr>
          <w:p w14:paraId="6754014C"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r w:rsidRPr="006D5E09">
              <w:rPr>
                <w:rFonts w:asciiTheme="minorHAnsi" w:eastAsia="SimSun" w:hAnsiTheme="minorHAnsi" w:cs="Calibri"/>
                <w:b/>
                <w:szCs w:val="24"/>
                <w:lang w:val="en-US"/>
              </w:rPr>
              <w:t>Organization</w:t>
            </w:r>
          </w:p>
        </w:tc>
        <w:tc>
          <w:tcPr>
            <w:tcW w:w="1559" w:type="dxa"/>
          </w:tcPr>
          <w:p w14:paraId="1CC2B460"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r w:rsidRPr="006D5E09">
              <w:rPr>
                <w:rFonts w:asciiTheme="minorHAnsi" w:eastAsia="SimSun" w:hAnsiTheme="minorHAnsi" w:cs="Calibri"/>
                <w:b/>
                <w:szCs w:val="24"/>
                <w:lang w:val="en-US"/>
              </w:rPr>
              <w:t>Sector</w:t>
            </w:r>
          </w:p>
        </w:tc>
        <w:tc>
          <w:tcPr>
            <w:tcW w:w="3750" w:type="dxa"/>
          </w:tcPr>
          <w:p w14:paraId="748E92B3"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1C9ED657"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Calibri"/>
                <w:b/>
                <w:szCs w:val="24"/>
                <w:lang w:val="en-US"/>
              </w:rPr>
            </w:pPr>
          </w:p>
        </w:tc>
      </w:tr>
      <w:tr w:rsidR="000232D1" w:rsidRPr="006D5E09" w14:paraId="61E0E49A" w14:textId="77777777">
        <w:trPr>
          <w:cantSplit/>
          <w:jc w:val="center"/>
        </w:trPr>
        <w:tc>
          <w:tcPr>
            <w:tcW w:w="3906" w:type="dxa"/>
            <w:vAlign w:val="center"/>
          </w:tcPr>
          <w:p w14:paraId="2C9EA121" w14:textId="77777777" w:rsidR="000232D1" w:rsidRPr="006D5E09" w:rsidRDefault="000232D1" w:rsidP="003F61A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b/>
                <w:bCs/>
                <w:color w:val="000000" w:themeColor="text1"/>
                <w:lang w:eastAsia="en-GB"/>
              </w:rPr>
            </w:pPr>
            <w:r w:rsidRPr="007C3C1D">
              <w:rPr>
                <w:rFonts w:asciiTheme="minorHAnsi" w:eastAsia="SimSun" w:hAnsiTheme="minorHAnsi" w:cstheme="minorBidi"/>
                <w:b/>
                <w:bCs/>
                <w:color w:val="000000" w:themeColor="text1"/>
                <w:shd w:val="clear" w:color="auto" w:fill="FFFFFF"/>
              </w:rPr>
              <w:t>Environmental Coalition on Standards (ECOS)</w:t>
            </w:r>
          </w:p>
        </w:tc>
        <w:tc>
          <w:tcPr>
            <w:tcW w:w="1559" w:type="dxa"/>
            <w:vAlign w:val="center"/>
          </w:tcPr>
          <w:p w14:paraId="5C983CFD" w14:textId="77777777" w:rsidR="000232D1" w:rsidRPr="007C3C1D"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Calibri"/>
                <w:szCs w:val="24"/>
                <w:lang w:val="fr-CH"/>
              </w:rPr>
            </w:pPr>
            <w:r w:rsidRPr="006D5E09">
              <w:rPr>
                <w:rFonts w:asciiTheme="minorHAnsi" w:eastAsia="SimSun" w:hAnsiTheme="minorHAnsi" w:cs="Calibri"/>
                <w:szCs w:val="24"/>
                <w:lang w:val="fr-CH"/>
              </w:rPr>
              <w:t>ITU-</w:t>
            </w:r>
            <w:r>
              <w:rPr>
                <w:rFonts w:asciiTheme="minorHAnsi" w:eastAsia="SimSun" w:hAnsiTheme="minorHAnsi" w:cs="Calibri"/>
                <w:szCs w:val="24"/>
                <w:lang w:val="fr-CH"/>
              </w:rPr>
              <w:t>D</w:t>
            </w:r>
          </w:p>
        </w:tc>
        <w:tc>
          <w:tcPr>
            <w:tcW w:w="3750" w:type="dxa"/>
            <w:vAlign w:val="center"/>
          </w:tcPr>
          <w:p w14:paraId="5768931F"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eastAsia="SimSun" w:hAnsiTheme="minorHAnsi" w:cs="Calibri"/>
              </w:rPr>
            </w:pPr>
            <w:r>
              <w:rPr>
                <w:rFonts w:asciiTheme="minorHAnsi" w:eastAsia="SimSun" w:hAnsiTheme="minorHAnsi" w:cs="Calibri"/>
              </w:rPr>
              <w:t>Yes</w:t>
            </w:r>
          </w:p>
        </w:tc>
      </w:tr>
    </w:tbl>
    <w:p w14:paraId="10CDC60E" w14:textId="789EBDC9" w:rsidR="000232D1" w:rsidRPr="000055F5" w:rsidRDefault="000232D1" w:rsidP="003F61AC">
      <w:pPr>
        <w:keepNext/>
        <w:keepLines/>
        <w:tabs>
          <w:tab w:val="clear" w:pos="567"/>
          <w:tab w:val="clear" w:pos="1134"/>
          <w:tab w:val="clear" w:pos="1701"/>
          <w:tab w:val="clear" w:pos="2268"/>
          <w:tab w:val="clear" w:pos="2835"/>
        </w:tabs>
        <w:overflowPunct/>
        <w:autoSpaceDE/>
        <w:autoSpaceDN/>
        <w:adjustRightInd/>
        <w:jc w:val="both"/>
        <w:textAlignment w:val="auto"/>
        <w:rPr>
          <w:rFonts w:asciiTheme="minorHAnsi" w:eastAsia="SimSun" w:hAnsiTheme="minorHAnsi" w:cstheme="minorBidi"/>
          <w:color w:val="000000" w:themeColor="text1"/>
        </w:rPr>
      </w:pPr>
      <w:r w:rsidRPr="03C70384">
        <w:rPr>
          <w:rFonts w:eastAsia="Calibri" w:cs="Calibri"/>
          <w:lang w:val="en-US" w:eastAsia="en-GB"/>
        </w:rPr>
        <w:t xml:space="preserve">Founded in 2001, ECOS, Environmental Coalition on Standards, is an international NGO with a network of members and experts advocating for </w:t>
      </w:r>
      <w:r w:rsidR="385B6D09" w:rsidRPr="03C70384">
        <w:rPr>
          <w:rFonts w:eastAsia="Calibri" w:cs="Calibri"/>
          <w:lang w:val="en-US" w:eastAsia="en-GB"/>
        </w:rPr>
        <w:t>environmentally friendly</w:t>
      </w:r>
      <w:r w:rsidRPr="03C70384">
        <w:rPr>
          <w:rFonts w:eastAsia="Calibri" w:cs="Calibri"/>
          <w:lang w:val="en-US" w:eastAsia="en-GB"/>
        </w:rPr>
        <w:t xml:space="preserve"> technical standards, policies and laws. </w:t>
      </w:r>
      <w:r w:rsidR="08A55AC5" w:rsidRPr="03C70384">
        <w:rPr>
          <w:rFonts w:eastAsia="Calibri" w:cs="Calibri"/>
          <w:lang w:val="en-US" w:eastAsia="en-GB"/>
        </w:rPr>
        <w:t>ECOS</w:t>
      </w:r>
      <w:r w:rsidRPr="03C70384">
        <w:rPr>
          <w:rFonts w:eastAsia="Calibri" w:cs="Calibri"/>
          <w:lang w:val="en-US" w:eastAsia="en-GB"/>
        </w:rPr>
        <w:t xml:space="preserve"> work</w:t>
      </w:r>
      <w:r w:rsidR="23AC2849" w:rsidRPr="03C70384">
        <w:rPr>
          <w:rFonts w:eastAsia="Calibri" w:cs="Calibri"/>
          <w:lang w:val="en-US" w:eastAsia="en-GB"/>
        </w:rPr>
        <w:t>s</w:t>
      </w:r>
      <w:r w:rsidRPr="03C70384">
        <w:rPr>
          <w:rFonts w:eastAsia="Calibri" w:cs="Calibri"/>
          <w:lang w:val="en-US" w:eastAsia="en-GB"/>
        </w:rPr>
        <w:t xml:space="preserve"> towards a more inclusive, open and transparent standardization system, internationally and at the European and national levels, at the same time ensuring the appropriate use of standards in support of environmental legislation and policy. This organization is an ITU-T exempted entity. As an international organization with NGO members, i</w:t>
      </w:r>
      <w:r w:rsidRPr="03C70384">
        <w:rPr>
          <w:rFonts w:asciiTheme="minorHAnsi" w:eastAsia="SimSun" w:hAnsiTheme="minorHAnsi" w:cstheme="minorBidi"/>
          <w:lang w:val="en-US"/>
        </w:rPr>
        <w:t>n the view of t</w:t>
      </w:r>
      <w:r w:rsidRPr="03C70384">
        <w:rPr>
          <w:rFonts w:asciiTheme="minorHAnsi" w:eastAsia="SimSun" w:hAnsiTheme="minorHAnsi" w:cstheme="minorBidi"/>
        </w:rPr>
        <w:t>he</w:t>
      </w:r>
      <w:r w:rsidRPr="03C70384">
        <w:rPr>
          <w:rFonts w:asciiTheme="minorHAnsi" w:eastAsia="SimSun" w:hAnsiTheme="minorHAnsi" w:cstheme="minorBidi"/>
          <w:lang w:val="en-US"/>
        </w:rPr>
        <w:t xml:space="preserve"> s</w:t>
      </w:r>
      <w:r w:rsidRPr="03C70384">
        <w:rPr>
          <w:rFonts w:asciiTheme="minorHAnsi" w:eastAsia="SimSun" w:hAnsiTheme="minorHAnsi" w:cstheme="minorBidi"/>
          <w:color w:val="000000" w:themeColor="text1"/>
        </w:rPr>
        <w:t xml:space="preserve">ecretariat, this entity meets the criteria established by </w:t>
      </w:r>
      <w:r w:rsidR="003E575E">
        <w:rPr>
          <w:rFonts w:asciiTheme="minorHAnsi" w:eastAsia="SimSun" w:hAnsiTheme="minorHAnsi" w:cstheme="minorBidi"/>
          <w:color w:val="000000" w:themeColor="text1"/>
        </w:rPr>
        <w:t xml:space="preserve">the </w:t>
      </w:r>
      <w:r w:rsidRPr="03C70384">
        <w:rPr>
          <w:rFonts w:asciiTheme="minorHAnsi" w:eastAsia="SimSun" w:hAnsiTheme="minorHAnsi" w:cstheme="minorBidi"/>
          <w:color w:val="000000" w:themeColor="text1"/>
        </w:rPr>
        <w:t>Council for fee exemption.</w:t>
      </w:r>
    </w:p>
    <w:p w14:paraId="4133CC8B"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theme="minorHAnsi"/>
          <w:bCs/>
          <w:lang w:val="en-US"/>
        </w:rPr>
        <w:t>2.3</w:t>
      </w:r>
      <w:bookmarkStart w:id="14" w:name="_Hlk106608884"/>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63468FC0" w14:textId="77777777">
        <w:trPr>
          <w:cantSplit/>
          <w:jc w:val="center"/>
        </w:trPr>
        <w:tc>
          <w:tcPr>
            <w:tcW w:w="4331" w:type="dxa"/>
          </w:tcPr>
          <w:p w14:paraId="7B3AD8F1"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1BA19DB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222B9127"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7C6C56B0"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57C6AF71" w14:textId="77777777">
        <w:trPr>
          <w:cantSplit/>
          <w:trHeight w:val="915"/>
          <w:jc w:val="center"/>
        </w:trPr>
        <w:tc>
          <w:tcPr>
            <w:tcW w:w="4331" w:type="dxa"/>
            <w:vAlign w:val="center"/>
          </w:tcPr>
          <w:p w14:paraId="2505B5A8"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Bidi"/>
                <w:b/>
                <w:bCs/>
                <w:lang w:val="es-ES"/>
              </w:rPr>
            </w:pPr>
            <w:r w:rsidRPr="2A6BAB8C">
              <w:rPr>
                <w:rFonts w:asciiTheme="minorHAnsi" w:eastAsia="SimSun" w:hAnsiTheme="minorHAnsi" w:cstheme="minorBidi"/>
                <w:b/>
                <w:bCs/>
                <w:lang w:val="es-ES"/>
              </w:rPr>
              <w:t>European Digital SME Alliance</w:t>
            </w:r>
          </w:p>
        </w:tc>
        <w:tc>
          <w:tcPr>
            <w:tcW w:w="1559" w:type="dxa"/>
            <w:vAlign w:val="center"/>
          </w:tcPr>
          <w:p w14:paraId="6716C000"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imes New Roman" w:eastAsia="SimSun" w:hAnsi="Times New Roman"/>
              </w:rPr>
            </w:pPr>
            <w:r w:rsidRPr="006D5E09">
              <w:rPr>
                <w:rFonts w:asciiTheme="minorHAnsi" w:eastAsia="SimSun" w:hAnsiTheme="minorHAnsi" w:cstheme="minorBidi"/>
                <w:lang w:val="fr-CH"/>
              </w:rPr>
              <w:t>ITU-T</w:t>
            </w:r>
          </w:p>
        </w:tc>
        <w:tc>
          <w:tcPr>
            <w:tcW w:w="3325" w:type="dxa"/>
            <w:vAlign w:val="center"/>
          </w:tcPr>
          <w:p w14:paraId="6ED0B54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Calibri"/>
                <w:lang w:val="en-US"/>
              </w:rPr>
            </w:pPr>
            <w:r>
              <w:rPr>
                <w:rFonts w:asciiTheme="minorHAnsi" w:eastAsia="SimSun" w:hAnsiTheme="minorHAnsi" w:cs="Calibri"/>
              </w:rPr>
              <w:t>Yes</w:t>
            </w:r>
          </w:p>
        </w:tc>
      </w:tr>
    </w:tbl>
    <w:bookmarkEnd w:id="14"/>
    <w:p w14:paraId="7C4575A9" w14:textId="03616C82" w:rsidR="000232D1" w:rsidRDefault="000232D1" w:rsidP="03C70384">
      <w:pPr>
        <w:spacing w:after="120"/>
        <w:jc w:val="both"/>
        <w:rPr>
          <w:rFonts w:asciiTheme="minorHAnsi" w:eastAsia="SimSun" w:hAnsiTheme="minorHAnsi" w:cstheme="minorBidi"/>
          <w:color w:val="000000" w:themeColor="text1"/>
        </w:rPr>
      </w:pPr>
      <w:r w:rsidRPr="03C70384">
        <w:rPr>
          <w:rFonts w:asciiTheme="minorHAnsi" w:eastAsia="SimSun" w:hAnsiTheme="minorHAnsi" w:cstheme="minorBidi"/>
          <w:lang w:eastAsia="en-GB"/>
        </w:rPr>
        <w:t xml:space="preserve">The European Digital SME Alliance represents more than 45,000 ICT small and medium enterprises in Europe. The Alliance is a collaborative initiative of 30 national and regional SME associations from EU member states and neighbouring countries. Its primary goal is to cultivate an SME-friendly digital environment, with a strategic focus on standardization. Actively participating in various European Commission bodies and EU-funded ICT standard projects, the Alliance also supports a broad network of SME ICT experts across different Standards Developing Organizations. </w:t>
      </w:r>
      <w:r w:rsidRPr="03C70384">
        <w:rPr>
          <w:rFonts w:eastAsia="SimSun"/>
        </w:rPr>
        <w:t xml:space="preserve">As a regional organization with a member network, </w:t>
      </w:r>
      <w:r w:rsidRPr="03C70384">
        <w:rPr>
          <w:rFonts w:asciiTheme="minorHAnsi" w:eastAsia="SimSun" w:hAnsiTheme="minorHAnsi" w:cstheme="minorBidi"/>
          <w:lang w:val="en-US"/>
        </w:rPr>
        <w:t>in the view of t</w:t>
      </w:r>
      <w:r w:rsidRPr="03C70384">
        <w:rPr>
          <w:rFonts w:asciiTheme="minorHAnsi" w:eastAsia="SimSun" w:hAnsiTheme="minorHAnsi" w:cstheme="minorBidi"/>
        </w:rPr>
        <w:t>he</w:t>
      </w:r>
      <w:r w:rsidRPr="03C70384">
        <w:rPr>
          <w:rFonts w:asciiTheme="minorHAnsi" w:eastAsia="SimSun" w:hAnsiTheme="minorHAnsi" w:cstheme="minorBidi"/>
          <w:lang w:val="en-US"/>
        </w:rPr>
        <w:t xml:space="preserve"> s</w:t>
      </w:r>
      <w:r w:rsidRPr="03C70384">
        <w:rPr>
          <w:rFonts w:asciiTheme="minorHAnsi" w:eastAsia="SimSun" w:hAnsiTheme="minorHAnsi" w:cstheme="minorBidi"/>
          <w:color w:val="000000" w:themeColor="text1"/>
        </w:rPr>
        <w:t xml:space="preserve">ecretariat, this entity meets the criteria established by </w:t>
      </w:r>
      <w:r w:rsidR="003E575E">
        <w:rPr>
          <w:rFonts w:asciiTheme="minorHAnsi" w:eastAsia="SimSun" w:hAnsiTheme="minorHAnsi" w:cstheme="minorBidi"/>
          <w:color w:val="000000" w:themeColor="text1"/>
        </w:rPr>
        <w:t xml:space="preserve">the </w:t>
      </w:r>
      <w:r w:rsidRPr="03C70384">
        <w:rPr>
          <w:rFonts w:asciiTheme="minorHAnsi" w:eastAsia="SimSun" w:hAnsiTheme="minorHAnsi" w:cstheme="minorBidi"/>
          <w:color w:val="000000" w:themeColor="text1"/>
        </w:rPr>
        <w:t>Council for fee exemption.</w:t>
      </w:r>
    </w:p>
    <w:p w14:paraId="4EDB516D"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theme="minorHAnsi"/>
          <w:bCs/>
          <w:lang w:val="en-US"/>
        </w:rPr>
        <w:t>2.</w:t>
      </w:r>
      <w:r>
        <w:rPr>
          <w:rFonts w:asciiTheme="minorHAnsi" w:eastAsia="SimSun" w:hAnsiTheme="minorHAnsi" w:cstheme="minorHAnsi"/>
          <w:bCs/>
          <w:lang w:val="en-US"/>
        </w:rPr>
        <w:t>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56D8F678" w14:textId="77777777">
        <w:trPr>
          <w:cantSplit/>
          <w:jc w:val="center"/>
        </w:trPr>
        <w:tc>
          <w:tcPr>
            <w:tcW w:w="4331" w:type="dxa"/>
          </w:tcPr>
          <w:p w14:paraId="4ECFAC8C"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101B4A8F"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0207FF4F"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07DA256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0E4FE210" w14:textId="77777777">
        <w:trPr>
          <w:cantSplit/>
          <w:trHeight w:val="915"/>
          <w:jc w:val="center"/>
        </w:trPr>
        <w:tc>
          <w:tcPr>
            <w:tcW w:w="4331" w:type="dxa"/>
            <w:vAlign w:val="center"/>
          </w:tcPr>
          <w:p w14:paraId="5C745092"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Bidi"/>
                <w:b/>
                <w:bCs/>
                <w:lang w:val="es-ES"/>
              </w:rPr>
            </w:pPr>
            <w:r w:rsidRPr="2A6BAB8C">
              <w:rPr>
                <w:rFonts w:asciiTheme="minorHAnsi" w:eastAsia="SimSun" w:hAnsiTheme="minorHAnsi" w:cstheme="minorBidi"/>
                <w:b/>
                <w:bCs/>
                <w:lang w:val="es-ES"/>
              </w:rPr>
              <w:t>House of Africa</w:t>
            </w:r>
          </w:p>
        </w:tc>
        <w:tc>
          <w:tcPr>
            <w:tcW w:w="1559" w:type="dxa"/>
            <w:vAlign w:val="center"/>
          </w:tcPr>
          <w:p w14:paraId="7543CCAC"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imes New Roman" w:eastAsia="SimSun" w:hAnsi="Times New Roman"/>
              </w:rPr>
            </w:pPr>
            <w:r w:rsidRPr="006D5E09">
              <w:rPr>
                <w:rFonts w:asciiTheme="minorHAnsi" w:eastAsia="SimSun" w:hAnsiTheme="minorHAnsi" w:cstheme="minorBidi"/>
                <w:lang w:val="fr-CH"/>
              </w:rPr>
              <w:t>ITU-</w:t>
            </w:r>
            <w:r>
              <w:rPr>
                <w:rFonts w:asciiTheme="minorHAnsi" w:eastAsia="SimSun" w:hAnsiTheme="minorHAnsi" w:cstheme="minorBidi"/>
                <w:lang w:val="fr-CH"/>
              </w:rPr>
              <w:t>D</w:t>
            </w:r>
          </w:p>
        </w:tc>
        <w:tc>
          <w:tcPr>
            <w:tcW w:w="3325" w:type="dxa"/>
            <w:vAlign w:val="center"/>
          </w:tcPr>
          <w:p w14:paraId="450FE84E"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Calibri"/>
                <w:lang w:val="en-US"/>
              </w:rPr>
            </w:pPr>
            <w:r w:rsidRPr="00565EE4">
              <w:rPr>
                <w:rFonts w:asciiTheme="minorHAnsi" w:eastAsia="SimSun" w:hAnsiTheme="minorHAnsi" w:cs="Calibri"/>
              </w:rPr>
              <w:t>No</w:t>
            </w:r>
          </w:p>
        </w:tc>
      </w:tr>
    </w:tbl>
    <w:p w14:paraId="0B63474E" w14:textId="43685F46" w:rsidR="000232D1" w:rsidRDefault="000232D1" w:rsidP="03C70384">
      <w:pPr>
        <w:spacing w:after="120"/>
        <w:jc w:val="both"/>
        <w:rPr>
          <w:rFonts w:asciiTheme="minorHAnsi" w:eastAsia="SimSun" w:hAnsiTheme="minorHAnsi" w:cstheme="minorBidi"/>
          <w:highlight w:val="yellow"/>
          <w:lang w:eastAsia="en-GB"/>
        </w:rPr>
      </w:pPr>
      <w:r w:rsidRPr="03C70384">
        <w:rPr>
          <w:rFonts w:asciiTheme="minorHAnsi" w:eastAsia="SimSun" w:hAnsiTheme="minorHAnsi" w:cstheme="minorBidi"/>
          <w:lang w:eastAsia="en-GB"/>
        </w:rPr>
        <w:t>House of Africa, based in N</w:t>
      </w:r>
      <w:r w:rsidR="00776A7F">
        <w:rPr>
          <w:rFonts w:asciiTheme="minorHAnsi" w:eastAsia="SimSun" w:hAnsiTheme="minorHAnsi" w:cstheme="minorBidi"/>
          <w:lang w:eastAsia="en-GB"/>
        </w:rPr>
        <w:t>’</w:t>
      </w:r>
      <w:r w:rsidRPr="03C70384">
        <w:rPr>
          <w:rFonts w:asciiTheme="minorHAnsi" w:eastAsia="SimSun" w:hAnsiTheme="minorHAnsi" w:cstheme="minorBidi"/>
          <w:lang w:eastAsia="en-GB"/>
        </w:rPr>
        <w:t>Djamena, Chad, is a pan-African organization established in 2017. The organization is focused on the advancement of ICTs in Africa. House of Africa aims to foster development in the fields of ICT and Internet Governance in Africa, contribute to the UN</w:t>
      </w:r>
      <w:r w:rsidR="00776A7F">
        <w:rPr>
          <w:rFonts w:asciiTheme="minorHAnsi" w:eastAsia="SimSun" w:hAnsiTheme="minorHAnsi" w:cstheme="minorBidi"/>
          <w:lang w:eastAsia="en-GB"/>
        </w:rPr>
        <w:t>’</w:t>
      </w:r>
      <w:r w:rsidRPr="03C70384">
        <w:rPr>
          <w:rFonts w:asciiTheme="minorHAnsi" w:eastAsia="SimSun" w:hAnsiTheme="minorHAnsi" w:cstheme="minorBidi"/>
          <w:lang w:eastAsia="en-GB"/>
        </w:rPr>
        <w:t>s Sustainable Development Goals, and support the African Union</w:t>
      </w:r>
      <w:r w:rsidR="00776A7F">
        <w:rPr>
          <w:rFonts w:asciiTheme="minorHAnsi" w:eastAsia="SimSun" w:hAnsiTheme="minorHAnsi" w:cstheme="minorBidi"/>
          <w:lang w:eastAsia="en-GB"/>
        </w:rPr>
        <w:t>’</w:t>
      </w:r>
      <w:r w:rsidRPr="03C70384">
        <w:rPr>
          <w:rFonts w:asciiTheme="minorHAnsi" w:eastAsia="SimSun" w:hAnsiTheme="minorHAnsi" w:cstheme="minorBidi"/>
          <w:lang w:eastAsia="en-GB"/>
        </w:rPr>
        <w:t xml:space="preserve">s 2063 Agenda. The organization also provides a collaborative platform for African youth, women, and children, and is committed to promoting human rights education. </w:t>
      </w:r>
      <w:r w:rsidR="2BF393D4" w:rsidRPr="03C70384">
        <w:rPr>
          <w:rFonts w:asciiTheme="minorHAnsi" w:eastAsia="SimSun" w:hAnsiTheme="minorHAnsi" w:cs="Calibri"/>
          <w:lang w:val="en-US"/>
        </w:rPr>
        <w:t>I</w:t>
      </w:r>
      <w:r w:rsidR="2BF393D4" w:rsidRPr="03C70384">
        <w:rPr>
          <w:rFonts w:eastAsia="SimSun"/>
        </w:rPr>
        <w:t xml:space="preserve">n the view of the secretariat, based on the information available, this entity does not meet the membership criteria established by </w:t>
      </w:r>
      <w:r w:rsidR="003E575E">
        <w:rPr>
          <w:rFonts w:eastAsia="SimSun"/>
        </w:rPr>
        <w:t xml:space="preserve">the </w:t>
      </w:r>
      <w:r w:rsidR="2BF393D4" w:rsidRPr="03C70384">
        <w:rPr>
          <w:rFonts w:eastAsia="SimSun"/>
        </w:rPr>
        <w:t>Council for fee exemption.</w:t>
      </w:r>
    </w:p>
    <w:p w14:paraId="1CD9419D" w14:textId="77777777" w:rsidR="000232D1" w:rsidRDefault="000232D1" w:rsidP="000232D1">
      <w:pPr>
        <w:spacing w:after="120"/>
        <w:rPr>
          <w:rFonts w:asciiTheme="minorHAnsi" w:eastAsia="SimSun" w:hAnsiTheme="minorHAnsi" w:cstheme="minorBidi"/>
          <w:lang w:eastAsia="en-GB"/>
        </w:rPr>
      </w:pPr>
      <w:r>
        <w:rPr>
          <w:rFonts w:asciiTheme="minorHAnsi" w:eastAsia="SimSun" w:hAnsiTheme="minorHAnsi" w:cstheme="minorBidi"/>
          <w:lang w:eastAsia="en-GB"/>
        </w:rPr>
        <w:lastRenderedPageBreak/>
        <w:t xml:space="preserve">2.5 </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0EF0953F" w14:textId="77777777">
        <w:trPr>
          <w:cantSplit/>
          <w:jc w:val="center"/>
        </w:trPr>
        <w:tc>
          <w:tcPr>
            <w:tcW w:w="4331" w:type="dxa"/>
          </w:tcPr>
          <w:p w14:paraId="55B6EB84"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65760BBB"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7CACEA88"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10AE6F4D"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54EE5933" w14:textId="77777777">
        <w:trPr>
          <w:cantSplit/>
          <w:jc w:val="center"/>
        </w:trPr>
        <w:tc>
          <w:tcPr>
            <w:tcW w:w="4331" w:type="dxa"/>
            <w:vAlign w:val="center"/>
          </w:tcPr>
          <w:p w14:paraId="3E9A552C" w14:textId="77777777" w:rsidR="000232D1" w:rsidRPr="00F250E0"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sidRPr="00D92340">
              <w:rPr>
                <w:rFonts w:asciiTheme="minorHAnsi" w:eastAsia="SimSun" w:hAnsiTheme="minorHAnsi" w:cstheme="minorHAnsi"/>
                <w:b/>
                <w:iCs/>
                <w:szCs w:val="24"/>
              </w:rPr>
              <w:t>Human Rights and Forest Brain Africa (Hurifba)</w:t>
            </w:r>
          </w:p>
        </w:tc>
        <w:tc>
          <w:tcPr>
            <w:tcW w:w="1559" w:type="dxa"/>
            <w:vAlign w:val="center"/>
          </w:tcPr>
          <w:p w14:paraId="41C2572B" w14:textId="047E5A8D"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w:t>
            </w:r>
            <w:r>
              <w:rPr>
                <w:rFonts w:asciiTheme="minorHAnsi" w:eastAsia="SimSun" w:hAnsiTheme="minorHAnsi" w:cstheme="minorHAnsi"/>
                <w:szCs w:val="24"/>
                <w:lang w:val="fr-CH"/>
              </w:rPr>
              <w:t>R</w:t>
            </w:r>
          </w:p>
        </w:tc>
        <w:tc>
          <w:tcPr>
            <w:tcW w:w="3325" w:type="dxa"/>
            <w:vAlign w:val="center"/>
          </w:tcPr>
          <w:p w14:paraId="5796F2D2"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Bidi"/>
                <w:color w:val="000000" w:themeColor="text1"/>
                <w:lang w:val="en-US"/>
              </w:rPr>
            </w:pPr>
            <w:r w:rsidRPr="009178FC">
              <w:rPr>
                <w:rFonts w:asciiTheme="minorHAnsi" w:eastAsia="SimSun" w:hAnsiTheme="minorHAnsi" w:cstheme="minorBidi"/>
                <w:color w:val="000000" w:themeColor="text1"/>
                <w:lang w:val="en-US"/>
              </w:rPr>
              <w:t>No</w:t>
            </w:r>
          </w:p>
        </w:tc>
      </w:tr>
    </w:tbl>
    <w:p w14:paraId="4AEA45CF" w14:textId="37948500" w:rsidR="000232D1" w:rsidRDefault="000232D1" w:rsidP="03C70384">
      <w:pPr>
        <w:spacing w:after="120"/>
        <w:jc w:val="both"/>
        <w:rPr>
          <w:rFonts w:asciiTheme="minorHAnsi" w:eastAsia="SimSun" w:hAnsiTheme="minorHAnsi" w:cstheme="minorBidi"/>
          <w:highlight w:val="yellow"/>
          <w:lang w:eastAsia="en-GB"/>
        </w:rPr>
      </w:pPr>
      <w:r w:rsidRPr="03C70384">
        <w:rPr>
          <w:rFonts w:asciiTheme="minorHAnsi" w:eastAsia="SimSun" w:hAnsiTheme="minorHAnsi" w:cs="Calibri"/>
          <w:lang w:val="en-US"/>
        </w:rPr>
        <w:t xml:space="preserve">HURIFBA is a non-profit organization based in Cameroon. Its mission is to work towards the comprehensive development of the poor and improvement of their living conditions on social, health, economic, and environmental levels. HURIFBA is actively involved in combating societal issues such as desertification, poverty, and the promotion of sustainable development. The organization strives to associate intellectuals, artists, and social innovators in its strategy and actions, promoting a regenerated and solidarity-based socio-economic practice. </w:t>
      </w:r>
      <w:r w:rsidR="29BE886F" w:rsidRPr="03C70384">
        <w:rPr>
          <w:rFonts w:asciiTheme="minorHAnsi" w:eastAsia="SimSun" w:hAnsiTheme="minorHAnsi" w:cs="Calibri"/>
          <w:lang w:val="en-US"/>
        </w:rPr>
        <w:t>I</w:t>
      </w:r>
      <w:r w:rsidR="29BE886F" w:rsidRPr="03C70384">
        <w:rPr>
          <w:rFonts w:eastAsia="SimSun"/>
        </w:rPr>
        <w:t xml:space="preserve">n the view of the secretariat, based on the information available, this entity does not meet the membership criteria established by </w:t>
      </w:r>
      <w:r w:rsidR="003E575E">
        <w:rPr>
          <w:rFonts w:eastAsia="SimSun"/>
        </w:rPr>
        <w:t xml:space="preserve">the </w:t>
      </w:r>
      <w:r w:rsidR="29BE886F" w:rsidRPr="03C70384">
        <w:rPr>
          <w:rFonts w:eastAsia="SimSun"/>
        </w:rPr>
        <w:t>Council for fee exemption.</w:t>
      </w:r>
    </w:p>
    <w:p w14:paraId="38AABEEB"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Calibri"/>
          <w:lang w:val="en-US"/>
        </w:rPr>
        <w:t>2.</w:t>
      </w:r>
      <w:r>
        <w:rPr>
          <w:rFonts w:asciiTheme="minorHAnsi" w:eastAsia="SimSun" w:hAnsiTheme="minorHAnsi" w:cs="Calibri"/>
          <w:lang w:val="en-US"/>
        </w:rPr>
        <w:t>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2DE2969C" w14:textId="77777777">
        <w:trPr>
          <w:cantSplit/>
          <w:jc w:val="center"/>
        </w:trPr>
        <w:tc>
          <w:tcPr>
            <w:tcW w:w="4331" w:type="dxa"/>
          </w:tcPr>
          <w:p w14:paraId="096B17D0"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6C7D4341"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1C89F366"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734B6159"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5D0D5EAC" w14:textId="77777777">
        <w:trPr>
          <w:cantSplit/>
          <w:jc w:val="center"/>
        </w:trPr>
        <w:tc>
          <w:tcPr>
            <w:tcW w:w="4331" w:type="dxa"/>
            <w:vAlign w:val="center"/>
          </w:tcPr>
          <w:p w14:paraId="68B89B23" w14:textId="77777777" w:rsidR="000232D1" w:rsidRPr="00F250E0"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sidRPr="00F250E0">
              <w:rPr>
                <w:rFonts w:asciiTheme="minorHAnsi" w:eastAsia="SimSun" w:hAnsiTheme="minorHAnsi" w:cstheme="minorHAnsi"/>
                <w:b/>
                <w:iCs/>
                <w:szCs w:val="24"/>
              </w:rPr>
              <w:t>International Think Tank for Landlocked Developing Countries (ITTLLDC)</w:t>
            </w:r>
          </w:p>
        </w:tc>
        <w:tc>
          <w:tcPr>
            <w:tcW w:w="1559" w:type="dxa"/>
            <w:vAlign w:val="center"/>
          </w:tcPr>
          <w:p w14:paraId="0D247DF6" w14:textId="6F3A6D99"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w:t>
            </w:r>
            <w:r>
              <w:rPr>
                <w:rFonts w:asciiTheme="minorHAnsi" w:eastAsia="SimSun" w:hAnsiTheme="minorHAnsi" w:cstheme="minorHAnsi"/>
                <w:szCs w:val="24"/>
                <w:lang w:val="fr-CH"/>
              </w:rPr>
              <w:t>D</w:t>
            </w:r>
          </w:p>
        </w:tc>
        <w:tc>
          <w:tcPr>
            <w:tcW w:w="3325" w:type="dxa"/>
            <w:vAlign w:val="center"/>
          </w:tcPr>
          <w:p w14:paraId="4C00FD97"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Bidi"/>
                <w:color w:val="000000" w:themeColor="text1"/>
                <w:lang w:val="en-US"/>
              </w:rPr>
            </w:pPr>
            <w:r>
              <w:rPr>
                <w:rFonts w:asciiTheme="minorHAnsi" w:eastAsia="SimSun" w:hAnsiTheme="minorHAnsi" w:cstheme="minorBidi"/>
                <w:color w:val="000000" w:themeColor="text1"/>
                <w:lang w:val="en-US"/>
              </w:rPr>
              <w:t>Yes</w:t>
            </w:r>
          </w:p>
        </w:tc>
      </w:tr>
    </w:tbl>
    <w:p w14:paraId="64F5DE00" w14:textId="600C034F" w:rsidR="000232D1" w:rsidRDefault="000232D1" w:rsidP="03C70384">
      <w:pPr>
        <w:spacing w:after="120"/>
        <w:jc w:val="both"/>
        <w:rPr>
          <w:rFonts w:asciiTheme="minorHAnsi" w:eastAsia="SimSun" w:hAnsiTheme="minorHAnsi" w:cs="Calibri"/>
          <w:lang w:val="en-US"/>
        </w:rPr>
      </w:pPr>
      <w:bookmarkStart w:id="15" w:name="_Hlk129002000"/>
      <w:r w:rsidRPr="03C70384">
        <w:rPr>
          <w:rFonts w:asciiTheme="minorHAnsi" w:eastAsia="SimSun" w:hAnsiTheme="minorHAnsi" w:cs="Calibri"/>
          <w:lang w:val="en-US"/>
        </w:rPr>
        <w:t xml:space="preserve">The International Think Tank for Landlocked Developing Countries (ITTLLDC) works towards addressing the specific needs and challenges faced by Landlocked Developing Countries (LLDCs). Its primary focus aligns with the implementation of the Vienna Programme of Action, supporting initiatives to improve transport, infrastructure, and air connectivity for LLDCs. The organization conducts research and prepares policy briefs on socioeconomic issues pertaining to LLDCs, strengthening its capacity to help these countries overcome their unique challenges. </w:t>
      </w:r>
      <w:r w:rsidRPr="03C70384">
        <w:rPr>
          <w:rFonts w:eastAsia="SimSun"/>
        </w:rPr>
        <w:t xml:space="preserve">As an intergovernmental organization representing landlocked developing countries, </w:t>
      </w:r>
      <w:r w:rsidRPr="03C70384">
        <w:rPr>
          <w:rFonts w:asciiTheme="minorHAnsi" w:eastAsia="SimSun" w:hAnsiTheme="minorHAnsi" w:cstheme="minorBidi"/>
          <w:lang w:val="en-US"/>
        </w:rPr>
        <w:t>in the view of t</w:t>
      </w:r>
      <w:r w:rsidRPr="03C70384">
        <w:rPr>
          <w:rFonts w:asciiTheme="minorHAnsi" w:eastAsia="SimSun" w:hAnsiTheme="minorHAnsi" w:cstheme="minorBidi"/>
        </w:rPr>
        <w:t>he</w:t>
      </w:r>
      <w:r w:rsidRPr="03C70384">
        <w:rPr>
          <w:rFonts w:asciiTheme="minorHAnsi" w:eastAsia="SimSun" w:hAnsiTheme="minorHAnsi" w:cstheme="minorBidi"/>
          <w:lang w:val="en-US"/>
        </w:rPr>
        <w:t xml:space="preserve"> s</w:t>
      </w:r>
      <w:r w:rsidRPr="03C70384">
        <w:rPr>
          <w:rFonts w:asciiTheme="minorHAnsi" w:eastAsia="SimSun" w:hAnsiTheme="minorHAnsi" w:cstheme="minorBidi"/>
          <w:color w:val="000000" w:themeColor="text1"/>
        </w:rPr>
        <w:t>ecretariat, this entity meets the criteria established by</w:t>
      </w:r>
      <w:r w:rsidR="003E575E">
        <w:rPr>
          <w:rFonts w:asciiTheme="minorHAnsi" w:eastAsia="SimSun" w:hAnsiTheme="minorHAnsi" w:cstheme="minorBidi"/>
          <w:color w:val="000000" w:themeColor="text1"/>
        </w:rPr>
        <w:t xml:space="preserve"> the</w:t>
      </w:r>
      <w:r w:rsidRPr="03C70384">
        <w:rPr>
          <w:rFonts w:asciiTheme="minorHAnsi" w:eastAsia="SimSun" w:hAnsiTheme="minorHAnsi" w:cstheme="minorBidi"/>
          <w:color w:val="000000" w:themeColor="text1"/>
        </w:rPr>
        <w:t xml:space="preserve"> Council for fee exemption.</w:t>
      </w:r>
    </w:p>
    <w:p w14:paraId="162682EB"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Calibri"/>
          <w:lang w:val="en-US"/>
        </w:rPr>
        <w:t>2.</w:t>
      </w:r>
      <w:r>
        <w:rPr>
          <w:rFonts w:asciiTheme="minorHAnsi" w:eastAsia="SimSun" w:hAnsiTheme="minorHAnsi" w:cs="Calibri"/>
          <w:lang w:val="en-US"/>
        </w:rPr>
        <w:t>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499DBF91" w14:textId="77777777">
        <w:trPr>
          <w:cantSplit/>
          <w:jc w:val="center"/>
        </w:trPr>
        <w:tc>
          <w:tcPr>
            <w:tcW w:w="4331" w:type="dxa"/>
          </w:tcPr>
          <w:p w14:paraId="5E792EBC"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6A02D96E"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0A5C49D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1188D69B"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509F47A7" w14:textId="77777777">
        <w:trPr>
          <w:cantSplit/>
          <w:jc w:val="center"/>
        </w:trPr>
        <w:tc>
          <w:tcPr>
            <w:tcW w:w="4331" w:type="dxa"/>
            <w:vAlign w:val="center"/>
          </w:tcPr>
          <w:p w14:paraId="43CAED8D" w14:textId="77777777" w:rsidR="000232D1" w:rsidRPr="000E1564"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lang w:val="fr-CH"/>
              </w:rPr>
            </w:pPr>
            <w:r w:rsidRPr="000E1564">
              <w:rPr>
                <w:rFonts w:asciiTheme="minorHAnsi" w:eastAsia="SimSun" w:hAnsiTheme="minorHAnsi" w:cstheme="minorHAnsi"/>
                <w:b/>
                <w:iCs/>
                <w:szCs w:val="24"/>
                <w:lang w:val="fr-CH"/>
              </w:rPr>
              <w:t>ROPTIC-UEMOA</w:t>
            </w:r>
          </w:p>
          <w:p w14:paraId="5B0805D3" w14:textId="4FEB9C9B" w:rsidR="000232D1" w:rsidRPr="00FA0E4D"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lang w:val="fr-CH"/>
              </w:rPr>
            </w:pPr>
            <w:r w:rsidRPr="00727CBA">
              <w:rPr>
                <w:rFonts w:asciiTheme="minorHAnsi" w:eastAsia="SimSun" w:hAnsiTheme="minorHAnsi" w:cstheme="minorHAnsi"/>
                <w:b/>
                <w:iCs/>
                <w:szCs w:val="24"/>
                <w:lang w:val="fr-CH"/>
              </w:rPr>
              <w:t xml:space="preserve">Regroupement des </w:t>
            </w:r>
            <w:r>
              <w:rPr>
                <w:rFonts w:asciiTheme="minorHAnsi" w:eastAsia="SimSun" w:hAnsiTheme="minorHAnsi" w:cstheme="minorHAnsi"/>
                <w:b/>
                <w:iCs/>
                <w:szCs w:val="24"/>
                <w:lang w:val="fr-CH"/>
              </w:rPr>
              <w:t>O</w:t>
            </w:r>
            <w:r w:rsidRPr="00727CBA">
              <w:rPr>
                <w:rFonts w:asciiTheme="minorHAnsi" w:eastAsia="SimSun" w:hAnsiTheme="minorHAnsi" w:cstheme="minorHAnsi"/>
                <w:b/>
                <w:iCs/>
                <w:szCs w:val="24"/>
                <w:lang w:val="fr-CH"/>
              </w:rPr>
              <w:t xml:space="preserve">rganisations des </w:t>
            </w:r>
            <w:r>
              <w:rPr>
                <w:rFonts w:asciiTheme="minorHAnsi" w:eastAsia="SimSun" w:hAnsiTheme="minorHAnsi" w:cstheme="minorHAnsi"/>
                <w:b/>
                <w:iCs/>
                <w:szCs w:val="24"/>
                <w:lang w:val="fr-CH"/>
              </w:rPr>
              <w:t>P</w:t>
            </w:r>
            <w:r w:rsidRPr="00727CBA">
              <w:rPr>
                <w:rFonts w:asciiTheme="minorHAnsi" w:eastAsia="SimSun" w:hAnsiTheme="minorHAnsi" w:cstheme="minorHAnsi"/>
                <w:b/>
                <w:iCs/>
                <w:szCs w:val="24"/>
                <w:lang w:val="fr-CH"/>
              </w:rPr>
              <w:t>rofessionels des TIC de l</w:t>
            </w:r>
            <w:r w:rsidR="00776A7F">
              <w:rPr>
                <w:rFonts w:asciiTheme="minorHAnsi" w:eastAsia="SimSun" w:hAnsiTheme="minorHAnsi" w:cstheme="minorHAnsi"/>
                <w:b/>
                <w:iCs/>
                <w:szCs w:val="24"/>
                <w:lang w:val="fr-CH"/>
              </w:rPr>
              <w:t>’</w:t>
            </w:r>
            <w:r w:rsidRPr="00727CBA">
              <w:rPr>
                <w:rFonts w:asciiTheme="minorHAnsi" w:eastAsia="SimSun" w:hAnsiTheme="minorHAnsi" w:cstheme="minorHAnsi"/>
                <w:b/>
                <w:iCs/>
                <w:szCs w:val="24"/>
                <w:lang w:val="fr-CH"/>
              </w:rPr>
              <w:t>UEMOA</w:t>
            </w:r>
          </w:p>
        </w:tc>
        <w:tc>
          <w:tcPr>
            <w:tcW w:w="1559" w:type="dxa"/>
            <w:vAlign w:val="center"/>
          </w:tcPr>
          <w:p w14:paraId="5DD4540E" w14:textId="77777777" w:rsidR="000232D1" w:rsidRPr="00727CBA"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p>
          <w:p w14:paraId="35A98636" w14:textId="5897C348"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ITU-D</w:t>
            </w:r>
          </w:p>
        </w:tc>
        <w:tc>
          <w:tcPr>
            <w:tcW w:w="3325" w:type="dxa"/>
            <w:vAlign w:val="center"/>
          </w:tcPr>
          <w:p w14:paraId="438E996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theme="minorBidi"/>
                <w:color w:val="000000" w:themeColor="text1"/>
                <w:lang w:val="en-US"/>
              </w:rPr>
            </w:pPr>
            <w:r>
              <w:rPr>
                <w:rFonts w:asciiTheme="minorHAnsi" w:eastAsia="SimSun" w:hAnsiTheme="minorHAnsi" w:cstheme="minorBidi"/>
                <w:color w:val="000000" w:themeColor="text1"/>
                <w:lang w:val="en-US"/>
              </w:rPr>
              <w:t>Yes</w:t>
            </w:r>
          </w:p>
        </w:tc>
      </w:tr>
    </w:tbl>
    <w:bookmarkEnd w:id="15"/>
    <w:p w14:paraId="098C9F99" w14:textId="41FF08F0" w:rsidR="000232D1" w:rsidRDefault="000232D1" w:rsidP="003F61AC">
      <w:pPr>
        <w:tabs>
          <w:tab w:val="clear" w:pos="567"/>
          <w:tab w:val="clear" w:pos="1134"/>
          <w:tab w:val="clear" w:pos="1701"/>
          <w:tab w:val="clear" w:pos="2268"/>
          <w:tab w:val="clear" w:pos="2835"/>
        </w:tabs>
        <w:overflowPunct/>
        <w:autoSpaceDE/>
        <w:autoSpaceDN/>
        <w:adjustRightInd/>
        <w:jc w:val="both"/>
        <w:textAlignment w:val="auto"/>
        <w:rPr>
          <w:rFonts w:eastAsia="Calibri" w:cs="Calibri"/>
          <w:lang w:val="en-US" w:eastAsia="en-GB"/>
        </w:rPr>
      </w:pPr>
      <w:r w:rsidRPr="03C70384">
        <w:rPr>
          <w:rFonts w:eastAsia="Calibri" w:cs="Calibri"/>
          <w:lang w:val="en-US" w:eastAsia="en-GB"/>
        </w:rPr>
        <w:t xml:space="preserve">The Regroupement des Organisations Professionnelles des TIC (ROP-TIC) is an interprofessional grouping of digital professionals from the UEMOA region, composed of different associations and organizations from various member countries. The main objective of ROP-TIC is to organize cooperation among its members and drive the digitalization of the UEMOA region through its ICT companies. To achieve this, ROP-TIC sets specific goals that include being a center of thought and proposal development, training, informing, and defending the interests of its members, promoting digital culture, and encouraging </w:t>
      </w:r>
      <w:r w:rsidRPr="03C70384">
        <w:rPr>
          <w:rFonts w:eastAsia="Calibri" w:cs="Calibri"/>
          <w:lang w:val="en-US" w:eastAsia="en-GB"/>
        </w:rPr>
        <w:lastRenderedPageBreak/>
        <w:t xml:space="preserve">investment in digital technology. ROP-TIC is headquartered in Ouagadougou, Burkina Faso. </w:t>
      </w:r>
      <w:r w:rsidRPr="03C70384">
        <w:rPr>
          <w:rFonts w:eastAsia="SimSun"/>
        </w:rPr>
        <w:t>As a</w:t>
      </w:r>
      <w:r w:rsidR="4F5E8E09" w:rsidRPr="03C70384">
        <w:rPr>
          <w:rFonts w:eastAsia="SimSun"/>
        </w:rPr>
        <w:t xml:space="preserve"> regional association of professional organizations</w:t>
      </w:r>
      <w:r w:rsidRPr="03C70384">
        <w:rPr>
          <w:rFonts w:eastAsia="SimSun"/>
        </w:rPr>
        <w:t xml:space="preserve">, </w:t>
      </w:r>
      <w:r w:rsidRPr="03C70384">
        <w:rPr>
          <w:rFonts w:asciiTheme="minorHAnsi" w:eastAsia="SimSun" w:hAnsiTheme="minorHAnsi" w:cstheme="minorBidi"/>
          <w:lang w:val="en-US"/>
        </w:rPr>
        <w:t>in the view of t</w:t>
      </w:r>
      <w:r w:rsidRPr="03C70384">
        <w:rPr>
          <w:rFonts w:asciiTheme="minorHAnsi" w:eastAsia="SimSun" w:hAnsiTheme="minorHAnsi" w:cstheme="minorBidi"/>
        </w:rPr>
        <w:t>he</w:t>
      </w:r>
      <w:r w:rsidRPr="03C70384">
        <w:rPr>
          <w:rFonts w:asciiTheme="minorHAnsi" w:eastAsia="SimSun" w:hAnsiTheme="minorHAnsi" w:cstheme="minorBidi"/>
          <w:lang w:val="en-US"/>
        </w:rPr>
        <w:t xml:space="preserve"> s</w:t>
      </w:r>
      <w:r w:rsidRPr="03C70384">
        <w:rPr>
          <w:rFonts w:asciiTheme="minorHAnsi" w:eastAsia="SimSun" w:hAnsiTheme="minorHAnsi" w:cstheme="minorBidi"/>
          <w:color w:val="000000" w:themeColor="text1"/>
        </w:rPr>
        <w:t>ecretariat, this entity meets the criteria established by</w:t>
      </w:r>
      <w:r w:rsidR="003E575E">
        <w:rPr>
          <w:rFonts w:asciiTheme="minorHAnsi" w:eastAsia="SimSun" w:hAnsiTheme="minorHAnsi" w:cstheme="minorBidi"/>
          <w:color w:val="000000" w:themeColor="text1"/>
        </w:rPr>
        <w:t xml:space="preserve"> the</w:t>
      </w:r>
      <w:r w:rsidRPr="03C70384">
        <w:rPr>
          <w:rFonts w:asciiTheme="minorHAnsi" w:eastAsia="SimSun" w:hAnsiTheme="minorHAnsi" w:cstheme="minorBidi"/>
          <w:color w:val="000000" w:themeColor="text1"/>
        </w:rPr>
        <w:t xml:space="preserve"> Council for fee exemption.</w:t>
      </w:r>
    </w:p>
    <w:p w14:paraId="32286B54"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Calibri"/>
          <w:lang w:val="en-US"/>
        </w:rPr>
        <w:t>2.</w:t>
      </w:r>
      <w:r>
        <w:rPr>
          <w:rFonts w:asciiTheme="minorHAnsi" w:eastAsia="SimSun" w:hAnsiTheme="minorHAnsi" w:cs="Calibri"/>
          <w:lang w:val="en-US"/>
        </w:rPr>
        <w:t>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0CECA50A" w14:textId="77777777" w:rsidTr="03C70384">
        <w:trPr>
          <w:cantSplit/>
          <w:jc w:val="center"/>
        </w:trPr>
        <w:tc>
          <w:tcPr>
            <w:tcW w:w="4331" w:type="dxa"/>
          </w:tcPr>
          <w:p w14:paraId="53AA550C"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488D9DE7"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7BEF7A0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2D28AFCA"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16558D2A" w14:textId="77777777" w:rsidTr="03C70384">
        <w:trPr>
          <w:cantSplit/>
          <w:jc w:val="center"/>
        </w:trPr>
        <w:tc>
          <w:tcPr>
            <w:tcW w:w="4331" w:type="dxa"/>
            <w:vAlign w:val="center"/>
          </w:tcPr>
          <w:p w14:paraId="6D841D2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sidRPr="003B6AF8">
              <w:rPr>
                <w:rFonts w:asciiTheme="minorHAnsi" w:eastAsia="SimSun" w:hAnsiTheme="minorHAnsi" w:cstheme="minorHAnsi"/>
                <w:b/>
                <w:iCs/>
                <w:szCs w:val="24"/>
              </w:rPr>
              <w:t>SNESC - DIGITAL SOLIDARITY IN THE FIELD OF EDUCATION AND HEALTH CASTRES</w:t>
            </w:r>
          </w:p>
        </w:tc>
        <w:tc>
          <w:tcPr>
            <w:tcW w:w="1559" w:type="dxa"/>
            <w:vAlign w:val="center"/>
          </w:tcPr>
          <w:p w14:paraId="005EC3E0"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ITU-D</w:t>
            </w:r>
          </w:p>
        </w:tc>
        <w:tc>
          <w:tcPr>
            <w:tcW w:w="3325" w:type="dxa"/>
            <w:vAlign w:val="center"/>
          </w:tcPr>
          <w:p w14:paraId="4E8D1B1A" w14:textId="629A24FF" w:rsidR="000232D1" w:rsidRPr="003B6AF8" w:rsidRDefault="7F7DC05D" w:rsidP="03C70384">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60" w:line="259" w:lineRule="auto"/>
              <w:jc w:val="center"/>
              <w:rPr>
                <w:rFonts w:asciiTheme="minorHAnsi" w:eastAsia="SimSun" w:hAnsiTheme="minorHAnsi" w:cstheme="minorBidi"/>
                <w:color w:val="000000" w:themeColor="text1"/>
                <w:lang w:val="fr-FR"/>
              </w:rPr>
            </w:pPr>
            <w:r w:rsidRPr="03C70384">
              <w:rPr>
                <w:rFonts w:asciiTheme="minorHAnsi" w:eastAsia="SimSun" w:hAnsiTheme="minorHAnsi" w:cstheme="minorBidi"/>
                <w:color w:val="000000" w:themeColor="text1"/>
                <w:lang w:val="fr-FR"/>
              </w:rPr>
              <w:t>N</w:t>
            </w:r>
            <w:r w:rsidR="4467B83B" w:rsidRPr="03C70384">
              <w:rPr>
                <w:rFonts w:asciiTheme="minorHAnsi" w:eastAsia="SimSun" w:hAnsiTheme="minorHAnsi" w:cstheme="minorBidi"/>
                <w:color w:val="000000" w:themeColor="text1"/>
                <w:lang w:val="fr-FR"/>
              </w:rPr>
              <w:t>o</w:t>
            </w:r>
          </w:p>
        </w:tc>
      </w:tr>
    </w:tbl>
    <w:p w14:paraId="5E825066" w14:textId="0D0A2731" w:rsidR="000055F5" w:rsidRDefault="000232D1" w:rsidP="03C70384">
      <w:pPr>
        <w:spacing w:after="120"/>
        <w:jc w:val="both"/>
        <w:rPr>
          <w:rFonts w:asciiTheme="minorHAnsi" w:eastAsia="SimSun" w:hAnsiTheme="minorHAnsi" w:cstheme="minorBidi"/>
          <w:highlight w:val="yellow"/>
          <w:lang w:eastAsia="en-GB"/>
        </w:rPr>
      </w:pPr>
      <w:r w:rsidRPr="03C70384">
        <w:rPr>
          <w:rFonts w:eastAsia="SimSun"/>
          <w:sz w:val="23"/>
          <w:szCs w:val="23"/>
        </w:rPr>
        <w:t xml:space="preserve">Solidarité Numérique Éducation et Santé Castres (SNESC) is a non-profit organization whose main objective is to promote distance learning or "e-learning". Their work involves providing advice, producing educational content, distributing educational materials, and offering expertise. </w:t>
      </w:r>
      <w:r w:rsidR="31D5F816" w:rsidRPr="03C70384">
        <w:rPr>
          <w:rFonts w:asciiTheme="minorHAnsi" w:eastAsia="SimSun" w:hAnsiTheme="minorHAnsi" w:cs="Calibri"/>
          <w:lang w:val="en-US"/>
        </w:rPr>
        <w:t>I</w:t>
      </w:r>
      <w:r w:rsidR="31D5F816" w:rsidRPr="03C70384">
        <w:rPr>
          <w:rFonts w:eastAsia="SimSun"/>
        </w:rPr>
        <w:t xml:space="preserve">n the view of the secretariat, based on the information available, this entity does not meet the membership criteria established by </w:t>
      </w:r>
      <w:r w:rsidR="003E575E">
        <w:rPr>
          <w:rFonts w:eastAsia="SimSun"/>
        </w:rPr>
        <w:t xml:space="preserve">the </w:t>
      </w:r>
      <w:r w:rsidR="31D5F816" w:rsidRPr="03C70384">
        <w:rPr>
          <w:rFonts w:eastAsia="SimSun"/>
        </w:rPr>
        <w:t>Council for fee exemption.</w:t>
      </w:r>
    </w:p>
    <w:p w14:paraId="2A8BDC00" w14:textId="77777777" w:rsidR="000232D1" w:rsidRPr="006D5E09" w:rsidRDefault="000232D1" w:rsidP="003F61AC">
      <w:pPr>
        <w:spacing w:before="240" w:after="120"/>
        <w:rPr>
          <w:rFonts w:eastAsia="SimSun"/>
          <w:sz w:val="23"/>
          <w:szCs w:val="23"/>
        </w:rPr>
      </w:pPr>
      <w:r w:rsidRPr="186B2739">
        <w:rPr>
          <w:rFonts w:asciiTheme="minorHAnsi" w:eastAsia="SimSun" w:hAnsiTheme="minorHAnsi" w:cs="Calibri"/>
          <w:lang w:val="en-US"/>
        </w:rPr>
        <w:t>2.</w:t>
      </w:r>
      <w:r>
        <w:rPr>
          <w:rFonts w:asciiTheme="minorHAnsi" w:eastAsia="SimSun" w:hAnsiTheme="minorHAnsi" w:cs="Calibri"/>
          <w:lang w:val="en-US"/>
        </w:rPr>
        <w:t>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62440AF1" w14:textId="77777777" w:rsidTr="03C70384">
        <w:trPr>
          <w:cantSplit/>
          <w:jc w:val="center"/>
        </w:trPr>
        <w:tc>
          <w:tcPr>
            <w:tcW w:w="4331" w:type="dxa"/>
          </w:tcPr>
          <w:p w14:paraId="5283C324"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23E21F6F"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34DCB99F"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12C9C981"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658647EA" w14:textId="77777777" w:rsidTr="00E01E10">
        <w:trPr>
          <w:cantSplit/>
          <w:jc w:val="center"/>
        </w:trPr>
        <w:tc>
          <w:tcPr>
            <w:tcW w:w="4331" w:type="dxa"/>
            <w:vAlign w:val="center"/>
          </w:tcPr>
          <w:p w14:paraId="6764986A" w14:textId="77777777" w:rsidR="000232D1" w:rsidRPr="006D5E09" w:rsidRDefault="000232D1" w:rsidP="00E01E10">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lang w:val="fr-FR"/>
              </w:rPr>
            </w:pPr>
            <w:r w:rsidRPr="00807BBC">
              <w:rPr>
                <w:rFonts w:asciiTheme="minorHAnsi" w:eastAsia="SimSun" w:hAnsiTheme="minorHAnsi" w:cstheme="minorHAnsi"/>
                <w:b/>
                <w:iCs/>
                <w:szCs w:val="24"/>
                <w:lang w:val="fr-FR"/>
              </w:rPr>
              <w:t>The Unconnected Foundation</w:t>
            </w:r>
          </w:p>
        </w:tc>
        <w:tc>
          <w:tcPr>
            <w:tcW w:w="1559" w:type="dxa"/>
            <w:vAlign w:val="center"/>
          </w:tcPr>
          <w:p w14:paraId="193804AF" w14:textId="7B63A0E0" w:rsidR="000232D1" w:rsidRPr="006D5E09" w:rsidRDefault="000232D1" w:rsidP="00E01E10">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w:t>
            </w:r>
            <w:r>
              <w:rPr>
                <w:rFonts w:asciiTheme="minorHAnsi" w:eastAsia="SimSun" w:hAnsiTheme="minorHAnsi" w:cstheme="minorHAnsi"/>
                <w:szCs w:val="24"/>
                <w:lang w:val="fr-CH"/>
              </w:rPr>
              <w:t>D</w:t>
            </w:r>
          </w:p>
        </w:tc>
        <w:tc>
          <w:tcPr>
            <w:tcW w:w="3325" w:type="dxa"/>
            <w:vAlign w:val="center"/>
          </w:tcPr>
          <w:p w14:paraId="15186FD0" w14:textId="32E36760" w:rsidR="000232D1" w:rsidRPr="006D5E09" w:rsidRDefault="07F69F48" w:rsidP="00E01E10">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line="259" w:lineRule="auto"/>
              <w:jc w:val="center"/>
              <w:rPr>
                <w:rFonts w:asciiTheme="minorHAnsi" w:eastAsia="SimSun" w:hAnsiTheme="minorHAnsi" w:cstheme="minorBidi"/>
                <w:color w:val="000000" w:themeColor="text1"/>
                <w:lang w:val="fr-FR"/>
              </w:rPr>
            </w:pPr>
            <w:r w:rsidRPr="03C70384">
              <w:rPr>
                <w:rFonts w:asciiTheme="minorHAnsi" w:eastAsia="SimSun" w:hAnsiTheme="minorHAnsi" w:cstheme="minorBidi"/>
                <w:color w:val="000000" w:themeColor="text1"/>
                <w:lang w:val="fr-FR"/>
              </w:rPr>
              <w:t>N</w:t>
            </w:r>
            <w:r w:rsidR="6501FC0F" w:rsidRPr="03C70384">
              <w:rPr>
                <w:rFonts w:asciiTheme="minorHAnsi" w:eastAsia="SimSun" w:hAnsiTheme="minorHAnsi" w:cstheme="minorBidi"/>
                <w:color w:val="000000" w:themeColor="text1"/>
                <w:lang w:val="fr-FR"/>
              </w:rPr>
              <w:t>o</w:t>
            </w:r>
          </w:p>
        </w:tc>
      </w:tr>
    </w:tbl>
    <w:p w14:paraId="493EF090" w14:textId="633AD504" w:rsidR="000232D1" w:rsidRDefault="40D34C66" w:rsidP="4A07C215">
      <w:pPr>
        <w:spacing w:after="120"/>
        <w:jc w:val="both"/>
        <w:rPr>
          <w:rFonts w:asciiTheme="minorHAnsi" w:eastAsia="SimSun" w:hAnsiTheme="minorHAnsi" w:cstheme="minorBidi"/>
          <w:highlight w:val="yellow"/>
          <w:lang w:eastAsia="en-GB"/>
        </w:rPr>
      </w:pPr>
      <w:r w:rsidRPr="4A07C215">
        <w:rPr>
          <w:rFonts w:asciiTheme="minorHAnsi" w:eastAsia="SimSun" w:hAnsiTheme="minorHAnsi" w:cs="Calibri"/>
          <w:lang w:val="en-US"/>
        </w:rPr>
        <w:t xml:space="preserve">Unconnected.org, founded in 2020 and based in London, is a philanthropic fundraising organization committed to bridging the digital divide. They aim to connect 1 billion unconnected people to the internet, focusing on those among who still lack access. They run global projects addressing education, commerce, jobs, safety, and health, believing that internet access can reduce inequality, boost development, and ensure sustainability. </w:t>
      </w:r>
      <w:r w:rsidR="70FA257E" w:rsidRPr="4A07C215">
        <w:rPr>
          <w:rFonts w:asciiTheme="minorHAnsi" w:eastAsia="SimSun" w:hAnsiTheme="minorHAnsi" w:cs="Calibri"/>
          <w:lang w:val="en-US"/>
        </w:rPr>
        <w:t>I</w:t>
      </w:r>
      <w:r w:rsidR="53BB151E" w:rsidRPr="4A07C215">
        <w:rPr>
          <w:rFonts w:eastAsia="SimSun"/>
        </w:rPr>
        <w:t xml:space="preserve">n the view of the secretariat, </w:t>
      </w:r>
      <w:r w:rsidR="7E80059A" w:rsidRPr="4A07C215">
        <w:rPr>
          <w:rFonts w:eastAsia="SimSun"/>
        </w:rPr>
        <w:t xml:space="preserve">based on the information available, </w:t>
      </w:r>
      <w:r w:rsidR="53BB151E" w:rsidRPr="4A07C215">
        <w:rPr>
          <w:rFonts w:eastAsia="SimSun"/>
        </w:rPr>
        <w:t>this entity does not meet the membership criteria established by</w:t>
      </w:r>
      <w:r w:rsidR="3F61EAB7" w:rsidRPr="4A07C215">
        <w:rPr>
          <w:rFonts w:eastAsia="SimSun"/>
        </w:rPr>
        <w:t xml:space="preserve"> the</w:t>
      </w:r>
      <w:r w:rsidR="53BB151E" w:rsidRPr="4A07C215">
        <w:rPr>
          <w:rFonts w:eastAsia="SimSun"/>
        </w:rPr>
        <w:t xml:space="preserve"> Council for fee exemption.</w:t>
      </w:r>
    </w:p>
    <w:p w14:paraId="222D8115" w14:textId="77777777" w:rsidR="000232D1" w:rsidRPr="006D5E09" w:rsidRDefault="000232D1" w:rsidP="003F61AC">
      <w:pPr>
        <w:spacing w:before="240" w:after="120"/>
        <w:rPr>
          <w:rFonts w:asciiTheme="minorHAnsi" w:eastAsia="SimSun" w:hAnsiTheme="minorHAnsi" w:cs="Calibri"/>
          <w:lang w:val="en-US"/>
        </w:rPr>
      </w:pPr>
      <w:r w:rsidRPr="006D5E09">
        <w:rPr>
          <w:rFonts w:asciiTheme="minorHAnsi" w:eastAsia="SimSun" w:hAnsiTheme="minorHAnsi" w:cs="Calibri"/>
          <w:lang w:val="en-US"/>
        </w:rPr>
        <w:t>2.</w:t>
      </w:r>
      <w:r>
        <w:rPr>
          <w:rFonts w:asciiTheme="minorHAnsi" w:eastAsia="SimSun" w:hAnsiTheme="minorHAnsi" w:cs="Calibri"/>
          <w:lang w:val="en-US"/>
        </w:rPr>
        <w:t>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3622C3E7" w14:textId="77777777">
        <w:trPr>
          <w:cantSplit/>
          <w:jc w:val="center"/>
        </w:trPr>
        <w:tc>
          <w:tcPr>
            <w:tcW w:w="4331" w:type="dxa"/>
          </w:tcPr>
          <w:p w14:paraId="46BDB68E"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77113AB4"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6B05F26A"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5E31C36B"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0232D1" w:rsidRPr="006D5E09" w14:paraId="729B7056" w14:textId="77777777">
        <w:trPr>
          <w:cantSplit/>
          <w:jc w:val="center"/>
        </w:trPr>
        <w:tc>
          <w:tcPr>
            <w:tcW w:w="4331" w:type="dxa"/>
            <w:vAlign w:val="center"/>
          </w:tcPr>
          <w:p w14:paraId="6EC23B33" w14:textId="77777777"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sidRPr="00075656">
              <w:rPr>
                <w:rFonts w:asciiTheme="minorHAnsi" w:eastAsia="SimSun" w:hAnsiTheme="minorHAnsi" w:cstheme="minorHAnsi"/>
                <w:b/>
                <w:iCs/>
                <w:szCs w:val="24"/>
              </w:rPr>
              <w:t>World Smart Sustainable Cities Organization (WeGo)</w:t>
            </w:r>
          </w:p>
        </w:tc>
        <w:tc>
          <w:tcPr>
            <w:tcW w:w="1559" w:type="dxa"/>
            <w:vAlign w:val="center"/>
          </w:tcPr>
          <w:p w14:paraId="2C65FBE7" w14:textId="29DAD122"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ITU-T</w:t>
            </w:r>
          </w:p>
        </w:tc>
        <w:tc>
          <w:tcPr>
            <w:tcW w:w="3325" w:type="dxa"/>
            <w:vAlign w:val="center"/>
          </w:tcPr>
          <w:p w14:paraId="5F7DA7CE" w14:textId="4A95C09F" w:rsidR="000232D1" w:rsidRPr="006D5E09" w:rsidRDefault="000232D1">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line="259" w:lineRule="auto"/>
              <w:jc w:val="center"/>
              <w:rPr>
                <w:rFonts w:asciiTheme="minorHAnsi" w:eastAsia="SimSun" w:hAnsiTheme="minorHAnsi" w:cstheme="minorBidi"/>
                <w:color w:val="000000" w:themeColor="text1"/>
                <w:lang w:val="en-US"/>
              </w:rPr>
            </w:pPr>
            <w:r>
              <w:rPr>
                <w:rFonts w:asciiTheme="minorHAnsi" w:eastAsia="SimSun" w:hAnsiTheme="minorHAnsi" w:cstheme="minorBidi"/>
                <w:szCs w:val="24"/>
              </w:rPr>
              <w:t>Yes</w:t>
            </w:r>
          </w:p>
        </w:tc>
      </w:tr>
    </w:tbl>
    <w:p w14:paraId="50317FAA" w14:textId="3B62F520" w:rsidR="000232D1" w:rsidRDefault="000232D1" w:rsidP="03C70384">
      <w:pPr>
        <w:spacing w:after="120"/>
        <w:jc w:val="both"/>
        <w:rPr>
          <w:rFonts w:asciiTheme="minorHAnsi" w:eastAsia="SimSun" w:hAnsiTheme="minorHAnsi" w:cs="Calibri"/>
          <w:lang w:val="en-US"/>
        </w:rPr>
      </w:pPr>
      <w:r w:rsidRPr="03C70384">
        <w:rPr>
          <w:rFonts w:asciiTheme="minorHAnsi" w:eastAsia="SimSun" w:hAnsiTheme="minorHAnsi" w:cs="Calibri"/>
          <w:lang w:val="en-US"/>
        </w:rPr>
        <w:t xml:space="preserve">The World Smart Sustainable Cities Organization (WeGO) is an international association with more than 200 members. It is made up of local governments, smart technology solution providers, and various institutions. </w:t>
      </w:r>
      <w:r w:rsidR="76C3A2C6" w:rsidRPr="03C70384">
        <w:rPr>
          <w:rFonts w:asciiTheme="minorHAnsi" w:eastAsia="SimSun" w:hAnsiTheme="minorHAnsi" w:cs="Calibri"/>
          <w:lang w:val="en-US"/>
        </w:rPr>
        <w:t xml:space="preserve">Founded by 50 member cities in 2010, </w:t>
      </w:r>
      <w:r w:rsidRPr="03C70384">
        <w:rPr>
          <w:rFonts w:asciiTheme="minorHAnsi" w:eastAsia="SimSun" w:hAnsiTheme="minorHAnsi" w:cs="Calibri"/>
          <w:lang w:val="en-US"/>
        </w:rPr>
        <w:t>WeGO is committed to the transformation of cities into smart sustainable cities by facilitating public-private partnerships (PPP). Today, WeGO serves as an international platform for its members to improve the quality of life, innovate in the delivery of public services, and strengthen regional competitiveness. As a</w:t>
      </w:r>
      <w:r w:rsidR="1472264E" w:rsidRPr="03C70384">
        <w:rPr>
          <w:rFonts w:asciiTheme="minorHAnsi" w:eastAsia="SimSun" w:hAnsiTheme="minorHAnsi" w:cs="Calibri"/>
          <w:lang w:val="en-US"/>
        </w:rPr>
        <w:t>n international association with local government members</w:t>
      </w:r>
      <w:r w:rsidRPr="03C70384">
        <w:rPr>
          <w:rFonts w:asciiTheme="minorHAnsi" w:eastAsia="SimSun" w:hAnsiTheme="minorHAnsi" w:cs="Calibri"/>
          <w:lang w:val="en-US"/>
        </w:rPr>
        <w:t xml:space="preserve">, in the view of the secretariat, this entity meets the criteria established by </w:t>
      </w:r>
      <w:r w:rsidR="008E629F">
        <w:rPr>
          <w:rFonts w:asciiTheme="minorHAnsi" w:eastAsia="SimSun" w:hAnsiTheme="minorHAnsi" w:cs="Calibri"/>
          <w:lang w:val="en-US"/>
        </w:rPr>
        <w:t xml:space="preserve">the </w:t>
      </w:r>
      <w:r w:rsidRPr="03C70384">
        <w:rPr>
          <w:rFonts w:asciiTheme="minorHAnsi" w:eastAsia="SimSun" w:hAnsiTheme="minorHAnsi" w:cs="Calibri"/>
          <w:lang w:val="en-US"/>
        </w:rPr>
        <w:t>Council for fee exemption.</w:t>
      </w:r>
    </w:p>
    <w:p w14:paraId="15FB704E" w14:textId="77777777" w:rsidR="000232D1" w:rsidRPr="006D5E09" w:rsidRDefault="000232D1" w:rsidP="003F61AC">
      <w:pPr>
        <w:keepNext/>
        <w:keepLines/>
        <w:spacing w:after="120" w:line="259" w:lineRule="auto"/>
        <w:jc w:val="both"/>
        <w:rPr>
          <w:rFonts w:asciiTheme="minorHAnsi" w:eastAsia="SimSun" w:hAnsiTheme="minorHAnsi" w:cs="Calibri"/>
          <w:lang w:val="en-US"/>
        </w:rPr>
      </w:pPr>
      <w:r w:rsidRPr="006D5E09">
        <w:rPr>
          <w:rFonts w:asciiTheme="minorHAnsi" w:eastAsia="SimSun" w:hAnsiTheme="minorHAnsi" w:cs="Calibri"/>
          <w:lang w:val="en-US"/>
        </w:rPr>
        <w:lastRenderedPageBreak/>
        <w:t>2.</w:t>
      </w:r>
      <w:r>
        <w:rPr>
          <w:rFonts w:asciiTheme="minorHAnsi" w:eastAsia="SimSun" w:hAnsiTheme="minorHAnsi" w:cs="Calibri"/>
          <w:lang w:val="en-US"/>
        </w:rPr>
        <w:t>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0232D1" w:rsidRPr="006D5E09" w14:paraId="0A31059E" w14:textId="77777777">
        <w:trPr>
          <w:cantSplit/>
          <w:jc w:val="center"/>
        </w:trPr>
        <w:tc>
          <w:tcPr>
            <w:tcW w:w="4331" w:type="dxa"/>
          </w:tcPr>
          <w:p w14:paraId="6A10281D"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08DFE131"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0FCEC38F"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tc>
      </w:tr>
      <w:tr w:rsidR="000232D1" w:rsidRPr="006D5E09" w14:paraId="7C8245AB" w14:textId="77777777">
        <w:trPr>
          <w:cantSplit/>
          <w:jc w:val="center"/>
        </w:trPr>
        <w:tc>
          <w:tcPr>
            <w:tcW w:w="4331" w:type="dxa"/>
            <w:vAlign w:val="center"/>
          </w:tcPr>
          <w:p w14:paraId="15B12883"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sidRPr="00EC7D07">
              <w:rPr>
                <w:rFonts w:asciiTheme="minorHAnsi" w:eastAsia="SimSun" w:hAnsiTheme="minorHAnsi" w:cstheme="minorHAnsi"/>
                <w:b/>
                <w:iCs/>
                <w:szCs w:val="24"/>
              </w:rPr>
              <w:t>WHSF - World Humanitarian Support Foundation</w:t>
            </w:r>
          </w:p>
        </w:tc>
        <w:tc>
          <w:tcPr>
            <w:tcW w:w="1559" w:type="dxa"/>
            <w:vAlign w:val="center"/>
          </w:tcPr>
          <w:p w14:paraId="486BE036" w14:textId="77777777" w:rsidR="000232D1"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8A0272">
              <w:rPr>
                <w:rFonts w:asciiTheme="minorHAnsi" w:eastAsia="SimSun" w:hAnsiTheme="minorHAnsi" w:cstheme="minorHAnsi"/>
                <w:szCs w:val="24"/>
                <w:lang w:val="fr-CH"/>
              </w:rPr>
              <w:br/>
            </w:r>
            <w:r w:rsidRPr="006D5E09">
              <w:rPr>
                <w:rFonts w:asciiTheme="minorHAnsi" w:eastAsia="SimSun" w:hAnsiTheme="minorHAnsi" w:cstheme="minorHAnsi"/>
                <w:szCs w:val="24"/>
                <w:lang w:val="fr-CH"/>
              </w:rPr>
              <w:t>ITU-</w:t>
            </w:r>
            <w:r>
              <w:rPr>
                <w:rFonts w:asciiTheme="minorHAnsi" w:eastAsia="SimSun" w:hAnsiTheme="minorHAnsi" w:cstheme="minorHAnsi"/>
                <w:szCs w:val="24"/>
                <w:lang w:val="fr-CH"/>
              </w:rPr>
              <w:t>R</w:t>
            </w:r>
          </w:p>
          <w:p w14:paraId="6D85616A" w14:textId="77777777" w:rsidR="000232D1"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ITU-T</w:t>
            </w:r>
          </w:p>
          <w:p w14:paraId="30F70BA1" w14:textId="512B8988"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ITU-D</w:t>
            </w:r>
          </w:p>
        </w:tc>
        <w:tc>
          <w:tcPr>
            <w:tcW w:w="3325" w:type="dxa"/>
            <w:vAlign w:val="center"/>
          </w:tcPr>
          <w:p w14:paraId="1085FD87" w14:textId="77777777" w:rsidR="000232D1" w:rsidRPr="00063537"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theme="minorBidi"/>
                <w:color w:val="000000" w:themeColor="text1"/>
                <w:lang w:val="fr-FR"/>
              </w:rPr>
            </w:pPr>
            <w:r w:rsidRPr="00063537">
              <w:rPr>
                <w:rFonts w:asciiTheme="minorHAnsi" w:eastAsia="SimSun" w:hAnsiTheme="minorHAnsi" w:cstheme="minorBidi"/>
                <w:color w:val="000000" w:themeColor="text1"/>
                <w:lang w:val="fr-FR"/>
              </w:rPr>
              <w:t xml:space="preserve">No </w:t>
            </w:r>
          </w:p>
          <w:p w14:paraId="7F5BD5F1" w14:textId="77777777" w:rsidR="000232D1" w:rsidRPr="00063537"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theme="minorBidi"/>
                <w:color w:val="000000" w:themeColor="text1"/>
                <w:lang w:val="fr-FR"/>
              </w:rPr>
            </w:pPr>
            <w:r w:rsidRPr="00063537">
              <w:rPr>
                <w:rFonts w:asciiTheme="minorHAnsi" w:eastAsia="SimSun" w:hAnsiTheme="minorHAnsi" w:cstheme="minorBidi"/>
                <w:color w:val="000000" w:themeColor="text1"/>
                <w:lang w:val="fr-FR"/>
              </w:rPr>
              <w:t>No</w:t>
            </w:r>
          </w:p>
          <w:p w14:paraId="012B7DB5" w14:textId="77777777" w:rsidR="000232D1" w:rsidRPr="006D5E09" w:rsidRDefault="000232D1" w:rsidP="003F61AC">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jc w:val="center"/>
              <w:rPr>
                <w:rFonts w:asciiTheme="minorHAnsi" w:eastAsia="SimSun" w:hAnsiTheme="minorHAnsi" w:cstheme="minorBidi"/>
              </w:rPr>
            </w:pPr>
            <w:r w:rsidRPr="00063537">
              <w:rPr>
                <w:rFonts w:asciiTheme="minorHAnsi" w:eastAsia="SimSun" w:hAnsiTheme="minorHAnsi" w:cstheme="minorBidi"/>
                <w:color w:val="000000" w:themeColor="text1"/>
                <w:lang w:val="fr-FR"/>
              </w:rPr>
              <w:t>No</w:t>
            </w:r>
          </w:p>
        </w:tc>
      </w:tr>
    </w:tbl>
    <w:p w14:paraId="633D3288" w14:textId="27BEB12F" w:rsidR="000232D1" w:rsidRDefault="000232D1" w:rsidP="003F61AC">
      <w:pPr>
        <w:keepNext/>
        <w:keepLines/>
        <w:spacing w:after="120"/>
        <w:jc w:val="both"/>
        <w:rPr>
          <w:rFonts w:asciiTheme="minorHAnsi" w:eastAsia="SimSun" w:hAnsiTheme="minorHAnsi" w:cstheme="minorBidi"/>
          <w:highlight w:val="yellow"/>
          <w:lang w:eastAsia="en-GB"/>
        </w:rPr>
      </w:pPr>
      <w:r w:rsidRPr="03C70384">
        <w:rPr>
          <w:rFonts w:asciiTheme="minorHAnsi" w:eastAsia="SimSun" w:hAnsiTheme="minorHAnsi" w:cs="Calibri"/>
          <w:lang w:val="en-US"/>
        </w:rPr>
        <w:t xml:space="preserve">The World Humanitarian Support Foundation (WHSF) is an NGO with a mission to provide humanitarian support through poverty alleviation, with a focus on maintaining human dignity, enhancing communities, and developing individuals to reach their full potential. Based in Nigeria and the USA, the organization aims to alleviate poverty through education and skills training for marginalized individuals and their communities. </w:t>
      </w:r>
      <w:r w:rsidR="178F0113" w:rsidRPr="03C70384">
        <w:rPr>
          <w:rFonts w:asciiTheme="minorHAnsi" w:eastAsia="SimSun" w:hAnsiTheme="minorHAnsi" w:cs="Calibri"/>
          <w:lang w:val="en-US"/>
        </w:rPr>
        <w:t>I</w:t>
      </w:r>
      <w:r w:rsidR="178F0113" w:rsidRPr="03C70384">
        <w:rPr>
          <w:rFonts w:eastAsia="SimSun"/>
        </w:rPr>
        <w:t xml:space="preserve">n the view of the secretariat, based on the information available, this entity does not meet the membership criteria established by </w:t>
      </w:r>
      <w:r w:rsidR="003E575E">
        <w:rPr>
          <w:rFonts w:eastAsia="SimSun"/>
        </w:rPr>
        <w:t xml:space="preserve">the </w:t>
      </w:r>
      <w:r w:rsidR="178F0113" w:rsidRPr="03C70384">
        <w:rPr>
          <w:rFonts w:eastAsia="SimSun"/>
        </w:rPr>
        <w:t>Council for fee exemption.</w:t>
      </w:r>
    </w:p>
    <w:p w14:paraId="165C4F28" w14:textId="6327FCAF" w:rsidR="00D82895" w:rsidRDefault="00D82895" w:rsidP="003F61AC">
      <w:pPr>
        <w:spacing w:before="240" w:after="120"/>
        <w:jc w:val="both"/>
        <w:rPr>
          <w:rFonts w:asciiTheme="minorHAnsi" w:eastAsia="SimSun" w:hAnsiTheme="minorHAnsi" w:cstheme="minorBidi"/>
          <w:lang w:val="en-US"/>
        </w:rPr>
      </w:pPr>
      <w:r w:rsidRPr="006D5E09">
        <w:rPr>
          <w:rFonts w:asciiTheme="minorHAnsi" w:eastAsia="SimSun" w:hAnsiTheme="minorHAnsi" w:cs="Calibri"/>
          <w:lang w:val="en-US"/>
        </w:rPr>
        <w:t>2.</w:t>
      </w:r>
      <w:r>
        <w:rPr>
          <w:rFonts w:asciiTheme="minorHAnsi" w:eastAsia="SimSun" w:hAnsiTheme="minorHAnsi" w:cs="Calibri"/>
          <w:lang w:val="en-US"/>
        </w:rPr>
        <w:t>12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D82895" w:rsidRPr="006D5E09" w14:paraId="5D6556E6" w14:textId="77777777">
        <w:trPr>
          <w:cantSplit/>
          <w:jc w:val="center"/>
        </w:trPr>
        <w:tc>
          <w:tcPr>
            <w:tcW w:w="4331" w:type="dxa"/>
          </w:tcPr>
          <w:bookmarkEnd w:id="5"/>
          <w:bookmarkEnd w:id="12"/>
          <w:p w14:paraId="5CB999A5" w14:textId="77777777"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Organization</w:t>
            </w:r>
          </w:p>
        </w:tc>
        <w:tc>
          <w:tcPr>
            <w:tcW w:w="1559" w:type="dxa"/>
          </w:tcPr>
          <w:p w14:paraId="5748288E" w14:textId="77777777"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r w:rsidRPr="006D5E09">
              <w:rPr>
                <w:rFonts w:asciiTheme="minorHAnsi" w:eastAsia="SimSun" w:hAnsiTheme="minorHAnsi" w:cstheme="minorHAnsi"/>
                <w:b/>
                <w:szCs w:val="24"/>
                <w:lang w:val="en-US"/>
              </w:rPr>
              <w:t>Sector</w:t>
            </w:r>
          </w:p>
        </w:tc>
        <w:tc>
          <w:tcPr>
            <w:tcW w:w="3325" w:type="dxa"/>
          </w:tcPr>
          <w:p w14:paraId="0648B2B8" w14:textId="77777777"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Bidi"/>
                <w:b/>
                <w:lang w:val="en-US"/>
              </w:rPr>
            </w:pPr>
            <w:r w:rsidRPr="006D5E09">
              <w:rPr>
                <w:rFonts w:asciiTheme="minorHAnsi" w:eastAsia="SimSun" w:hAnsiTheme="minorHAnsi" w:cstheme="minorBidi"/>
                <w:b/>
                <w:lang w:val="en-US"/>
              </w:rPr>
              <w:t>Recommendation</w:t>
            </w:r>
          </w:p>
          <w:p w14:paraId="2DFCFC3C" w14:textId="77777777"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n-US"/>
              </w:rPr>
            </w:pPr>
          </w:p>
        </w:tc>
      </w:tr>
      <w:tr w:rsidR="00D82895" w:rsidRPr="006D5E09" w14:paraId="5242370B" w14:textId="77777777">
        <w:trPr>
          <w:cantSplit/>
          <w:jc w:val="center"/>
        </w:trPr>
        <w:tc>
          <w:tcPr>
            <w:tcW w:w="4331" w:type="dxa"/>
            <w:vAlign w:val="center"/>
          </w:tcPr>
          <w:p w14:paraId="13C38BE0" w14:textId="38656541"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after="60"/>
              <w:rPr>
                <w:rFonts w:asciiTheme="minorHAnsi" w:eastAsia="SimSun" w:hAnsiTheme="minorHAnsi" w:cstheme="minorHAnsi"/>
                <w:b/>
                <w:iCs/>
                <w:szCs w:val="24"/>
              </w:rPr>
            </w:pPr>
            <w:r>
              <w:rPr>
                <w:rFonts w:asciiTheme="minorHAnsi" w:eastAsia="SimSun" w:hAnsiTheme="minorHAnsi" w:cstheme="minorHAnsi"/>
                <w:b/>
                <w:iCs/>
                <w:szCs w:val="24"/>
              </w:rPr>
              <w:t>Digital Cooperation Organization</w:t>
            </w:r>
            <w:r w:rsidRPr="00075656">
              <w:rPr>
                <w:rFonts w:asciiTheme="minorHAnsi" w:eastAsia="SimSun" w:hAnsiTheme="minorHAnsi" w:cstheme="minorHAnsi"/>
                <w:b/>
                <w:iCs/>
                <w:szCs w:val="24"/>
              </w:rPr>
              <w:t xml:space="preserve"> (</w:t>
            </w:r>
            <w:r>
              <w:rPr>
                <w:rFonts w:asciiTheme="minorHAnsi" w:eastAsia="SimSun" w:hAnsiTheme="minorHAnsi" w:cstheme="minorHAnsi"/>
                <w:b/>
                <w:iCs/>
                <w:szCs w:val="24"/>
              </w:rPr>
              <w:t>DCO</w:t>
            </w:r>
            <w:r w:rsidRPr="00075656">
              <w:rPr>
                <w:rFonts w:asciiTheme="minorHAnsi" w:eastAsia="SimSun" w:hAnsiTheme="minorHAnsi" w:cstheme="minorHAnsi"/>
                <w:b/>
                <w:iCs/>
                <w:szCs w:val="24"/>
              </w:rPr>
              <w:t>)</w:t>
            </w:r>
          </w:p>
        </w:tc>
        <w:tc>
          <w:tcPr>
            <w:tcW w:w="1559" w:type="dxa"/>
            <w:vAlign w:val="center"/>
          </w:tcPr>
          <w:p w14:paraId="4FD9CD71" w14:textId="07D0BFE3"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6D5E09">
              <w:rPr>
                <w:rFonts w:asciiTheme="minorHAnsi" w:eastAsia="SimSun" w:hAnsiTheme="minorHAnsi" w:cstheme="minorHAnsi"/>
                <w:szCs w:val="24"/>
                <w:lang w:val="fr-CH"/>
              </w:rPr>
              <w:t>ITU-T</w:t>
            </w:r>
          </w:p>
        </w:tc>
        <w:tc>
          <w:tcPr>
            <w:tcW w:w="3325" w:type="dxa"/>
            <w:vAlign w:val="center"/>
          </w:tcPr>
          <w:p w14:paraId="71AB4350" w14:textId="6E5E11B9" w:rsidR="00D82895" w:rsidRPr="006D5E09" w:rsidRDefault="00D8289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line="259" w:lineRule="auto"/>
              <w:jc w:val="center"/>
              <w:rPr>
                <w:rFonts w:asciiTheme="minorHAnsi" w:eastAsia="SimSun" w:hAnsiTheme="minorHAnsi" w:cstheme="minorBidi"/>
                <w:color w:val="000000" w:themeColor="text1"/>
                <w:lang w:val="en-US"/>
              </w:rPr>
            </w:pPr>
            <w:r>
              <w:rPr>
                <w:rFonts w:asciiTheme="minorHAnsi" w:eastAsia="SimSun" w:hAnsiTheme="minorHAnsi" w:cstheme="minorBidi"/>
                <w:szCs w:val="24"/>
              </w:rPr>
              <w:t>Yes</w:t>
            </w:r>
          </w:p>
        </w:tc>
      </w:tr>
    </w:tbl>
    <w:p w14:paraId="257674B4" w14:textId="77777777" w:rsidR="00A514A4" w:rsidRDefault="00A514A4">
      <w:pPr>
        <w:tabs>
          <w:tab w:val="clear" w:pos="567"/>
          <w:tab w:val="clear" w:pos="1134"/>
          <w:tab w:val="clear" w:pos="1701"/>
          <w:tab w:val="clear" w:pos="2268"/>
          <w:tab w:val="clear" w:pos="2835"/>
        </w:tabs>
        <w:overflowPunct/>
        <w:autoSpaceDE/>
        <w:autoSpaceDN/>
        <w:adjustRightInd/>
        <w:spacing w:before="0"/>
        <w:textAlignment w:val="auto"/>
      </w:pPr>
    </w:p>
    <w:p w14:paraId="7CE453E5" w14:textId="0E401432" w:rsidR="00F4717B" w:rsidRDefault="00F4717B" w:rsidP="03C70384">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Bidi"/>
          <w:color w:val="000000" w:themeColor="text1"/>
        </w:rPr>
      </w:pPr>
      <w:r w:rsidRPr="03C70384">
        <w:rPr>
          <w:rFonts w:asciiTheme="minorHAnsi" w:eastAsia="SimSun" w:hAnsiTheme="minorHAnsi" w:cs="Calibri"/>
          <w:lang w:val="en-US"/>
        </w:rPr>
        <w:t>The Digital Cooperation Organization (DCO) is an international entity that seeks to promote digital cooperation among its members and foster the role of technology and digitalization in the development of nations. It aims to strengthen the global digital economy, build a digital society that ensures a future of prosperity, innovation, and sustainable growth, and establish a digital environment that safeguards the world</w:t>
      </w:r>
      <w:r w:rsidR="00776A7F">
        <w:rPr>
          <w:rFonts w:asciiTheme="minorHAnsi" w:eastAsia="SimSun" w:hAnsiTheme="minorHAnsi" w:cs="Calibri"/>
          <w:lang w:val="en-US"/>
        </w:rPr>
        <w:t>’</w:t>
      </w:r>
      <w:r w:rsidRPr="03C70384">
        <w:rPr>
          <w:rFonts w:asciiTheme="minorHAnsi" w:eastAsia="SimSun" w:hAnsiTheme="minorHAnsi" w:cs="Calibri"/>
          <w:lang w:val="en-US"/>
        </w:rPr>
        <w:t xml:space="preserve">s digital security. </w:t>
      </w:r>
      <w:r w:rsidR="335EB648" w:rsidRPr="03C70384">
        <w:rPr>
          <w:rFonts w:eastAsia="Calibri" w:cs="Calibri"/>
          <w:lang w:val="en-US" w:eastAsia="en-GB"/>
        </w:rPr>
        <w:t>DCO</w:t>
      </w:r>
      <w:r w:rsidRPr="03C70384">
        <w:rPr>
          <w:rFonts w:eastAsia="Calibri" w:cs="Calibri"/>
          <w:lang w:val="en-US" w:eastAsia="en-GB"/>
        </w:rPr>
        <w:t xml:space="preserve"> is an ITU-D exempted </w:t>
      </w:r>
      <w:r w:rsidR="51395C0A" w:rsidRPr="03C70384">
        <w:rPr>
          <w:rFonts w:eastAsia="Calibri" w:cs="Calibri"/>
          <w:lang w:val="en-US" w:eastAsia="en-GB"/>
        </w:rPr>
        <w:t>sector member</w:t>
      </w:r>
      <w:r w:rsidRPr="03C70384">
        <w:rPr>
          <w:rFonts w:eastAsia="Calibri" w:cs="Calibri"/>
          <w:lang w:val="en-US" w:eastAsia="en-GB"/>
        </w:rPr>
        <w:t>.</w:t>
      </w:r>
      <w:r w:rsidR="007C015F" w:rsidRPr="03C70384">
        <w:rPr>
          <w:rFonts w:eastAsia="Calibri" w:cs="Calibri"/>
          <w:lang w:val="en-US" w:eastAsia="en-GB"/>
        </w:rPr>
        <w:t xml:space="preserve"> </w:t>
      </w:r>
      <w:r w:rsidR="007C015F" w:rsidRPr="03C70384">
        <w:rPr>
          <w:rFonts w:eastAsia="SimSun"/>
        </w:rPr>
        <w:t>As a</w:t>
      </w:r>
      <w:r w:rsidR="00107ADF" w:rsidRPr="03C70384">
        <w:rPr>
          <w:rFonts w:eastAsia="SimSun"/>
        </w:rPr>
        <w:t>n</w:t>
      </w:r>
      <w:r w:rsidR="007C015F" w:rsidRPr="03C70384">
        <w:rPr>
          <w:rFonts w:eastAsia="SimSun"/>
        </w:rPr>
        <w:t xml:space="preserve"> </w:t>
      </w:r>
      <w:r w:rsidR="00765473" w:rsidRPr="03C70384">
        <w:rPr>
          <w:rFonts w:eastAsia="SimSun"/>
        </w:rPr>
        <w:t xml:space="preserve">international </w:t>
      </w:r>
      <w:r w:rsidR="007C015F" w:rsidRPr="03C70384">
        <w:rPr>
          <w:rFonts w:eastAsia="SimSun"/>
        </w:rPr>
        <w:t>organization</w:t>
      </w:r>
      <w:r w:rsidR="658B3EAA" w:rsidRPr="03C70384">
        <w:rPr>
          <w:rFonts w:eastAsia="SimSun"/>
        </w:rPr>
        <w:t xml:space="preserve"> with Member States</w:t>
      </w:r>
      <w:r w:rsidR="007C015F" w:rsidRPr="03C70384">
        <w:rPr>
          <w:rFonts w:eastAsia="SimSun"/>
        </w:rPr>
        <w:t>, i</w:t>
      </w:r>
      <w:r w:rsidR="007C015F" w:rsidRPr="03C70384">
        <w:rPr>
          <w:rFonts w:asciiTheme="minorHAnsi" w:eastAsia="SimSun" w:hAnsiTheme="minorHAnsi" w:cstheme="minorBidi"/>
          <w:lang w:val="en-US"/>
        </w:rPr>
        <w:t>n the view of t</w:t>
      </w:r>
      <w:r w:rsidR="007C015F" w:rsidRPr="03C70384">
        <w:rPr>
          <w:rFonts w:asciiTheme="minorHAnsi" w:eastAsia="SimSun" w:hAnsiTheme="minorHAnsi" w:cstheme="minorBidi"/>
        </w:rPr>
        <w:t>he</w:t>
      </w:r>
      <w:r w:rsidR="007C015F" w:rsidRPr="03C70384">
        <w:rPr>
          <w:rFonts w:asciiTheme="minorHAnsi" w:eastAsia="SimSun" w:hAnsiTheme="minorHAnsi" w:cstheme="minorBidi"/>
          <w:lang w:val="en-US"/>
        </w:rPr>
        <w:t xml:space="preserve"> s</w:t>
      </w:r>
      <w:r w:rsidR="007C015F" w:rsidRPr="03C70384">
        <w:rPr>
          <w:rFonts w:asciiTheme="minorHAnsi" w:eastAsia="SimSun" w:hAnsiTheme="minorHAnsi" w:cstheme="minorBidi"/>
          <w:color w:val="000000" w:themeColor="text1"/>
        </w:rPr>
        <w:t xml:space="preserve">ecretariat, this entity meets the criteria established by </w:t>
      </w:r>
      <w:r w:rsidR="003E575E">
        <w:rPr>
          <w:rFonts w:asciiTheme="minorHAnsi" w:eastAsia="SimSun" w:hAnsiTheme="minorHAnsi" w:cstheme="minorBidi"/>
          <w:color w:val="000000" w:themeColor="text1"/>
        </w:rPr>
        <w:t xml:space="preserve">the </w:t>
      </w:r>
      <w:r w:rsidR="007C015F" w:rsidRPr="03C70384">
        <w:rPr>
          <w:rFonts w:asciiTheme="minorHAnsi" w:eastAsia="SimSun" w:hAnsiTheme="minorHAnsi" w:cstheme="minorBidi"/>
          <w:color w:val="000000" w:themeColor="text1"/>
        </w:rPr>
        <w:t>Council for fee exemption.</w:t>
      </w:r>
    </w:p>
    <w:p w14:paraId="502E613D" w14:textId="59767FC8" w:rsidR="003F61AC" w:rsidRPr="00F4717B" w:rsidRDefault="003F61AC" w:rsidP="003F61AC">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eastAsia="SimSun" w:hAnsiTheme="minorHAnsi" w:cs="Calibri"/>
          <w:lang w:val="en-US"/>
        </w:rPr>
      </w:pPr>
      <w:r>
        <w:rPr>
          <w:rFonts w:asciiTheme="minorHAnsi" w:eastAsia="SimSun" w:hAnsiTheme="minorHAnsi" w:cstheme="minorBidi"/>
          <w:color w:val="000000" w:themeColor="text1"/>
        </w:rPr>
        <w:t>___________________</w:t>
      </w:r>
    </w:p>
    <w:sectPr w:rsidR="003F61AC" w:rsidRPr="00F4717B" w:rsidSect="001E1167">
      <w:headerReference w:type="default" r:id="rId21"/>
      <w:footerReference w:type="default" r:id="rId22"/>
      <w:headerReference w:type="first" r:id="rId23"/>
      <w:footerReference w:type="first" r:id="rId24"/>
      <w:pgSz w:w="11907" w:h="16834"/>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8A8" w14:textId="77777777" w:rsidR="001E1167" w:rsidRDefault="001E1167">
      <w:r>
        <w:separator/>
      </w:r>
    </w:p>
  </w:endnote>
  <w:endnote w:type="continuationSeparator" w:id="0">
    <w:p w14:paraId="771B8B41" w14:textId="77777777" w:rsidR="001E1167" w:rsidRDefault="001E1167">
      <w:r>
        <w:continuationSeparator/>
      </w:r>
    </w:p>
  </w:endnote>
  <w:endnote w:type="continuationNotice" w:id="1">
    <w:p w14:paraId="5E469781" w14:textId="77777777" w:rsidR="001E1167" w:rsidRDefault="001E11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64E4E343" w:rsidR="00EE49E8" w:rsidRDefault="00EE49E8" w:rsidP="00EE49E8">
          <w:pPr>
            <w:pStyle w:val="Header"/>
            <w:jc w:val="left"/>
            <w:rPr>
              <w:noProof/>
            </w:rPr>
          </w:pPr>
        </w:p>
      </w:tc>
      <w:tc>
        <w:tcPr>
          <w:tcW w:w="8261" w:type="dxa"/>
        </w:tcPr>
        <w:p w14:paraId="2D49E76E" w14:textId="2A8781B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3F61AC">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2043C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5AC564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3F61AC">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F61AC" w:rsidRPr="00784011" w14:paraId="085114CE" w14:textId="77777777">
      <w:trPr>
        <w:jc w:val="center"/>
      </w:trPr>
      <w:tc>
        <w:tcPr>
          <w:tcW w:w="1803" w:type="dxa"/>
          <w:vAlign w:val="center"/>
        </w:tcPr>
        <w:p w14:paraId="2211A525" w14:textId="77777777" w:rsidR="003F61AC" w:rsidRDefault="003F61AC" w:rsidP="00EE49E8">
          <w:pPr>
            <w:pStyle w:val="Header"/>
            <w:jc w:val="left"/>
            <w:rPr>
              <w:noProof/>
            </w:rPr>
          </w:pPr>
        </w:p>
      </w:tc>
      <w:tc>
        <w:tcPr>
          <w:tcW w:w="8261" w:type="dxa"/>
        </w:tcPr>
        <w:p w14:paraId="19F9341E" w14:textId="77777777" w:rsidR="003F61AC" w:rsidRPr="00E06FD5" w:rsidRDefault="003F61AC"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2997D544" w14:textId="77777777" w:rsidR="003F61AC" w:rsidRPr="00DB1936" w:rsidRDefault="003F61AC"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F61AC" w:rsidRPr="00784011" w14:paraId="69F266EF" w14:textId="77777777">
      <w:trPr>
        <w:jc w:val="center"/>
      </w:trPr>
      <w:tc>
        <w:tcPr>
          <w:tcW w:w="1803" w:type="dxa"/>
          <w:vAlign w:val="center"/>
        </w:tcPr>
        <w:p w14:paraId="65187473" w14:textId="77777777" w:rsidR="003F61AC" w:rsidRDefault="003F61AC" w:rsidP="003F61AC">
          <w:pPr>
            <w:pStyle w:val="Header"/>
            <w:jc w:val="left"/>
            <w:rPr>
              <w:noProof/>
            </w:rPr>
          </w:pPr>
        </w:p>
      </w:tc>
      <w:tc>
        <w:tcPr>
          <w:tcW w:w="8261" w:type="dxa"/>
        </w:tcPr>
        <w:p w14:paraId="763853C3" w14:textId="77777777" w:rsidR="003F61AC" w:rsidRPr="00E06FD5" w:rsidRDefault="003F61AC" w:rsidP="003F61AC">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39</w:t>
          </w:r>
          <w:r w:rsidRPr="00623AE3">
            <w:rPr>
              <w:bCs/>
            </w:rPr>
            <w:t>-E</w:t>
          </w:r>
          <w:r>
            <w:rPr>
              <w:bCs/>
            </w:rPr>
            <w:tab/>
          </w:r>
          <w:r>
            <w:fldChar w:fldCharType="begin"/>
          </w:r>
          <w:r>
            <w:instrText>PAGE</w:instrText>
          </w:r>
          <w:r>
            <w:fldChar w:fldCharType="separate"/>
          </w:r>
          <w:r>
            <w:t>1</w:t>
          </w:r>
          <w:r>
            <w:rPr>
              <w:noProof/>
            </w:rPr>
            <w:fldChar w:fldCharType="end"/>
          </w:r>
        </w:p>
      </w:tc>
    </w:tr>
  </w:tbl>
  <w:p w14:paraId="7FBCBF81" w14:textId="77777777" w:rsidR="003F61AC" w:rsidRPr="00623AE3" w:rsidRDefault="003F61AC"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9E3D" w14:textId="77777777" w:rsidR="001E1167" w:rsidRDefault="001E1167">
      <w:r>
        <w:t>____________________</w:t>
      </w:r>
    </w:p>
  </w:footnote>
  <w:footnote w:type="continuationSeparator" w:id="0">
    <w:p w14:paraId="65869499" w14:textId="77777777" w:rsidR="001E1167" w:rsidRDefault="001E1167">
      <w:r>
        <w:continuationSeparator/>
      </w:r>
    </w:p>
  </w:footnote>
  <w:footnote w:type="continuationNotice" w:id="1">
    <w:p w14:paraId="493A8A5D" w14:textId="77777777" w:rsidR="001E1167" w:rsidRDefault="001E11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950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CD71" w14:textId="77777777" w:rsidR="003F61AC" w:rsidRDefault="003F6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943" w14:textId="40DD4E8C" w:rsidR="003F61AC" w:rsidRDefault="003F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DSwNLIwMbY0tjBR0lEKTi0uzszPAykwqgUAiSE7SCwAAAA="/>
  </w:docVars>
  <w:rsids>
    <w:rsidRoot w:val="004016E2"/>
    <w:rsid w:val="000055F5"/>
    <w:rsid w:val="00015BD2"/>
    <w:rsid w:val="000210D4"/>
    <w:rsid w:val="000232D1"/>
    <w:rsid w:val="0004698E"/>
    <w:rsid w:val="00063016"/>
    <w:rsid w:val="00066795"/>
    <w:rsid w:val="00076AF6"/>
    <w:rsid w:val="00085CF2"/>
    <w:rsid w:val="000B1705"/>
    <w:rsid w:val="000D75B2"/>
    <w:rsid w:val="00107ADF"/>
    <w:rsid w:val="001121F5"/>
    <w:rsid w:val="001400DC"/>
    <w:rsid w:val="00140CE1"/>
    <w:rsid w:val="0017539C"/>
    <w:rsid w:val="00175AC2"/>
    <w:rsid w:val="0017609F"/>
    <w:rsid w:val="001A7D1D"/>
    <w:rsid w:val="001B51DD"/>
    <w:rsid w:val="001C628E"/>
    <w:rsid w:val="001E0F7B"/>
    <w:rsid w:val="001E1167"/>
    <w:rsid w:val="002043C2"/>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A2EBC"/>
    <w:rsid w:val="003C2533"/>
    <w:rsid w:val="003D5A7F"/>
    <w:rsid w:val="003E575E"/>
    <w:rsid w:val="003F61AC"/>
    <w:rsid w:val="004016E2"/>
    <w:rsid w:val="00401B74"/>
    <w:rsid w:val="0040435A"/>
    <w:rsid w:val="00416A24"/>
    <w:rsid w:val="00431D9E"/>
    <w:rsid w:val="00433CE8"/>
    <w:rsid w:val="00434A5C"/>
    <w:rsid w:val="004544D9"/>
    <w:rsid w:val="0045637A"/>
    <w:rsid w:val="00472BAD"/>
    <w:rsid w:val="00484009"/>
    <w:rsid w:val="00490E72"/>
    <w:rsid w:val="00491157"/>
    <w:rsid w:val="004921C8"/>
    <w:rsid w:val="00495B0B"/>
    <w:rsid w:val="004A1B8B"/>
    <w:rsid w:val="004D1851"/>
    <w:rsid w:val="004D3FB3"/>
    <w:rsid w:val="004D599D"/>
    <w:rsid w:val="004E2EA5"/>
    <w:rsid w:val="004E3AEB"/>
    <w:rsid w:val="0050223C"/>
    <w:rsid w:val="005243FF"/>
    <w:rsid w:val="00564FBC"/>
    <w:rsid w:val="005800BC"/>
    <w:rsid w:val="00582442"/>
    <w:rsid w:val="005F3269"/>
    <w:rsid w:val="00623AE3"/>
    <w:rsid w:val="0064737F"/>
    <w:rsid w:val="0065001F"/>
    <w:rsid w:val="006535F1"/>
    <w:rsid w:val="0065557D"/>
    <w:rsid w:val="00660D50"/>
    <w:rsid w:val="00662984"/>
    <w:rsid w:val="006716BB"/>
    <w:rsid w:val="006850BE"/>
    <w:rsid w:val="00692D48"/>
    <w:rsid w:val="006B1859"/>
    <w:rsid w:val="006B6680"/>
    <w:rsid w:val="006B6DCC"/>
    <w:rsid w:val="00702DEF"/>
    <w:rsid w:val="00706861"/>
    <w:rsid w:val="00712401"/>
    <w:rsid w:val="0075051B"/>
    <w:rsid w:val="00765473"/>
    <w:rsid w:val="00776A7F"/>
    <w:rsid w:val="00793188"/>
    <w:rsid w:val="00794D34"/>
    <w:rsid w:val="007B21EC"/>
    <w:rsid w:val="007C015F"/>
    <w:rsid w:val="007E22B8"/>
    <w:rsid w:val="00813E5E"/>
    <w:rsid w:val="0083581B"/>
    <w:rsid w:val="00863874"/>
    <w:rsid w:val="00864AFF"/>
    <w:rsid w:val="00865925"/>
    <w:rsid w:val="008A0272"/>
    <w:rsid w:val="008B4A6A"/>
    <w:rsid w:val="008C2D09"/>
    <w:rsid w:val="008C7E27"/>
    <w:rsid w:val="008E629F"/>
    <w:rsid w:val="008F62C2"/>
    <w:rsid w:val="008F7448"/>
    <w:rsid w:val="0090147A"/>
    <w:rsid w:val="009173EF"/>
    <w:rsid w:val="00932906"/>
    <w:rsid w:val="00961B0B"/>
    <w:rsid w:val="00962D33"/>
    <w:rsid w:val="00992851"/>
    <w:rsid w:val="009B38C3"/>
    <w:rsid w:val="009C4DFE"/>
    <w:rsid w:val="009E17BD"/>
    <w:rsid w:val="009E485A"/>
    <w:rsid w:val="00A04CEC"/>
    <w:rsid w:val="00A05ACA"/>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BF533F"/>
    <w:rsid w:val="00C01189"/>
    <w:rsid w:val="00C2090A"/>
    <w:rsid w:val="00C374DE"/>
    <w:rsid w:val="00C47AD4"/>
    <w:rsid w:val="00C52D81"/>
    <w:rsid w:val="00C55198"/>
    <w:rsid w:val="00CA6393"/>
    <w:rsid w:val="00CB18FF"/>
    <w:rsid w:val="00CB7705"/>
    <w:rsid w:val="00CD0C08"/>
    <w:rsid w:val="00CE03FB"/>
    <w:rsid w:val="00CE433C"/>
    <w:rsid w:val="00CF0161"/>
    <w:rsid w:val="00CF33F3"/>
    <w:rsid w:val="00D06183"/>
    <w:rsid w:val="00D22C42"/>
    <w:rsid w:val="00D5158B"/>
    <w:rsid w:val="00D65041"/>
    <w:rsid w:val="00D82895"/>
    <w:rsid w:val="00DB1936"/>
    <w:rsid w:val="00DB384B"/>
    <w:rsid w:val="00DC5A4F"/>
    <w:rsid w:val="00DD090F"/>
    <w:rsid w:val="00DE63D2"/>
    <w:rsid w:val="00DF0189"/>
    <w:rsid w:val="00DF763B"/>
    <w:rsid w:val="00E01E10"/>
    <w:rsid w:val="00E06FD5"/>
    <w:rsid w:val="00E07D11"/>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4717B"/>
    <w:rsid w:val="00F632C0"/>
    <w:rsid w:val="00F74710"/>
    <w:rsid w:val="00F94A63"/>
    <w:rsid w:val="00FA1C28"/>
    <w:rsid w:val="00FB1279"/>
    <w:rsid w:val="00FB6B76"/>
    <w:rsid w:val="00FB7596"/>
    <w:rsid w:val="00FE4077"/>
    <w:rsid w:val="00FE500D"/>
    <w:rsid w:val="00FE77D2"/>
    <w:rsid w:val="02335902"/>
    <w:rsid w:val="03C70384"/>
    <w:rsid w:val="07F69F48"/>
    <w:rsid w:val="08A55AC5"/>
    <w:rsid w:val="0C1B3054"/>
    <w:rsid w:val="0C2BBA91"/>
    <w:rsid w:val="0DD9038A"/>
    <w:rsid w:val="13F20010"/>
    <w:rsid w:val="1472264E"/>
    <w:rsid w:val="171CB596"/>
    <w:rsid w:val="178F0113"/>
    <w:rsid w:val="192440B9"/>
    <w:rsid w:val="1CCAF9A8"/>
    <w:rsid w:val="1CF41B44"/>
    <w:rsid w:val="20029A6A"/>
    <w:rsid w:val="21F6CB15"/>
    <w:rsid w:val="233A3B2C"/>
    <w:rsid w:val="23AC2849"/>
    <w:rsid w:val="24B8C680"/>
    <w:rsid w:val="253B8A84"/>
    <w:rsid w:val="272B619C"/>
    <w:rsid w:val="29B62F93"/>
    <w:rsid w:val="29BE886F"/>
    <w:rsid w:val="2BF393D4"/>
    <w:rsid w:val="2EA9C971"/>
    <w:rsid w:val="3189C6BA"/>
    <w:rsid w:val="31C14178"/>
    <w:rsid w:val="31D5F816"/>
    <w:rsid w:val="335EB648"/>
    <w:rsid w:val="352C3470"/>
    <w:rsid w:val="37C69572"/>
    <w:rsid w:val="385B6D09"/>
    <w:rsid w:val="397B9729"/>
    <w:rsid w:val="3AE7B07A"/>
    <w:rsid w:val="3DD1DBD2"/>
    <w:rsid w:val="3DF7B712"/>
    <w:rsid w:val="3F61EAB7"/>
    <w:rsid w:val="40D34C66"/>
    <w:rsid w:val="41116A1A"/>
    <w:rsid w:val="42EA4C05"/>
    <w:rsid w:val="430E5C32"/>
    <w:rsid w:val="4467B83B"/>
    <w:rsid w:val="44DF78CC"/>
    <w:rsid w:val="4A07C215"/>
    <w:rsid w:val="4B4447A7"/>
    <w:rsid w:val="4BA6F611"/>
    <w:rsid w:val="4DF4B27F"/>
    <w:rsid w:val="4F5E8E09"/>
    <w:rsid w:val="4F729526"/>
    <w:rsid w:val="4F9082E0"/>
    <w:rsid w:val="4FFC185A"/>
    <w:rsid w:val="512C5341"/>
    <w:rsid w:val="51395C0A"/>
    <w:rsid w:val="53BB151E"/>
    <w:rsid w:val="5ACE37D1"/>
    <w:rsid w:val="5CB69725"/>
    <w:rsid w:val="5DCEE48C"/>
    <w:rsid w:val="61A93417"/>
    <w:rsid w:val="62C84738"/>
    <w:rsid w:val="6501FC0F"/>
    <w:rsid w:val="658B3EAA"/>
    <w:rsid w:val="6844CC80"/>
    <w:rsid w:val="68878DC8"/>
    <w:rsid w:val="6A0A35CC"/>
    <w:rsid w:val="6BA6062D"/>
    <w:rsid w:val="6BC3F3E7"/>
    <w:rsid w:val="6BF1D50E"/>
    <w:rsid w:val="6C3C741D"/>
    <w:rsid w:val="6D4EAEA2"/>
    <w:rsid w:val="6FB054FA"/>
    <w:rsid w:val="70797750"/>
    <w:rsid w:val="70FA257E"/>
    <w:rsid w:val="725A608F"/>
    <w:rsid w:val="73F6D2EE"/>
    <w:rsid w:val="76C3A2C6"/>
    <w:rsid w:val="7A4634D6"/>
    <w:rsid w:val="7B29727F"/>
    <w:rsid w:val="7D64AD3B"/>
    <w:rsid w:val="7E80059A"/>
    <w:rsid w:val="7F7DC0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C9D7DF3-5DC6-4157-A679-CCC63C72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4D3FB3"/>
    <w:rPr>
      <w:rFonts w:ascii="Calibri" w:hAnsi="Calibri"/>
      <w:sz w:val="24"/>
      <w:lang w:val="en-GB" w:eastAsia="en-US"/>
    </w:rPr>
  </w:style>
  <w:style w:type="character" w:styleId="UnresolvedMention">
    <w:name w:val="Unresolved Mention"/>
    <w:basedOn w:val="DefaultParagraphFont"/>
    <w:uiPriority w:val="99"/>
    <w:semiHidden/>
    <w:unhideWhenUsed/>
    <w:rsid w:val="0020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hub/membership/our-members/exempted-entities/" TargetMode="External"/><Relationship Id="rId18" Type="http://schemas.openxmlformats.org/officeDocument/2006/relationships/hyperlink" Target="https://www.itu.int/md/S19-CL-C-0141/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md/S19-CL-C-0141/en" TargetMode="External"/><Relationship Id="rId17" Type="http://schemas.openxmlformats.org/officeDocument/2006/relationships/hyperlink" Target="http://www.itu.int/itudoc/gs/council/c00/docs/28rev1.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hub/membership/itu-family/organizations/exempted-entities/exemption-crite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doc/gs/council/c00/docs/28rev1.htm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hub/membership/itu-family/organizations/exempted-ent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Philibert, Martin</DisplayName>
        <AccountId>74</AccountId>
        <AccountType/>
      </UserInfo>
      <UserInfo>
        <DisplayName>Ruiz Zuniga, Fernando</DisplayName>
        <AccountId>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48897-3AE8-4F1E-BB26-F207FA74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90652-B4BB-4F5D-86C0-8D1C3F6ED371}">
  <ds:schemaRefs>
    <ds:schemaRef ds:uri="http://schemas.microsoft.com/office/2006/documentManagement/types"/>
    <ds:schemaRef ds:uri="http://schemas.microsoft.com/office/infopath/2007/PartnerControls"/>
    <ds:schemaRef ds:uri="http://purl.org/dc/dcmitype/"/>
    <ds:schemaRef ds:uri="085b46e1-7f22-4e81-9ba5-912dc5a5fd9a"/>
    <ds:schemaRef ds:uri="http://purl.org/dc/elements/1.1/"/>
    <ds:schemaRef ds:uri="http://schemas.openxmlformats.org/package/2006/metadata/core-properties"/>
    <ds:schemaRef ds:uri="http://www.w3.org/XML/1998/namespace"/>
    <ds:schemaRef ds:uri="98b04e1e-0540-4930-9623-702d547a0a3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D6D7273-22C8-4F72-ADCA-6120F39B4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4</TotalTime>
  <Pages>6</Pages>
  <Words>1626</Words>
  <Characters>10440</Characters>
  <Application>Microsoft Office Word</Application>
  <DocSecurity>0</DocSecurity>
  <Lines>87</Lines>
  <Paragraphs>24</Paragraphs>
  <ScaleCrop>false</ScaleCrop>
  <Manager>General Secretariat - Pool</Manager>
  <Company>International Telecommunication Union (ITU)</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requests for exemption from fees for organisations of an international character</dc:title>
  <dc:subject>Council 2024</dc:subject>
  <dc:creator>author</dc:creator>
  <cp:keywords>C2024, C24, Council-24</cp:keywords>
  <dc:description/>
  <cp:lastModifiedBy>Brouard, Ricarda</cp:lastModifiedBy>
  <cp:revision>3</cp:revision>
  <cp:lastPrinted>2000-07-18T13:30:00Z</cp:lastPrinted>
  <dcterms:created xsi:type="dcterms:W3CDTF">2024-04-09T10:13:00Z</dcterms:created>
  <dcterms:modified xsi:type="dcterms:W3CDTF">2024-04-09T10:16:00Z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MediaServiceImageTags">
    <vt:lpwstr/>
  </property>
</Properties>
</file>