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2D9F0447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21F57CC" w14:textId="079ED983" w:rsidR="00FE57F6" w:rsidRPr="00E85629" w:rsidRDefault="00564163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765B8F">
              <w:rPr>
                <w:b/>
              </w:rPr>
              <w:t>Punto del orden del día: ADM 1</w:t>
            </w:r>
          </w:p>
        </w:tc>
        <w:tc>
          <w:tcPr>
            <w:tcW w:w="5245" w:type="dxa"/>
          </w:tcPr>
          <w:p w14:paraId="5777E528" w14:textId="3ED50B5F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564163">
              <w:rPr>
                <w:b/>
              </w:rPr>
              <w:t>38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46A254AB" w14:textId="77777777" w:rsidTr="00C538FC">
        <w:trPr>
          <w:cantSplit/>
        </w:trPr>
        <w:tc>
          <w:tcPr>
            <w:tcW w:w="3969" w:type="dxa"/>
            <w:vMerge/>
          </w:tcPr>
          <w:p w14:paraId="4873DBF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FCAEAE7" w14:textId="387ED1D8" w:rsidR="00FE57F6" w:rsidRPr="00E85629" w:rsidRDefault="00564163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65B8F">
              <w:rPr>
                <w:b/>
              </w:rPr>
              <w:t>9 de abril de 2024</w:t>
            </w:r>
          </w:p>
        </w:tc>
      </w:tr>
      <w:tr w:rsidR="00FE57F6" w:rsidRPr="00F24B71" w14:paraId="38D01805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C96F92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6E1A051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7148FFBB" w14:textId="77777777" w:rsidTr="00C538FC">
        <w:trPr>
          <w:cantSplit/>
          <w:trHeight w:val="23"/>
        </w:trPr>
        <w:tc>
          <w:tcPr>
            <w:tcW w:w="3969" w:type="dxa"/>
          </w:tcPr>
          <w:p w14:paraId="2236546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51C6E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27C6B195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887AB63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2A07B14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9778F3" w14:textId="79783517" w:rsidR="00FE57F6" w:rsidRPr="00564163" w:rsidRDefault="00564163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765B8F">
              <w:rPr>
                <w:lang w:val="es-ES_tradnl"/>
              </w:rPr>
              <w:t>INFORME DE SITUACIÓN SOBRE LA APLICACIÓN DE LOS ACUERDOS 600 Y 601 DEL CONSEJO (UIFN, IIN)</w:t>
            </w:r>
          </w:p>
        </w:tc>
      </w:tr>
      <w:tr w:rsidR="00FE57F6" w:rsidRPr="00813E5E" w14:paraId="20817A76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428068C" w14:textId="1E70948B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0E8FECF9" w14:textId="1B685D72" w:rsidR="00FE57F6" w:rsidRPr="00F24B71" w:rsidRDefault="00564163" w:rsidP="00C538FC">
            <w:pPr>
              <w:rPr>
                <w:lang w:val="es-ES"/>
              </w:rPr>
            </w:pPr>
            <w:bookmarkStart w:id="1" w:name="lt_pId014"/>
            <w:r w:rsidRPr="00765B8F">
              <w:t>La UIT ha estado trabajando en la aplicación de los Acuerdos 600 y 601 desde su aprobación en la reunión del Consejo de 2017.</w:t>
            </w:r>
            <w:bookmarkEnd w:id="1"/>
            <w:r w:rsidRPr="00765B8F">
              <w:t xml:space="preserve"> En el presente informe se actualiza la información consignada en el Documento </w:t>
            </w:r>
            <w:hyperlink r:id="rId7" w:history="1">
              <w:r w:rsidRPr="00765B8F">
                <w:rPr>
                  <w:rStyle w:val="Hyperlink"/>
                </w:rPr>
                <w:t>CWG-FHR-17/8</w:t>
              </w:r>
            </w:hyperlink>
            <w:r w:rsidRPr="00765B8F">
              <w:t>.</w:t>
            </w:r>
          </w:p>
          <w:p w14:paraId="4282C43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ADDE20" w14:textId="10D811B1" w:rsidR="00FE57F6" w:rsidRPr="00F24B71" w:rsidRDefault="00564163" w:rsidP="00C538FC">
            <w:pPr>
              <w:rPr>
                <w:lang w:val="es-ES"/>
              </w:rPr>
            </w:pPr>
            <w:r w:rsidRPr="00765B8F">
              <w:t xml:space="preserve">Se invita al Consejo a </w:t>
            </w:r>
            <w:r w:rsidRPr="00765B8F">
              <w:rPr>
                <w:b/>
                <w:bCs/>
              </w:rPr>
              <w:t>tomar nota</w:t>
            </w:r>
            <w:r w:rsidRPr="00765B8F">
              <w:t xml:space="preserve"> del presente informe.</w:t>
            </w:r>
          </w:p>
          <w:p w14:paraId="022F464C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6AA88ED3" w14:textId="6D75797B" w:rsidR="00FE57F6" w:rsidRPr="00F24B71" w:rsidRDefault="00564163" w:rsidP="00C538FC">
            <w:pPr>
              <w:rPr>
                <w:lang w:val="es-ES"/>
              </w:rPr>
            </w:pPr>
            <w:r w:rsidRPr="00765B8F">
              <w:t>Recursos de numeración de las telecomunicaciones internacionales.</w:t>
            </w:r>
          </w:p>
          <w:p w14:paraId="3AD37FB7" w14:textId="504095B9" w:rsidR="00564163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F7C1DDA" w14:textId="612ABDDE" w:rsidR="00FE57F6" w:rsidRDefault="00564163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65B8F">
              <w:t>Los ingresos derivados de la aplicación de los Acuerdos 600 y 601 del Consejo se han incluido en el presupuesto para 2024-2025.</w:t>
            </w:r>
          </w:p>
          <w:p w14:paraId="379225F0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7CC637AF" w14:textId="58BCC248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564163">
              <w:rPr>
                <w:b/>
                <w:bCs/>
                <w:sz w:val="26"/>
                <w:szCs w:val="26"/>
              </w:rPr>
              <w:t>s</w:t>
            </w:r>
          </w:p>
          <w:p w14:paraId="5B532A0F" w14:textId="670DA65C" w:rsidR="00FE57F6" w:rsidRPr="007D6367" w:rsidRDefault="00564163" w:rsidP="00C538FC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7D6367">
              <w:rPr>
                <w:i/>
                <w:iCs/>
                <w:sz w:val="22"/>
                <w:szCs w:val="22"/>
              </w:rPr>
              <w:t xml:space="preserve">Documentos </w:t>
            </w:r>
            <w:hyperlink r:id="rId8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C17/133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9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C17/134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0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C18/100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1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 9/1</w:t>
              </w:r>
            </w:hyperlink>
            <w:r w:rsidRPr="007D6367">
              <w:rPr>
                <w:rStyle w:val="Hyperlink"/>
                <w:i/>
                <w:iCs/>
                <w:sz w:val="22"/>
                <w:szCs w:val="22"/>
              </w:rPr>
              <w:t>4</w:t>
            </w:r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 9/15</w:t>
              </w:r>
            </w:hyperlink>
            <w:r w:rsidRPr="007D6367">
              <w:rPr>
                <w:i/>
                <w:iCs/>
                <w:sz w:val="22"/>
                <w:szCs w:val="22"/>
                <w:u w:val="single"/>
              </w:rPr>
              <w:t xml:space="preserve">; </w:t>
            </w:r>
            <w:hyperlink r:id="rId13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C19/47</w:t>
              </w:r>
            </w:hyperlink>
            <w:r w:rsidRPr="007D6367">
              <w:rPr>
                <w:i/>
                <w:iCs/>
                <w:sz w:val="22"/>
                <w:szCs w:val="22"/>
                <w:u w:val="single"/>
              </w:rPr>
              <w:t xml:space="preserve">, </w:t>
            </w:r>
            <w:hyperlink r:id="rId14" w:history="1">
              <w:r w:rsidRPr="007D6367">
                <w:rPr>
                  <w:rStyle w:val="Hyperlink"/>
                  <w:bCs/>
                  <w:i/>
                  <w:iCs/>
                  <w:sz w:val="22"/>
                  <w:szCs w:val="22"/>
                </w:rPr>
                <w:t>C19/120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5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C20/47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bookmarkStart w:id="2" w:name="_Hlk132728228"/>
            <w:r w:rsidRPr="007D6367">
              <w:rPr>
                <w:i/>
                <w:iCs/>
                <w:sz w:val="22"/>
                <w:szCs w:val="22"/>
              </w:rPr>
              <w:fldChar w:fldCharType="begin"/>
            </w:r>
            <w:r w:rsidRPr="007D6367">
              <w:rPr>
                <w:i/>
                <w:iCs/>
                <w:sz w:val="22"/>
                <w:szCs w:val="22"/>
              </w:rPr>
              <w:instrText xml:space="preserve"> HYPERLINK "https://www.itu.int/md/S21-CL-C-0047/en" </w:instrText>
            </w:r>
            <w:r w:rsidRPr="007D6367">
              <w:rPr>
                <w:i/>
                <w:iCs/>
                <w:sz w:val="22"/>
                <w:szCs w:val="22"/>
              </w:rPr>
            </w:r>
            <w:r w:rsidRPr="007D6367">
              <w:rPr>
                <w:i/>
                <w:iCs/>
                <w:sz w:val="22"/>
                <w:szCs w:val="22"/>
              </w:rPr>
              <w:fldChar w:fldCharType="separate"/>
            </w:r>
            <w:r w:rsidRPr="007D6367">
              <w:rPr>
                <w:rStyle w:val="Hyperlink"/>
                <w:i/>
                <w:iCs/>
                <w:sz w:val="22"/>
                <w:szCs w:val="22"/>
              </w:rPr>
              <w:t>C21/47</w:t>
            </w:r>
            <w:r w:rsidRPr="007D6367">
              <w:rPr>
                <w:i/>
                <w:iCs/>
                <w:sz w:val="22"/>
                <w:szCs w:val="22"/>
              </w:rPr>
              <w:fldChar w:fldCharType="end"/>
            </w:r>
            <w:bookmarkEnd w:id="2"/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6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CWG-FHR-14/6</w:t>
              </w:r>
            </w:hyperlink>
            <w:r w:rsidRPr="007D6367">
              <w:rPr>
                <w:i/>
                <w:iCs/>
                <w:sz w:val="22"/>
                <w:szCs w:val="22"/>
              </w:rPr>
              <w:t xml:space="preserve">; </w:t>
            </w:r>
            <w:hyperlink r:id="rId17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CWG-FHR-14/7</w:t>
              </w:r>
            </w:hyperlink>
            <w:r w:rsidRPr="007D6367">
              <w:rPr>
                <w:i/>
                <w:iCs/>
                <w:sz w:val="22"/>
                <w:szCs w:val="22"/>
              </w:rPr>
              <w:t>;</w:t>
            </w:r>
            <w:hyperlink r:id="rId18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CWG-FHR-14/12</w:t>
              </w:r>
            </w:hyperlink>
            <w:r w:rsidRPr="007D6367">
              <w:rPr>
                <w:i/>
                <w:iCs/>
                <w:sz w:val="22"/>
                <w:szCs w:val="22"/>
                <w:u w:val="single"/>
              </w:rPr>
              <w:t>;</w:t>
            </w:r>
            <w:r w:rsidRPr="007D6367">
              <w:rPr>
                <w:i/>
                <w:iCs/>
                <w:sz w:val="22"/>
                <w:szCs w:val="22"/>
              </w:rPr>
              <w:t xml:space="preserve"> </w:t>
            </w:r>
            <w:hyperlink r:id="rId19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C22/50</w:t>
              </w:r>
            </w:hyperlink>
            <w:r w:rsidRPr="007D6367">
              <w:rPr>
                <w:i/>
                <w:iCs/>
                <w:sz w:val="22"/>
                <w:szCs w:val="22"/>
                <w:u w:val="single"/>
              </w:rPr>
              <w:t xml:space="preserve">; </w:t>
            </w:r>
            <w:hyperlink r:id="rId20" w:history="1">
              <w:r w:rsidRPr="007D6367">
                <w:rPr>
                  <w:rStyle w:val="Hyperlink"/>
                  <w:i/>
                  <w:iCs/>
                  <w:sz w:val="22"/>
                  <w:szCs w:val="22"/>
                </w:rPr>
                <w:t>CWG-FHR-17/</w:t>
              </w:r>
            </w:hyperlink>
            <w:r w:rsidRPr="007D6367">
              <w:rPr>
                <w:rStyle w:val="Hyperlink"/>
                <w:i/>
                <w:iCs/>
                <w:sz w:val="22"/>
                <w:szCs w:val="22"/>
              </w:rPr>
              <w:t>8</w:t>
            </w:r>
          </w:p>
        </w:tc>
      </w:tr>
      <w:bookmarkEnd w:id="0"/>
    </w:tbl>
    <w:p w14:paraId="2243C1C2" w14:textId="77777777" w:rsidR="00093EEB" w:rsidRDefault="00093EEB"/>
    <w:p w14:paraId="1C6CEE7E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305192E" w14:textId="77777777" w:rsidR="00564163" w:rsidRPr="00765B8F" w:rsidRDefault="00564163" w:rsidP="00564163">
      <w:pPr>
        <w:pStyle w:val="Headingb"/>
        <w:rPr>
          <w:rFonts w:eastAsia="SimSun"/>
        </w:rPr>
      </w:pPr>
      <w:r w:rsidRPr="00765B8F">
        <w:rPr>
          <w:rFonts w:eastAsia="SimSun"/>
        </w:rPr>
        <w:lastRenderedPageBreak/>
        <w:t>Antecedentes</w:t>
      </w:r>
    </w:p>
    <w:p w14:paraId="75A39E6C" w14:textId="711841F6" w:rsidR="00564163" w:rsidRPr="00765B8F" w:rsidRDefault="00564163" w:rsidP="00564163">
      <w:pPr>
        <w:rPr>
          <w:rFonts w:asciiTheme="minorHAnsi" w:eastAsia="SimSun" w:hAnsiTheme="minorHAnsi"/>
          <w:szCs w:val="24"/>
        </w:rPr>
      </w:pPr>
      <w:r w:rsidRPr="00765B8F">
        <w:rPr>
          <w:rFonts w:asciiTheme="minorHAnsi" w:eastAsia="SimSun" w:hAnsiTheme="minorHAnsi"/>
          <w:szCs w:val="24"/>
        </w:rPr>
        <w:t>1</w:t>
      </w:r>
      <w:r w:rsidRPr="00765B8F">
        <w:rPr>
          <w:rFonts w:asciiTheme="minorHAnsi" w:eastAsia="SimSun" w:hAnsiTheme="minorHAnsi"/>
          <w:szCs w:val="24"/>
        </w:rPr>
        <w:tab/>
      </w:r>
      <w:r w:rsidRPr="00765B8F">
        <w:t>La secretaría de la UIT ha estado trabajando en la aplicación de los Acuerdos</w:t>
      </w:r>
      <w:r w:rsidR="006A61CF">
        <w:t> </w:t>
      </w:r>
      <w:r w:rsidRPr="00765B8F">
        <w:rPr>
          <w:rFonts w:asciiTheme="minorHAnsi" w:eastAsia="SimSun" w:hAnsiTheme="minorHAnsi"/>
          <w:spacing w:val="-2"/>
          <w:szCs w:val="24"/>
        </w:rPr>
        <w:t xml:space="preserve">600 </w:t>
      </w:r>
      <w:r w:rsidRPr="00765B8F">
        <w:rPr>
          <w:rFonts w:asciiTheme="minorHAnsi" w:eastAsia="SimSun" w:hAnsiTheme="minorHAnsi" w:cstheme="majorBidi"/>
          <w:color w:val="000000"/>
          <w:spacing w:val="-2"/>
        </w:rPr>
        <w:t>(</w:t>
      </w:r>
      <w:hyperlink r:id="rId21" w:history="1">
        <w:r w:rsidRPr="00765B8F">
          <w:rPr>
            <w:rFonts w:asciiTheme="minorHAnsi" w:eastAsia="SimSun" w:hAnsiTheme="minorHAnsi" w:cstheme="majorBidi"/>
            <w:color w:val="0563C1"/>
            <w:spacing w:val="-2"/>
            <w:u w:val="single"/>
          </w:rPr>
          <w:t>C17/133</w:t>
        </w:r>
      </w:hyperlink>
      <w:r w:rsidRPr="00765B8F">
        <w:rPr>
          <w:rFonts w:asciiTheme="minorHAnsi" w:eastAsia="SimSun" w:hAnsiTheme="minorHAnsi" w:cstheme="majorBidi"/>
          <w:color w:val="000000"/>
          <w:spacing w:val="-2"/>
        </w:rPr>
        <w:t xml:space="preserve">) </w:t>
      </w:r>
      <w:r w:rsidRPr="00765B8F">
        <w:rPr>
          <w:rFonts w:asciiTheme="minorHAnsi" w:eastAsia="SimSun" w:hAnsiTheme="minorHAnsi"/>
          <w:spacing w:val="-2"/>
          <w:szCs w:val="24"/>
        </w:rPr>
        <w:t xml:space="preserve">y 601 </w:t>
      </w:r>
      <w:r w:rsidRPr="00765B8F">
        <w:rPr>
          <w:rFonts w:asciiTheme="minorHAnsi" w:eastAsia="SimSun" w:hAnsiTheme="minorHAnsi" w:cstheme="majorBidi"/>
          <w:color w:val="000000"/>
          <w:spacing w:val="-2"/>
        </w:rPr>
        <w:t>(</w:t>
      </w:r>
      <w:hyperlink r:id="rId22" w:history="1">
        <w:r w:rsidRPr="00765B8F">
          <w:rPr>
            <w:rFonts w:asciiTheme="minorHAnsi" w:eastAsia="SimSun" w:hAnsiTheme="minorHAnsi" w:cstheme="majorBidi"/>
            <w:color w:val="0563C1"/>
            <w:spacing w:val="-2"/>
            <w:u w:val="single"/>
          </w:rPr>
          <w:t>C17/134</w:t>
        </w:r>
      </w:hyperlink>
      <w:r w:rsidRPr="00765B8F">
        <w:rPr>
          <w:rFonts w:asciiTheme="minorHAnsi" w:eastAsia="SimSun" w:hAnsiTheme="minorHAnsi" w:cstheme="majorBidi"/>
          <w:color w:val="000000"/>
          <w:spacing w:val="-2"/>
        </w:rPr>
        <w:t xml:space="preserve">) </w:t>
      </w:r>
      <w:r w:rsidRPr="00765B8F">
        <w:t>desde su aprobación en la reunión del Consejo de 2017.</w:t>
      </w:r>
      <w:r w:rsidRPr="00765B8F">
        <w:rPr>
          <w:rFonts w:asciiTheme="minorHAnsi" w:eastAsia="SimSun" w:hAnsiTheme="minorHAnsi"/>
          <w:szCs w:val="24"/>
        </w:rPr>
        <w:t xml:space="preserve"> </w:t>
      </w:r>
    </w:p>
    <w:p w14:paraId="21019597" w14:textId="77777777" w:rsidR="00564163" w:rsidRPr="00765B8F" w:rsidRDefault="00564163" w:rsidP="00564163">
      <w:pPr>
        <w:rPr>
          <w:rFonts w:asciiTheme="minorHAnsi" w:eastAsia="SimSun" w:hAnsiTheme="minorHAnsi"/>
        </w:rPr>
      </w:pPr>
      <w:r w:rsidRPr="00765B8F">
        <w:rPr>
          <w:rFonts w:asciiTheme="minorHAnsi" w:eastAsia="SimSun" w:hAnsiTheme="minorHAnsi"/>
        </w:rPr>
        <w:t>2</w:t>
      </w:r>
      <w:r w:rsidRPr="00765B8F">
        <w:rPr>
          <w:rFonts w:asciiTheme="minorHAnsi" w:eastAsia="SimSun" w:hAnsiTheme="minorHAnsi"/>
          <w:szCs w:val="24"/>
        </w:rPr>
        <w:tab/>
        <w:t xml:space="preserve">En la decimoséptima reunión del Grupo de Trabajo del Consejo sobre Recursos Humanos y Financieros (GTC-RHF), la Oficina de Normalización de las Telecomunicaciones (TSB) presentó el documento </w:t>
      </w:r>
      <w:hyperlink r:id="rId23" w:history="1">
        <w:r w:rsidRPr="00765B8F">
          <w:rPr>
            <w:rFonts w:eastAsia="SimSun" w:cstheme="majorBidi"/>
            <w:color w:val="0563C1"/>
            <w:spacing w:val="-2"/>
            <w:u w:val="single"/>
          </w:rPr>
          <w:t>CWG-FHR-17/</w:t>
        </w:r>
      </w:hyperlink>
      <w:r w:rsidRPr="00765B8F">
        <w:rPr>
          <w:rFonts w:eastAsia="SimSun" w:cstheme="majorBidi"/>
          <w:color w:val="0563C1"/>
          <w:spacing w:val="-2"/>
          <w:u w:val="single"/>
        </w:rPr>
        <w:t>8</w:t>
      </w:r>
      <w:r w:rsidRPr="00765B8F">
        <w:rPr>
          <w:rFonts w:asciiTheme="minorHAnsi" w:eastAsia="SimSun" w:hAnsiTheme="minorHAnsi"/>
          <w:szCs w:val="24"/>
        </w:rPr>
        <w:t>, relativo a la aplicación de los citados Acuerdos del Consejo y los ingresos derivados de los números universales del servicio internacional de llamada gratuita (UIFN) y los números de identificación del expedidor (IIN).</w:t>
      </w:r>
    </w:p>
    <w:p w14:paraId="54D4921A" w14:textId="77777777" w:rsidR="00564163" w:rsidRPr="00765B8F" w:rsidRDefault="00564163" w:rsidP="00564163">
      <w:pPr>
        <w:rPr>
          <w:rFonts w:asciiTheme="minorHAnsi" w:eastAsia="SimSun" w:hAnsiTheme="minorHAnsi"/>
        </w:rPr>
      </w:pPr>
      <w:r w:rsidRPr="00765B8F">
        <w:rPr>
          <w:rFonts w:asciiTheme="minorHAnsi" w:eastAsia="SimSun" w:hAnsiTheme="minorHAnsi"/>
        </w:rPr>
        <w:t>3</w:t>
      </w:r>
      <w:r w:rsidRPr="00765B8F">
        <w:rPr>
          <w:rFonts w:eastAsia="SimSun"/>
        </w:rPr>
        <w:tab/>
        <w:t xml:space="preserve">El presente documento contiene información actualizada sobre el estado de aplicación de dichos Acuerdos desde la reunión del GTC-RHF de enero de 2024. </w:t>
      </w:r>
    </w:p>
    <w:p w14:paraId="79F5DDE3" w14:textId="77777777" w:rsidR="00564163" w:rsidRPr="00765B8F" w:rsidRDefault="00564163" w:rsidP="00564163">
      <w:pPr>
        <w:pStyle w:val="Headingb"/>
        <w:rPr>
          <w:rFonts w:eastAsia="SimSun"/>
        </w:rPr>
      </w:pPr>
      <w:r w:rsidRPr="00765B8F">
        <w:rPr>
          <w:rFonts w:eastAsia="SimSun"/>
        </w:rPr>
        <w:t>Situación financiera actualizada</w:t>
      </w:r>
    </w:p>
    <w:p w14:paraId="684E43A0" w14:textId="77777777" w:rsidR="00564163" w:rsidRPr="00765B8F" w:rsidRDefault="00564163" w:rsidP="00564163">
      <w:pPr>
        <w:rPr>
          <w:rFonts w:asciiTheme="minorHAnsi" w:eastAsia="SimSun" w:hAnsiTheme="minorHAnsi"/>
        </w:rPr>
      </w:pPr>
      <w:r w:rsidRPr="00765B8F">
        <w:rPr>
          <w:rFonts w:asciiTheme="minorHAnsi" w:eastAsia="SimSun" w:hAnsiTheme="minorHAnsi"/>
          <w:szCs w:val="24"/>
        </w:rPr>
        <w:t>1</w:t>
      </w:r>
      <w:r w:rsidRPr="00765B8F">
        <w:rPr>
          <w:rFonts w:asciiTheme="minorHAnsi" w:eastAsia="SimSun" w:hAnsiTheme="minorHAnsi"/>
          <w:szCs w:val="24"/>
        </w:rPr>
        <w:tab/>
      </w:r>
      <w:bookmarkStart w:id="3" w:name="_Hlk158995552"/>
      <w:r w:rsidRPr="00765B8F">
        <w:rPr>
          <w:rFonts w:asciiTheme="minorHAnsi" w:eastAsia="SimSun" w:hAnsiTheme="minorHAnsi"/>
          <w:szCs w:val="24"/>
        </w:rPr>
        <w:t>UIFN (</w:t>
      </w:r>
      <w:r w:rsidRPr="00765B8F">
        <w:t>Acuerdo 600 del Consejo</w:t>
      </w:r>
      <w:r w:rsidRPr="00765B8F">
        <w:rPr>
          <w:rFonts w:asciiTheme="minorHAnsi" w:eastAsia="SimSun" w:hAnsiTheme="minorHAnsi"/>
          <w:szCs w:val="24"/>
        </w:rPr>
        <w:t>)</w:t>
      </w:r>
      <w:bookmarkEnd w:id="3"/>
      <w:r w:rsidRPr="00765B8F">
        <w:rPr>
          <w:rFonts w:asciiTheme="minorHAnsi" w:eastAsia="SimSun" w:hAnsiTheme="minorHAnsi"/>
        </w:rPr>
        <w:t>:</w:t>
      </w:r>
    </w:p>
    <w:p w14:paraId="1D853C33" w14:textId="77777777" w:rsidR="00564163" w:rsidRPr="00765B8F" w:rsidRDefault="00564163" w:rsidP="00564163">
      <w:pPr>
        <w:pStyle w:val="Figure"/>
        <w:rPr>
          <w:rFonts w:asciiTheme="minorHAnsi" w:eastAsia="SimSun" w:hAnsiTheme="minorHAnsi"/>
          <w:szCs w:val="24"/>
        </w:rPr>
      </w:pPr>
      <w:r w:rsidRPr="00765B8F">
        <w:rPr>
          <w:noProof/>
        </w:rPr>
        <w:drawing>
          <wp:inline distT="0" distB="0" distL="0" distR="0" wp14:anchorId="422C0C17" wp14:editId="2ED89850">
            <wp:extent cx="3980677" cy="2336882"/>
            <wp:effectExtent l="0" t="0" r="1270" b="6350"/>
            <wp:docPr id="732991297" name="Picture 2" descr="A graph of a graph with numbers and a line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677" cy="233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39A9" w14:textId="77777777" w:rsidR="00564163" w:rsidRPr="00765B8F" w:rsidRDefault="00564163" w:rsidP="00564163">
      <w:pPr>
        <w:pStyle w:val="Figurelegend"/>
        <w:rPr>
          <w:rFonts w:eastAsia="SimSun"/>
        </w:rPr>
      </w:pPr>
      <w:r w:rsidRPr="00765B8F">
        <w:rPr>
          <w:rFonts w:eastAsia="SimSun"/>
        </w:rPr>
        <w:t>Leyenda:</w:t>
      </w:r>
    </w:p>
    <w:p w14:paraId="48A7C6A9" w14:textId="4AA766CA" w:rsidR="00564163" w:rsidRPr="00765B8F" w:rsidRDefault="00564163" w:rsidP="00564163">
      <w:pPr>
        <w:pStyle w:val="Figurelegend"/>
        <w:rPr>
          <w:rFonts w:eastAsia="SimSun"/>
        </w:rPr>
      </w:pPr>
      <w:r w:rsidRPr="00765B8F">
        <w:rPr>
          <w:rFonts w:eastAsia="SimSun"/>
        </w:rPr>
        <w:t xml:space="preserve">Pagado </w:t>
      </w:r>
      <w:r w:rsidRPr="00765B8F">
        <w:rPr>
          <w:rFonts w:eastAsia="SimSun"/>
        </w:rPr>
        <w:tab/>
        <w:t>No pagado</w:t>
      </w:r>
      <w:r w:rsidRPr="00765B8F">
        <w:rPr>
          <w:rFonts w:eastAsia="SimSun"/>
        </w:rPr>
        <w:tab/>
        <w:t>Tasa de cobro</w:t>
      </w:r>
    </w:p>
    <w:p w14:paraId="677D190F" w14:textId="77777777" w:rsidR="00564163" w:rsidRPr="00765B8F" w:rsidRDefault="00564163" w:rsidP="00564163">
      <w:pPr>
        <w:rPr>
          <w:rFonts w:eastAsia="SimSun"/>
        </w:rPr>
      </w:pPr>
      <w:r w:rsidRPr="00765B8F">
        <w:rPr>
          <w:rFonts w:eastAsia="SimSun"/>
        </w:rPr>
        <w:t>Tras el informe presentado por el GTC-RHF en enero de 2024 y hasta el 1 de marzo de 2024, se han recibido los siguientes pagos adicionales:</w:t>
      </w:r>
    </w:p>
    <w:p w14:paraId="45374238" w14:textId="4A871918" w:rsidR="00564163" w:rsidRPr="00765B8F" w:rsidRDefault="00564163" w:rsidP="00564163">
      <w:pPr>
        <w:pStyle w:val="enumlev1"/>
        <w:rPr>
          <w:rFonts w:eastAsia="SimSun"/>
          <w:szCs w:val="24"/>
        </w:rPr>
      </w:pPr>
      <w:r w:rsidRPr="00564163">
        <w:rPr>
          <w:rFonts w:eastAsia="SimSun"/>
        </w:rPr>
        <w:t>•</w:t>
      </w:r>
      <w:r>
        <w:rPr>
          <w:rFonts w:eastAsia="SimSun"/>
        </w:rPr>
        <w:tab/>
      </w:r>
      <w:r w:rsidRPr="00765B8F">
        <w:rPr>
          <w:rFonts w:eastAsia="SimSun"/>
        </w:rPr>
        <w:t>En cuanto a las cuotas anuales de mantenimiento para 2018, se han abonado 700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francos suizos (CHF) adicionales. Hasta la fecha, se ha saldado el 96% de las facturas válidas y quedan 15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600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 xml:space="preserve">CHF pendientes de pago. </w:t>
      </w:r>
    </w:p>
    <w:p w14:paraId="73F43C27" w14:textId="16330026" w:rsidR="00564163" w:rsidRPr="00765B8F" w:rsidRDefault="00564163" w:rsidP="00564163">
      <w:pPr>
        <w:pStyle w:val="enumlev1"/>
        <w:rPr>
          <w:rFonts w:eastAsia="SimSun"/>
          <w:szCs w:val="24"/>
        </w:rPr>
      </w:pPr>
      <w:r w:rsidRPr="00564163">
        <w:rPr>
          <w:rFonts w:eastAsia="SimSun"/>
        </w:rPr>
        <w:t>•</w:t>
      </w:r>
      <w:r>
        <w:rPr>
          <w:rFonts w:eastAsia="SimSun"/>
        </w:rPr>
        <w:tab/>
      </w:r>
      <w:r w:rsidRPr="00765B8F">
        <w:rPr>
          <w:rFonts w:eastAsia="SimSun"/>
        </w:rPr>
        <w:t xml:space="preserve">En cuanto a las cuotas anuales de mantenimiento para 2019 pendientes de pago, se han abonado 100 CHF adicionales y, con ello, se ha recibido el 100% de los pagos. </w:t>
      </w:r>
    </w:p>
    <w:p w14:paraId="7BB48DE3" w14:textId="2EEE9214" w:rsidR="00564163" w:rsidRPr="00765B8F" w:rsidRDefault="00564163" w:rsidP="00564163">
      <w:pPr>
        <w:pStyle w:val="enumlev1"/>
        <w:rPr>
          <w:rFonts w:eastAsia="SimSun"/>
          <w:szCs w:val="24"/>
        </w:rPr>
      </w:pPr>
      <w:r w:rsidRPr="00564163">
        <w:rPr>
          <w:rFonts w:eastAsia="SimSun"/>
        </w:rPr>
        <w:t>•</w:t>
      </w:r>
      <w:r>
        <w:rPr>
          <w:rFonts w:eastAsia="SimSun"/>
        </w:rPr>
        <w:tab/>
      </w:r>
      <w:r w:rsidRPr="00765B8F">
        <w:rPr>
          <w:rFonts w:eastAsia="SimSun"/>
        </w:rPr>
        <w:t>En cuanto a las cuotas anuales de mantenimiento para 2022, se han abonado 55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900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CHF adicionales y, con ello, se ha recibido el 99% de todos los pagos.</w:t>
      </w:r>
      <w:bookmarkStart w:id="4" w:name="_Hlk158995566"/>
      <w:r w:rsidRPr="00765B8F">
        <w:rPr>
          <w:rFonts w:eastAsia="SimSun"/>
        </w:rPr>
        <w:t xml:space="preserve"> </w:t>
      </w:r>
    </w:p>
    <w:p w14:paraId="58B4490E" w14:textId="2927BEFB" w:rsidR="00564163" w:rsidRPr="00765B8F" w:rsidRDefault="00564163" w:rsidP="00564163">
      <w:pPr>
        <w:rPr>
          <w:rFonts w:eastAsia="SimSun"/>
        </w:rPr>
      </w:pPr>
      <w:r w:rsidRPr="00765B8F">
        <w:rPr>
          <w:rFonts w:eastAsia="SimSun"/>
        </w:rPr>
        <w:t>El total de cuotas pendientes de pago para el periodo 2018-2022 se redujo a 16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900</w:t>
      </w:r>
      <w:r w:rsidR="006A61CF">
        <w:rPr>
          <w:rFonts w:eastAsia="SimSun"/>
        </w:rPr>
        <w:t> </w:t>
      </w:r>
      <w:r w:rsidRPr="00765B8F">
        <w:rPr>
          <w:rFonts w:eastAsia="SimSun"/>
        </w:rPr>
        <w:t>CHF.</w:t>
      </w:r>
    </w:p>
    <w:bookmarkEnd w:id="4"/>
    <w:p w14:paraId="17638737" w14:textId="77777777" w:rsidR="00564163" w:rsidRPr="00765B8F" w:rsidRDefault="00564163" w:rsidP="00564163">
      <w:pPr>
        <w:rPr>
          <w:rFonts w:eastAsia="SimSun"/>
        </w:rPr>
      </w:pPr>
      <w:r w:rsidRPr="00765B8F">
        <w:rPr>
          <w:rFonts w:eastAsia="SimSun"/>
        </w:rPr>
        <w:t>En el anexo 1 se enumeran las entidades para las que la TSB tiene un contacto válido, a las que se ha facturado para el periodo 2018-2023 y que, al 1 de marzo de 2024, no habían abonado sus facturas.</w:t>
      </w:r>
    </w:p>
    <w:p w14:paraId="61F792D3" w14:textId="77777777" w:rsidR="006A61CF" w:rsidRDefault="006A61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bookmarkStart w:id="5" w:name="_Hlk158995632"/>
      <w:r>
        <w:rPr>
          <w:rFonts w:eastAsia="SimSun"/>
        </w:rPr>
        <w:br w:type="page"/>
      </w:r>
    </w:p>
    <w:p w14:paraId="6046F663" w14:textId="74D6729B" w:rsidR="00564163" w:rsidRPr="00765B8F" w:rsidRDefault="00564163" w:rsidP="00564163">
      <w:pPr>
        <w:rPr>
          <w:rFonts w:eastAsia="SimSun"/>
        </w:rPr>
      </w:pPr>
      <w:r w:rsidRPr="00765B8F">
        <w:rPr>
          <w:rFonts w:eastAsia="SimSun"/>
        </w:rPr>
        <w:lastRenderedPageBreak/>
        <w:t>2</w:t>
      </w:r>
      <w:r w:rsidRPr="00765B8F">
        <w:rPr>
          <w:rFonts w:eastAsia="SimSun"/>
        </w:rPr>
        <w:tab/>
        <w:t>Ingresos derivados de los UIFN y los IIN</w:t>
      </w:r>
    </w:p>
    <w:p w14:paraId="1D6710A7" w14:textId="77777777" w:rsidR="00564163" w:rsidRPr="00765B8F" w:rsidRDefault="00564163" w:rsidP="00564163">
      <w:pPr>
        <w:tabs>
          <w:tab w:val="clear" w:pos="567"/>
        </w:tabs>
        <w:jc w:val="both"/>
        <w:rPr>
          <w:rFonts w:eastAsia="SimSun"/>
        </w:rPr>
      </w:pPr>
      <w:bookmarkStart w:id="6" w:name="_Hlk158995641"/>
      <w:bookmarkEnd w:id="5"/>
      <w:r w:rsidRPr="00765B8F">
        <w:rPr>
          <w:rFonts w:eastAsia="SimSun"/>
        </w:rPr>
        <w:t xml:space="preserve">En </w:t>
      </w:r>
      <w:r w:rsidRPr="00564163">
        <w:rPr>
          <w:rFonts w:eastAsia="SimSun"/>
        </w:rPr>
        <w:t>2023, los ingresos derivados de los UIFN ascendieron a 266 700 CHF (incluidas la cuota únic</w:t>
      </w:r>
      <w:r w:rsidRPr="00765B8F">
        <w:rPr>
          <w:rFonts w:eastAsia="SimSun"/>
        </w:rPr>
        <w:t xml:space="preserve">a y la cuota anual de mantenimiento). </w:t>
      </w:r>
    </w:p>
    <w:bookmarkEnd w:id="6"/>
    <w:p w14:paraId="15F6A499" w14:textId="77777777" w:rsidR="00564163" w:rsidRPr="00765B8F" w:rsidRDefault="00564163" w:rsidP="00564163">
      <w:pPr>
        <w:pStyle w:val="Headingb"/>
        <w:rPr>
          <w:rFonts w:eastAsia="SimSun"/>
        </w:rPr>
      </w:pPr>
      <w:r w:rsidRPr="00765B8F">
        <w:rPr>
          <w:rFonts w:eastAsia="SimSun"/>
        </w:rPr>
        <w:t>Conclusión</w:t>
      </w:r>
    </w:p>
    <w:p w14:paraId="32153176" w14:textId="77777777" w:rsidR="00564163" w:rsidRPr="00765B8F" w:rsidRDefault="00564163" w:rsidP="00564163">
      <w:pPr>
        <w:rPr>
          <w:rFonts w:eastAsia="SimSun"/>
        </w:rPr>
      </w:pPr>
      <w:r w:rsidRPr="00765B8F">
        <w:rPr>
          <w:rFonts w:eastAsia="SimSun"/>
        </w:rPr>
        <w:t xml:space="preserve">La secretaría sigue trabajando en la aplicación de los Acuerdos 600 y 601 del Consejo. </w:t>
      </w:r>
    </w:p>
    <w:p w14:paraId="72175853" w14:textId="77777777" w:rsidR="00564163" w:rsidRPr="00765B8F" w:rsidRDefault="00564163" w:rsidP="00564163">
      <w:pPr>
        <w:spacing w:before="1080"/>
        <w:outlineLvl w:val="3"/>
        <w:rPr>
          <w:rFonts w:asciiTheme="minorHAnsi" w:eastAsia="SimSun" w:hAnsiTheme="minorHAnsi" w:cstheme="minorHAnsi"/>
          <w:bCs/>
          <w:i/>
          <w:iCs/>
        </w:rPr>
      </w:pPr>
      <w:r w:rsidRPr="00765B8F">
        <w:rPr>
          <w:rFonts w:asciiTheme="minorHAnsi" w:eastAsia="SimSun" w:hAnsiTheme="minorHAnsi" w:cstheme="minorHAnsi"/>
          <w:b/>
          <w:i/>
          <w:iCs/>
        </w:rPr>
        <w:t>Anexo: 1</w:t>
      </w:r>
    </w:p>
    <w:p w14:paraId="04A46DE7" w14:textId="77777777" w:rsidR="00564163" w:rsidRPr="00765B8F" w:rsidRDefault="00564163" w:rsidP="005641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564163" w:rsidRPr="00765B8F" w:rsidSect="00394615">
          <w:footerReference w:type="default" r:id="rId25"/>
          <w:headerReference w:type="first" r:id="rId26"/>
          <w:footerReference w:type="first" r:id="rId2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326"/>
        </w:sectPr>
      </w:pPr>
    </w:p>
    <w:p w14:paraId="3318F33D" w14:textId="52752595" w:rsidR="00564163" w:rsidRPr="00765B8F" w:rsidRDefault="00564163" w:rsidP="006A61CF">
      <w:pPr>
        <w:pStyle w:val="AppendixNo"/>
        <w:rPr>
          <w:rFonts w:eastAsia="SimSun"/>
        </w:rPr>
      </w:pPr>
      <w:r w:rsidRPr="00765B8F">
        <w:rPr>
          <w:rFonts w:eastAsia="SimSun"/>
        </w:rPr>
        <w:lastRenderedPageBreak/>
        <w:t>Anex</w:t>
      </w:r>
      <w:r w:rsidR="006A61CF">
        <w:rPr>
          <w:rFonts w:eastAsia="SimSun"/>
        </w:rPr>
        <w:t>o</w:t>
      </w:r>
    </w:p>
    <w:p w14:paraId="5F38271A" w14:textId="692403E1" w:rsidR="00564163" w:rsidRPr="00765B8F" w:rsidRDefault="00564163" w:rsidP="006A61CF">
      <w:pPr>
        <w:pStyle w:val="Annextitle"/>
        <w:rPr>
          <w:rFonts w:eastAsia="SimSun"/>
        </w:rPr>
      </w:pPr>
      <w:r w:rsidRPr="00765B8F">
        <w:rPr>
          <w:rFonts w:eastAsia="SimSun"/>
        </w:rPr>
        <w:t>Lista de proveedores de servicios UIFN con facturas pendientes de pago para 2018, 2019, 2020, 2021, 2022 y 2023</w:t>
      </w:r>
      <w:r w:rsidR="006A61CF">
        <w:rPr>
          <w:rFonts w:eastAsia="SimSun"/>
        </w:rPr>
        <w:br/>
      </w:r>
      <w:r w:rsidRPr="00765B8F">
        <w:rPr>
          <w:rFonts w:eastAsia="SimSun"/>
        </w:rPr>
        <w:t>(al 1 de marzo de 2024)</w:t>
      </w:r>
    </w:p>
    <w:p w14:paraId="0840F647" w14:textId="77777777" w:rsidR="00564163" w:rsidRPr="00765B8F" w:rsidRDefault="00564163" w:rsidP="00564163">
      <w:pPr>
        <w:spacing w:before="0"/>
        <w:jc w:val="both"/>
        <w:rPr>
          <w:rFonts w:asciiTheme="minorHAnsi" w:eastAsia="SimSun" w:hAnsiTheme="minorHAnsi" w:cstheme="minorHAnsi"/>
          <w:szCs w:val="24"/>
        </w:rPr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301"/>
        <w:gridCol w:w="945"/>
        <w:gridCol w:w="1070"/>
        <w:gridCol w:w="2981"/>
        <w:gridCol w:w="1755"/>
        <w:gridCol w:w="2178"/>
      </w:tblGrid>
      <w:tr w:rsidR="00564163" w:rsidRPr="00765B8F" w14:paraId="68FC53FC" w14:textId="77777777" w:rsidTr="00394615">
        <w:trPr>
          <w:cantSplit/>
          <w:trHeight w:val="255"/>
          <w:tblHeader/>
        </w:trPr>
        <w:tc>
          <w:tcPr>
            <w:tcW w:w="2625" w:type="dxa"/>
            <w:shd w:val="clear" w:color="auto" w:fill="DDDDDD"/>
          </w:tcPr>
          <w:p w14:paraId="3F34AF80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Año</w:t>
            </w:r>
          </w:p>
        </w:tc>
        <w:tc>
          <w:tcPr>
            <w:tcW w:w="2301" w:type="dxa"/>
            <w:shd w:val="clear" w:color="auto" w:fill="DDDDDD"/>
            <w:noWrap/>
          </w:tcPr>
          <w:p w14:paraId="633D93B2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Importe</w:t>
            </w:r>
          </w:p>
        </w:tc>
        <w:tc>
          <w:tcPr>
            <w:tcW w:w="945" w:type="dxa"/>
            <w:shd w:val="clear" w:color="auto" w:fill="DDDDDD"/>
            <w:noWrap/>
          </w:tcPr>
          <w:p w14:paraId="4C57F778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Divisa</w:t>
            </w:r>
          </w:p>
        </w:tc>
        <w:tc>
          <w:tcPr>
            <w:tcW w:w="1070" w:type="dxa"/>
            <w:shd w:val="clear" w:color="auto" w:fill="DDDDDD"/>
          </w:tcPr>
          <w:p w14:paraId="65BD8E55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 xml:space="preserve">Cantidad </w:t>
            </w:r>
            <w:r w:rsidRPr="00765B8F">
              <w:br/>
              <w:t>de UIFN</w:t>
            </w:r>
          </w:p>
        </w:tc>
        <w:tc>
          <w:tcPr>
            <w:tcW w:w="2981" w:type="dxa"/>
            <w:shd w:val="clear" w:color="auto" w:fill="DDDDDD"/>
            <w:noWrap/>
          </w:tcPr>
          <w:p w14:paraId="340A479E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Nombre de la empresa</w:t>
            </w:r>
          </w:p>
        </w:tc>
        <w:tc>
          <w:tcPr>
            <w:tcW w:w="1755" w:type="dxa"/>
            <w:shd w:val="clear" w:color="auto" w:fill="DDDDDD"/>
            <w:noWrap/>
          </w:tcPr>
          <w:p w14:paraId="096A5217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País/zona geográfica</w:t>
            </w:r>
          </w:p>
        </w:tc>
        <w:tc>
          <w:tcPr>
            <w:tcW w:w="2178" w:type="dxa"/>
            <w:shd w:val="clear" w:color="auto" w:fill="DDDDDD"/>
          </w:tcPr>
          <w:p w14:paraId="4EDC0017" w14:textId="77777777" w:rsidR="00564163" w:rsidRPr="00765B8F" w:rsidRDefault="00564163" w:rsidP="009E59A4">
            <w:pPr>
              <w:pStyle w:val="Tablehead"/>
              <w:tabs>
                <w:tab w:val="left" w:pos="709"/>
              </w:tabs>
            </w:pPr>
            <w:r w:rsidRPr="00765B8F">
              <w:t>Nota</w:t>
            </w:r>
          </w:p>
        </w:tc>
      </w:tr>
      <w:tr w:rsidR="00564163" w:rsidRPr="00765B8F" w14:paraId="496C8B0C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32EDE63" w14:textId="77777777" w:rsidR="00564163" w:rsidRPr="00765B8F" w:rsidRDefault="00564163" w:rsidP="009E59A4">
            <w:pPr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8164EC3" w14:textId="77777777" w:rsidR="00564163" w:rsidRPr="00765B8F" w:rsidRDefault="00564163" w:rsidP="009E59A4">
            <w:pPr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14 000,00</w:t>
            </w:r>
            <w:r w:rsidRPr="00765B8F">
              <w:br/>
            </w:r>
            <w:r w:rsidRPr="00765B8F">
              <w:rPr>
                <w:rFonts w:eastAsia="Calibri" w:cs="Calibri"/>
                <w:color w:val="000000" w:themeColor="text1"/>
                <w:sz w:val="18"/>
                <w:szCs w:val="18"/>
              </w:rPr>
              <w:t>[pago parcial: 2 800 CHF</w:t>
            </w:r>
            <w:r w:rsidRPr="00765B8F">
              <w:rPr>
                <w:rFonts w:eastAsia="Calibri" w:cs="Calibri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AD85DA9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598E1FE4" w14:textId="77777777" w:rsidR="00564163" w:rsidRPr="00765B8F" w:rsidRDefault="00564163" w:rsidP="009E59A4">
            <w:pPr>
              <w:jc w:val="center"/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140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3C6A65A4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Bezeq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International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58CA0910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Israel</w:t>
            </w:r>
          </w:p>
        </w:tc>
        <w:tc>
          <w:tcPr>
            <w:tcW w:w="2178" w:type="dxa"/>
            <w:shd w:val="clear" w:color="auto" w:fill="auto"/>
          </w:tcPr>
          <w:p w14:paraId="59CA8566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</w:p>
        </w:tc>
      </w:tr>
      <w:tr w:rsidR="00564163" w:rsidRPr="00765B8F" w14:paraId="0AC73EFA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41F21E6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9646CE4" w14:textId="77777777" w:rsidR="00564163" w:rsidRPr="00765B8F" w:rsidRDefault="00564163" w:rsidP="009E59A4">
            <w:pPr>
              <w:jc w:val="right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5 600,00</w:t>
            </w:r>
            <w:r w:rsidRPr="00765B8F">
              <w:br/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[pago parcial del crédito: </w:t>
            </w:r>
            <w:r w:rsidRPr="00765B8F">
              <w:br/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>4 000 CHF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3CB235BA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1BC404AD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56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49F42E19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International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Telcom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Ltd.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37995956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Estados Unidos</w:t>
            </w:r>
          </w:p>
        </w:tc>
        <w:tc>
          <w:tcPr>
            <w:tcW w:w="2178" w:type="dxa"/>
            <w:shd w:val="clear" w:color="auto" w:fill="auto"/>
          </w:tcPr>
          <w:p w14:paraId="1105136F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09700191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8C7B266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013A1A9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4 000,00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C2DA97C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0ECBD2C4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40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3C615F14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POST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Luxembourg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7E894CBE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Luxemburgo</w:t>
            </w:r>
          </w:p>
        </w:tc>
        <w:tc>
          <w:tcPr>
            <w:tcW w:w="2178" w:type="dxa"/>
            <w:shd w:val="clear" w:color="auto" w:fill="auto"/>
          </w:tcPr>
          <w:p w14:paraId="745203FD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04EBAA87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8F8C682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AE430DB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2 300,00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F333446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A693EDD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329D9188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TeliaSonera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Finland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Oyj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61E4E1F3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Finlandia</w:t>
            </w:r>
          </w:p>
        </w:tc>
        <w:tc>
          <w:tcPr>
            <w:tcW w:w="2178" w:type="dxa"/>
            <w:shd w:val="clear" w:color="auto" w:fill="auto"/>
          </w:tcPr>
          <w:p w14:paraId="24BD156D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5D892529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FF9ABCC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08409824" w14:textId="77777777" w:rsidR="00564163" w:rsidRPr="00765B8F" w:rsidRDefault="00564163" w:rsidP="009E59A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jc w:val="right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1 300,00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31194730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1CCD96D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1ABDEE09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Slovak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Telekom,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a.s.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0361950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Eslovaquia</w:t>
            </w:r>
          </w:p>
        </w:tc>
        <w:tc>
          <w:tcPr>
            <w:tcW w:w="2178" w:type="dxa"/>
            <w:shd w:val="clear" w:color="auto" w:fill="auto"/>
          </w:tcPr>
          <w:p w14:paraId="519F0B81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2514F0FD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16372CE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0F382BAB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1 000,00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8F00912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2B990275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10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2800135A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Eutelia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S.p.A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25F33D29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Italia</w:t>
            </w:r>
          </w:p>
        </w:tc>
        <w:tc>
          <w:tcPr>
            <w:tcW w:w="2178" w:type="dxa"/>
            <w:shd w:val="clear" w:color="auto" w:fill="auto"/>
          </w:tcPr>
          <w:p w14:paraId="7F7E2316" w14:textId="406986D3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Adquirida parcialmente por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CloudItalia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>, pero sin responsabilidad en materia de UIFN; no obstante, es posible comunicarse con 3</w:t>
            </w:r>
            <w:r w:rsidR="006A61CF">
              <w:rPr>
                <w:rFonts w:eastAsia="DengXian" w:cs="Arial"/>
                <w:color w:val="000000" w:themeColor="text1"/>
                <w:sz w:val="20"/>
              </w:rPr>
              <w:t> 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UIFN.</w:t>
            </w:r>
          </w:p>
        </w:tc>
      </w:tr>
      <w:tr w:rsidR="00564163" w:rsidRPr="00765B8F" w14:paraId="0527D600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F6DE643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62775B4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700,00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2DB3A4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F5899DA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7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45132007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>Cable &amp; Wireless Panamá S.A.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09C09299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Panamá</w:t>
            </w:r>
          </w:p>
        </w:tc>
        <w:tc>
          <w:tcPr>
            <w:tcW w:w="2178" w:type="dxa"/>
            <w:shd w:val="clear" w:color="auto" w:fill="auto"/>
          </w:tcPr>
          <w:p w14:paraId="3BC4BA32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70ABF266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4497C90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2022</w:t>
            </w:r>
          </w:p>
        </w:tc>
        <w:tc>
          <w:tcPr>
            <w:tcW w:w="2301" w:type="dxa"/>
            <w:shd w:val="clear" w:color="auto" w:fill="auto"/>
            <w:noWrap/>
          </w:tcPr>
          <w:p w14:paraId="723C93D9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600,00</w:t>
            </w:r>
          </w:p>
        </w:tc>
        <w:tc>
          <w:tcPr>
            <w:tcW w:w="945" w:type="dxa"/>
            <w:shd w:val="clear" w:color="auto" w:fill="auto"/>
            <w:noWrap/>
          </w:tcPr>
          <w:p w14:paraId="1900EF7C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53F02111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6</w:t>
            </w:r>
          </w:p>
        </w:tc>
        <w:tc>
          <w:tcPr>
            <w:tcW w:w="2981" w:type="dxa"/>
            <w:shd w:val="clear" w:color="auto" w:fill="auto"/>
            <w:noWrap/>
          </w:tcPr>
          <w:p w14:paraId="3E316BC8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PLANinterNET</w:t>
            </w:r>
            <w:proofErr w:type="spellEnd"/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 VoIP-</w:t>
            </w:r>
            <w:proofErr w:type="spellStart"/>
            <w:r w:rsidRPr="00765B8F">
              <w:rPr>
                <w:rFonts w:eastAsia="Calibri" w:cs="Calibri"/>
                <w:color w:val="000000" w:themeColor="text1"/>
                <w:sz w:val="20"/>
              </w:rPr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0900B2F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Alemania</w:t>
            </w:r>
          </w:p>
        </w:tc>
        <w:tc>
          <w:tcPr>
            <w:tcW w:w="2178" w:type="dxa"/>
            <w:shd w:val="clear" w:color="auto" w:fill="auto"/>
          </w:tcPr>
          <w:p w14:paraId="7ADFA43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38F70621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F7F2F37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lastRenderedPageBreak/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1D4303B6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600,00</w:t>
            </w:r>
          </w:p>
        </w:tc>
        <w:tc>
          <w:tcPr>
            <w:tcW w:w="945" w:type="dxa"/>
            <w:shd w:val="clear" w:color="auto" w:fill="auto"/>
            <w:noWrap/>
          </w:tcPr>
          <w:p w14:paraId="2EF20F7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17484AD5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6</w:t>
            </w:r>
          </w:p>
        </w:tc>
        <w:tc>
          <w:tcPr>
            <w:tcW w:w="2981" w:type="dxa"/>
            <w:shd w:val="clear" w:color="auto" w:fill="auto"/>
            <w:noWrap/>
          </w:tcPr>
          <w:p w14:paraId="4B6B97DB" w14:textId="77777777" w:rsidR="00564163" w:rsidRPr="00564163" w:rsidRDefault="00564163" w:rsidP="009E59A4">
            <w:pPr>
              <w:rPr>
                <w:rFonts w:eastAsia="Calibri" w:cs="Calibri"/>
                <w:color w:val="000000" w:themeColor="text1"/>
                <w:sz w:val="20"/>
                <w:lang w:val="en-US"/>
              </w:rPr>
            </w:pPr>
            <w:r w:rsidRPr="00564163">
              <w:rPr>
                <w:rFonts w:eastAsia="Calibri" w:cs="Calibri"/>
                <w:color w:val="000000" w:themeColor="text1"/>
                <w:sz w:val="20"/>
                <w:lang w:val="en-US"/>
              </w:rPr>
              <w:t>HELLENIC TELECOMMUNICATIONS ORGANIZATION S.A.</w:t>
            </w:r>
          </w:p>
        </w:tc>
        <w:tc>
          <w:tcPr>
            <w:tcW w:w="1755" w:type="dxa"/>
            <w:shd w:val="clear" w:color="auto" w:fill="auto"/>
            <w:noWrap/>
          </w:tcPr>
          <w:p w14:paraId="79AD9B86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Grecia</w:t>
            </w:r>
          </w:p>
        </w:tc>
        <w:tc>
          <w:tcPr>
            <w:tcW w:w="2178" w:type="dxa"/>
            <w:shd w:val="clear" w:color="auto" w:fill="auto"/>
          </w:tcPr>
          <w:p w14:paraId="14346442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28E88B50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7B2E4C5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24FF5008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500,00</w:t>
            </w:r>
            <w:r w:rsidRPr="00765B8F">
              <w:rPr>
                <w:rFonts w:eastAsia="DengXian"/>
              </w:rPr>
              <w:br/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[</w:t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>pago parcial del crédito:</w:t>
            </w:r>
            <w:r w:rsidRPr="00765B8F">
              <w:rPr>
                <w:rFonts w:eastAsia="DengXian"/>
              </w:rPr>
              <w:br/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>200 CHF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</w:tcPr>
          <w:p w14:paraId="71ADFD1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AD493A2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083093FC" w14:textId="77777777" w:rsidR="00564163" w:rsidRPr="00765B8F" w:rsidRDefault="00564163" w:rsidP="009E59A4">
            <w:pPr>
              <w:rPr>
                <w:rFonts w:eastAsia="Calibri" w:cs="Calibri"/>
                <w:color w:val="000000" w:themeColor="text1"/>
                <w:sz w:val="20"/>
              </w:rPr>
            </w:pPr>
            <w:r w:rsidRPr="00765B8F">
              <w:rPr>
                <w:rFonts w:eastAsia="Calibri" w:cs="Calibri"/>
                <w:color w:val="000000" w:themeColor="text1"/>
                <w:sz w:val="20"/>
              </w:rPr>
              <w:t xml:space="preserve">Telefónica S.A. </w:t>
            </w:r>
            <w:r w:rsidRPr="00765B8F">
              <w:rPr>
                <w:rFonts w:eastAsia="Calibri" w:cs="Calibri"/>
                <w:color w:val="000000" w:themeColor="text1"/>
                <w:sz w:val="20"/>
              </w:rPr>
              <w:br/>
              <w:t>(anteriormente, Colombia Telecomunicaciones S.A. ESP - Telecom Colombia)</w:t>
            </w:r>
          </w:p>
        </w:tc>
        <w:tc>
          <w:tcPr>
            <w:tcW w:w="1755" w:type="dxa"/>
            <w:shd w:val="clear" w:color="auto" w:fill="auto"/>
            <w:noWrap/>
          </w:tcPr>
          <w:p w14:paraId="4AA9CDC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Colombia</w:t>
            </w:r>
          </w:p>
        </w:tc>
        <w:tc>
          <w:tcPr>
            <w:tcW w:w="2178" w:type="dxa"/>
            <w:shd w:val="clear" w:color="auto" w:fill="auto"/>
          </w:tcPr>
          <w:p w14:paraId="6F4799EA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2DE520C8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C3545B7" w14:textId="77777777" w:rsidR="00564163" w:rsidRPr="00765B8F" w:rsidRDefault="00564163" w:rsidP="009E59A4">
            <w:pPr>
              <w:keepNext/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22C06C87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500,00</w:t>
            </w:r>
            <w:r w:rsidRPr="00765B8F">
              <w:br/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[</w:t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>pago parcial del crédito:</w:t>
            </w:r>
            <w:r w:rsidRPr="00765B8F">
              <w:br/>
            </w:r>
            <w:r w:rsidRPr="00765B8F">
              <w:rPr>
                <w:rFonts w:eastAsia="DengXian" w:cs="Arial"/>
                <w:color w:val="000000" w:themeColor="text1"/>
                <w:sz w:val="18"/>
                <w:szCs w:val="18"/>
              </w:rPr>
              <w:t>400 CHF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</w:tcPr>
          <w:p w14:paraId="4B10320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475B750E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1AA67D5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Kingston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communications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>/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Affiniti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00244C7B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Reino Unido</w:t>
            </w:r>
          </w:p>
        </w:tc>
        <w:tc>
          <w:tcPr>
            <w:tcW w:w="2178" w:type="dxa"/>
            <w:shd w:val="clear" w:color="auto" w:fill="auto"/>
          </w:tcPr>
          <w:p w14:paraId="0B96A92F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50B256AC" w14:textId="77777777" w:rsidTr="00394615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4A275D0E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2021</w:t>
            </w:r>
          </w:p>
        </w:tc>
        <w:tc>
          <w:tcPr>
            <w:tcW w:w="2301" w:type="dxa"/>
            <w:shd w:val="clear" w:color="auto" w:fill="auto"/>
            <w:noWrap/>
          </w:tcPr>
          <w:p w14:paraId="6329CCD2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500,00</w:t>
            </w:r>
          </w:p>
        </w:tc>
        <w:tc>
          <w:tcPr>
            <w:tcW w:w="945" w:type="dxa"/>
            <w:shd w:val="clear" w:color="auto" w:fill="auto"/>
            <w:noWrap/>
          </w:tcPr>
          <w:p w14:paraId="55A377A5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B31C93C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4001E9E6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Qupra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Wholesale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2476F3F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Países Bajos</w:t>
            </w:r>
          </w:p>
        </w:tc>
        <w:tc>
          <w:tcPr>
            <w:tcW w:w="2178" w:type="dxa"/>
            <w:shd w:val="clear" w:color="auto" w:fill="auto"/>
          </w:tcPr>
          <w:p w14:paraId="027B5681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00564163" w:rsidRPr="00765B8F" w14:paraId="6FC54839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4B3ED16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659B4559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400,00</w:t>
            </w:r>
          </w:p>
        </w:tc>
        <w:tc>
          <w:tcPr>
            <w:tcW w:w="945" w:type="dxa"/>
            <w:shd w:val="clear" w:color="auto" w:fill="auto"/>
            <w:noWrap/>
          </w:tcPr>
          <w:p w14:paraId="10C057CD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DF51F9A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4</w:t>
            </w:r>
          </w:p>
        </w:tc>
        <w:tc>
          <w:tcPr>
            <w:tcW w:w="2981" w:type="dxa"/>
            <w:shd w:val="clear" w:color="auto" w:fill="auto"/>
            <w:noWrap/>
          </w:tcPr>
          <w:p w14:paraId="7FCA1F66" w14:textId="77777777" w:rsidR="00564163" w:rsidRPr="00564163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  <w:lang w:val="en-US"/>
              </w:rPr>
            </w:pPr>
            <w:r w:rsidRPr="00564163">
              <w:rPr>
                <w:rFonts w:eastAsia="DengXian" w:cs="Arial"/>
                <w:color w:val="000000" w:themeColor="text1"/>
                <w:sz w:val="20"/>
                <w:lang w:val="en-US"/>
              </w:rPr>
              <w:t>HKBN Enterprise Solutions HK Limited (</w:t>
            </w:r>
            <w:proofErr w:type="spellStart"/>
            <w:r w:rsidRPr="00564163">
              <w:rPr>
                <w:rFonts w:eastAsia="DengXian" w:cs="Arial"/>
                <w:color w:val="000000" w:themeColor="text1"/>
                <w:sz w:val="20"/>
                <w:lang w:val="en-US"/>
              </w:rPr>
              <w:t>anteriormente</w:t>
            </w:r>
            <w:proofErr w:type="spellEnd"/>
            <w:r w:rsidRPr="00564163">
              <w:rPr>
                <w:rFonts w:eastAsia="DengXian" w:cs="Arial"/>
                <w:color w:val="000000" w:themeColor="text1"/>
                <w:sz w:val="20"/>
                <w:lang w:val="en-US"/>
              </w:rPr>
              <w:t>, WTT HK Limited)</w:t>
            </w:r>
          </w:p>
        </w:tc>
        <w:tc>
          <w:tcPr>
            <w:tcW w:w="1755" w:type="dxa"/>
            <w:shd w:val="clear" w:color="auto" w:fill="auto"/>
            <w:noWrap/>
          </w:tcPr>
          <w:p w14:paraId="08237EB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54C04935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3A6F25CF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E70A7F7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2E8B946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400,00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51886B9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48F54E4F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4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05CA0425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Telia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Lietuva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AB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320DB1F2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Lituania</w:t>
            </w:r>
          </w:p>
        </w:tc>
        <w:tc>
          <w:tcPr>
            <w:tcW w:w="2178" w:type="dxa"/>
            <w:shd w:val="clear" w:color="auto" w:fill="auto"/>
          </w:tcPr>
          <w:p w14:paraId="527054B9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2008F8E3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50A3F8E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0534FDC3" w14:textId="77777777" w:rsidR="00564163" w:rsidRPr="00765B8F" w:rsidRDefault="00564163" w:rsidP="009E59A4">
            <w:pPr>
              <w:spacing w:after="120"/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300,00</w:t>
            </w:r>
            <w:r w:rsidRPr="00765B8F">
              <w:rPr>
                <w:rFonts w:eastAsia="DengXian" w:cs="Arial"/>
                <w:color w:val="000000"/>
                <w:sz w:val="18"/>
                <w:szCs w:val="18"/>
              </w:rPr>
              <w:br/>
              <w:t>[pago parcial: 200 CHF]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CF7C6C7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2891AF30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77FA97A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Telef</w:t>
            </w:r>
            <w:r>
              <w:rPr>
                <w:rFonts w:eastAsia="DengXian" w:cs="Arial"/>
                <w:color w:val="000000" w:themeColor="text1"/>
                <w:sz w:val="20"/>
              </w:rPr>
              <w:t>ó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>nica del Per</w:t>
            </w:r>
            <w:r>
              <w:rPr>
                <w:rFonts w:eastAsia="DengXian" w:cs="Arial"/>
                <w:color w:val="000000" w:themeColor="text1"/>
                <w:sz w:val="20"/>
              </w:rPr>
              <w:t>ú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399E6D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Perú</w:t>
            </w:r>
          </w:p>
        </w:tc>
        <w:tc>
          <w:tcPr>
            <w:tcW w:w="2178" w:type="dxa"/>
            <w:shd w:val="clear" w:color="auto" w:fill="auto"/>
          </w:tcPr>
          <w:p w14:paraId="2239D765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00564163" w:rsidRPr="00765B8F" w14:paraId="797A2DA4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340E2FA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B504160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0E8CE54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4E4026CF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0E1DB92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PTGI INTERNATIONAL CARRIER 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br/>
              <w:t>(anteriormente, PRIMUS Telecommunications Ltd.)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2555D55B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Reino Unido</w:t>
            </w:r>
          </w:p>
        </w:tc>
        <w:tc>
          <w:tcPr>
            <w:tcW w:w="2178" w:type="dxa"/>
            <w:shd w:val="clear" w:color="auto" w:fill="auto"/>
          </w:tcPr>
          <w:p w14:paraId="68E6CE0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00564163" w:rsidRPr="00765B8F" w14:paraId="6F0AA958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F35E3A3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316AD62F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6AA7871D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7F74CA9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2544C32B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EMTEX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59FFFEF1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Alemania</w:t>
            </w:r>
          </w:p>
        </w:tc>
        <w:tc>
          <w:tcPr>
            <w:tcW w:w="2178" w:type="dxa"/>
            <w:shd w:val="clear" w:color="auto" w:fill="auto"/>
          </w:tcPr>
          <w:p w14:paraId="4CE457D7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025F8507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70F97CC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7C3F2647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1DAC6256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945507C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732D9DA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Vivacom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Bulgaria EAD</w:t>
            </w:r>
          </w:p>
        </w:tc>
        <w:tc>
          <w:tcPr>
            <w:tcW w:w="1755" w:type="dxa"/>
            <w:shd w:val="clear" w:color="auto" w:fill="auto"/>
            <w:noWrap/>
          </w:tcPr>
          <w:p w14:paraId="38070722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Bulgaria</w:t>
            </w:r>
          </w:p>
        </w:tc>
        <w:tc>
          <w:tcPr>
            <w:tcW w:w="2178" w:type="dxa"/>
            <w:shd w:val="clear" w:color="auto" w:fill="auto"/>
          </w:tcPr>
          <w:p w14:paraId="00A984FD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7BDD965B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57F09FB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15AE9626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65C2DE39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FD40B8E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04CC3CD4" w14:textId="77777777" w:rsidR="00564163" w:rsidRPr="00564163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  <w:lang w:val="fr-FR"/>
              </w:rPr>
            </w:pPr>
            <w:r w:rsidRPr="00564163">
              <w:rPr>
                <w:rFonts w:eastAsia="DengXian" w:cs="Arial"/>
                <w:color w:val="000000" w:themeColor="text1"/>
                <w:sz w:val="20"/>
                <w:lang w:val="fr-FR"/>
              </w:rPr>
              <w:t xml:space="preserve">Altice France </w:t>
            </w:r>
            <w:r w:rsidRPr="00564163">
              <w:rPr>
                <w:rFonts w:eastAsia="DengXian" w:cs="Arial"/>
                <w:color w:val="000000" w:themeColor="text1"/>
                <w:sz w:val="20"/>
                <w:lang w:val="fr-FR"/>
              </w:rPr>
              <w:br/>
              <w:t>(</w:t>
            </w:r>
            <w:proofErr w:type="spellStart"/>
            <w:r w:rsidRPr="00564163">
              <w:rPr>
                <w:rFonts w:eastAsia="DengXian" w:cs="Arial"/>
                <w:color w:val="000000" w:themeColor="text1"/>
                <w:sz w:val="20"/>
                <w:lang w:val="fr-FR"/>
              </w:rPr>
              <w:t>anteriormente</w:t>
            </w:r>
            <w:proofErr w:type="spellEnd"/>
            <w:r w:rsidRPr="00564163">
              <w:rPr>
                <w:rFonts w:eastAsia="DengXian" w:cs="Arial"/>
                <w:color w:val="000000" w:themeColor="text1"/>
                <w:sz w:val="20"/>
                <w:lang w:val="fr-FR"/>
              </w:rPr>
              <w:t>, Télécom Développement)</w:t>
            </w:r>
          </w:p>
        </w:tc>
        <w:tc>
          <w:tcPr>
            <w:tcW w:w="1755" w:type="dxa"/>
            <w:shd w:val="clear" w:color="auto" w:fill="auto"/>
            <w:noWrap/>
          </w:tcPr>
          <w:p w14:paraId="2A46366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Francia</w:t>
            </w:r>
          </w:p>
        </w:tc>
        <w:tc>
          <w:tcPr>
            <w:tcW w:w="2178" w:type="dxa"/>
            <w:shd w:val="clear" w:color="auto" w:fill="auto"/>
          </w:tcPr>
          <w:p w14:paraId="62A1FFC2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16D8ECB8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EDE1BF0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2020</w:t>
            </w:r>
          </w:p>
        </w:tc>
        <w:tc>
          <w:tcPr>
            <w:tcW w:w="2301" w:type="dxa"/>
            <w:shd w:val="clear" w:color="auto" w:fill="auto"/>
            <w:noWrap/>
          </w:tcPr>
          <w:p w14:paraId="29E2C232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7B40C350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E91DB61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3C9A1A3D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Telefónica de Argentina </w:t>
            </w:r>
            <w:proofErr w:type="gramStart"/>
            <w:r w:rsidRPr="00765B8F">
              <w:rPr>
                <w:rFonts w:eastAsia="DengXian" w:cs="Arial"/>
                <w:color w:val="000000" w:themeColor="text1"/>
                <w:sz w:val="20"/>
              </w:rPr>
              <w:t>S.A</w:t>
            </w:r>
            <w:proofErr w:type="gramEnd"/>
          </w:p>
        </w:tc>
        <w:tc>
          <w:tcPr>
            <w:tcW w:w="1755" w:type="dxa"/>
            <w:shd w:val="clear" w:color="auto" w:fill="auto"/>
            <w:noWrap/>
          </w:tcPr>
          <w:p w14:paraId="7EED75B1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Argentina</w:t>
            </w:r>
          </w:p>
        </w:tc>
        <w:tc>
          <w:tcPr>
            <w:tcW w:w="2178" w:type="dxa"/>
            <w:shd w:val="clear" w:color="auto" w:fill="auto"/>
          </w:tcPr>
          <w:p w14:paraId="76C8F7D7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6C5E1FD2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AFDFAD4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lastRenderedPageBreak/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C8C6265" w14:textId="77777777" w:rsidR="00564163" w:rsidRPr="00765B8F" w:rsidRDefault="00564163" w:rsidP="009E59A4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Theme="majorEastAsia" w:hAnsiTheme="minorHAnsi" w:cstheme="minorBidi"/>
                <w:sz w:val="20"/>
              </w:rPr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0A78C31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46BA02ED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690F10BE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HGC Global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Communications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Limited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02023047" w14:textId="77777777" w:rsidR="00564163" w:rsidRPr="00765B8F" w:rsidRDefault="00564163" w:rsidP="009E59A4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</w:rPr>
            </w:pPr>
            <w:r w:rsidRPr="00765B8F">
              <w:rPr>
                <w:rFonts w:asciiTheme="minorHAnsi" w:eastAsia="SimSun" w:hAnsiTheme="minorHAnsi" w:cstheme="minorBidi"/>
                <w:sz w:val="20"/>
              </w:rPr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2902D2CF" w14:textId="77777777" w:rsidR="00564163" w:rsidRPr="00765B8F" w:rsidRDefault="00564163" w:rsidP="009E59A4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564163" w:rsidRPr="00765B8F" w14:paraId="16AF5D99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1F7BD36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822BF9F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81E0C1A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33C33D61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6416767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Telecable de Asturias SA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CCCD22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España</w:t>
            </w:r>
          </w:p>
        </w:tc>
        <w:tc>
          <w:tcPr>
            <w:tcW w:w="2178" w:type="dxa"/>
            <w:shd w:val="clear" w:color="auto" w:fill="auto"/>
          </w:tcPr>
          <w:p w14:paraId="68A82C10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6417A6AB" w14:textId="77777777" w:rsidTr="00394615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60A66CC1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BA70E77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02E2C9B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51614D44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1CDE171A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Vodafone New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Zealand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0F29126C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Nueva Zelandia</w:t>
            </w:r>
          </w:p>
        </w:tc>
        <w:tc>
          <w:tcPr>
            <w:tcW w:w="2178" w:type="dxa"/>
            <w:shd w:val="clear" w:color="auto" w:fill="auto"/>
          </w:tcPr>
          <w:p w14:paraId="35B461C6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5F8761F2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A61E1BB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81DCD8E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A63758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64A1D8E5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300AC340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Empresa Hondureña de </w:t>
            </w:r>
            <w:proofErr w:type="spellStart"/>
            <w:r w:rsidRPr="00765B8F">
              <w:rPr>
                <w:rFonts w:eastAsia="DengXian" w:cs="Arial"/>
                <w:color w:val="000000" w:themeColor="text1"/>
                <w:sz w:val="20"/>
              </w:rPr>
              <w:t>Telecommunicaciones</w:t>
            </w:r>
            <w:proofErr w:type="spellEnd"/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 (HONDUTEL)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27F143F8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765B8F">
              <w:rPr>
                <w:rFonts w:eastAsia="DengXian" w:cs="Arial"/>
                <w:color w:val="000000" w:themeColor="text1"/>
                <w:sz w:val="20"/>
              </w:rPr>
              <w:t>Honduras</w:t>
            </w:r>
          </w:p>
        </w:tc>
        <w:tc>
          <w:tcPr>
            <w:tcW w:w="2178" w:type="dxa"/>
            <w:shd w:val="clear" w:color="auto" w:fill="auto"/>
          </w:tcPr>
          <w:p w14:paraId="6DC9532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564163" w:rsidRPr="00765B8F" w14:paraId="1D0D55AC" w14:textId="77777777" w:rsidTr="00394615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7C5610C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A28E4ED" w14:textId="77777777" w:rsidR="00564163" w:rsidRPr="00765B8F" w:rsidRDefault="00564163" w:rsidP="009E59A4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2DE30A3A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070" w:type="dxa"/>
            <w:shd w:val="clear" w:color="auto" w:fill="auto"/>
          </w:tcPr>
          <w:p w14:paraId="7A0C1A66" w14:textId="77777777" w:rsidR="00564163" w:rsidRPr="00765B8F" w:rsidRDefault="00564163" w:rsidP="009E59A4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3D5DB843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 xml:space="preserve">Telecom </w:t>
            </w:r>
            <w:proofErr w:type="spellStart"/>
            <w:r w:rsidRPr="00765B8F">
              <w:rPr>
                <w:rFonts w:eastAsia="DengXian" w:cs="Arial"/>
                <w:color w:val="000000"/>
                <w:sz w:val="20"/>
              </w:rPr>
              <w:t>Itália</w:t>
            </w:r>
            <w:proofErr w:type="spellEnd"/>
            <w:r w:rsidRPr="00765B8F">
              <w:rPr>
                <w:rFonts w:eastAsia="DengXian" w:cs="Arial"/>
                <w:color w:val="000000"/>
                <w:sz w:val="20"/>
              </w:rPr>
              <w:t xml:space="preserve"> </w:t>
            </w:r>
            <w:proofErr w:type="spellStart"/>
            <w:r w:rsidRPr="00765B8F">
              <w:rPr>
                <w:rFonts w:eastAsia="DengXian" w:cs="Arial"/>
                <w:color w:val="000000"/>
                <w:sz w:val="20"/>
              </w:rPr>
              <w:t>Móbile</w:t>
            </w:r>
            <w:proofErr w:type="spellEnd"/>
            <w:r w:rsidRPr="00765B8F">
              <w:rPr>
                <w:rFonts w:eastAsia="DengXian" w:cs="Arial"/>
                <w:color w:val="000000"/>
                <w:sz w:val="20"/>
              </w:rPr>
              <w:t xml:space="preserve"> </w:t>
            </w:r>
            <w:proofErr w:type="spellStart"/>
            <w:r w:rsidRPr="00765B8F">
              <w:rPr>
                <w:rFonts w:eastAsia="DengXian" w:cs="Arial"/>
                <w:color w:val="000000"/>
                <w:sz w:val="20"/>
              </w:rPr>
              <w:t>S.p.A</w:t>
            </w:r>
            <w:proofErr w:type="spellEnd"/>
            <w:r w:rsidRPr="00765B8F">
              <w:rPr>
                <w:rFonts w:eastAsia="DengXian" w:cs="Arial"/>
                <w:color w:val="000000"/>
                <w:sz w:val="20"/>
              </w:rPr>
              <w:t xml:space="preserve">. (TIM) </w:t>
            </w:r>
            <w:r w:rsidRPr="00765B8F">
              <w:rPr>
                <w:rFonts w:eastAsia="DengXian" w:cs="Arial"/>
                <w:color w:val="000000"/>
                <w:sz w:val="20"/>
              </w:rPr>
              <w:br/>
              <w:t>(</w:t>
            </w:r>
            <w:r w:rsidRPr="00765B8F">
              <w:rPr>
                <w:rFonts w:eastAsia="DengXian" w:cs="Arial"/>
                <w:color w:val="000000" w:themeColor="text1"/>
                <w:sz w:val="20"/>
              </w:rPr>
              <w:t xml:space="preserve">anteriormente, </w:t>
            </w:r>
            <w:r w:rsidRPr="00765B8F">
              <w:rPr>
                <w:rFonts w:eastAsia="DengXian" w:cs="Arial"/>
                <w:color w:val="000000"/>
                <w:sz w:val="20"/>
              </w:rPr>
              <w:t xml:space="preserve">INTELIG </w:t>
            </w:r>
            <w:proofErr w:type="spellStart"/>
            <w:r w:rsidRPr="00765B8F">
              <w:rPr>
                <w:rFonts w:eastAsia="DengXian" w:cs="Arial"/>
                <w:color w:val="000000"/>
                <w:sz w:val="20"/>
              </w:rPr>
              <w:t>Telecomunicações</w:t>
            </w:r>
            <w:proofErr w:type="spellEnd"/>
            <w:r w:rsidRPr="00765B8F">
              <w:rPr>
                <w:rFonts w:eastAsia="DengXian" w:cs="Arial"/>
                <w:color w:val="000000"/>
                <w:sz w:val="20"/>
              </w:rPr>
              <w:t xml:space="preserve"> Ltda.)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F72A9E5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765B8F">
              <w:rPr>
                <w:rFonts w:eastAsia="DengXian" w:cs="Arial"/>
                <w:color w:val="000000"/>
                <w:sz w:val="20"/>
              </w:rPr>
              <w:t>Brasil</w:t>
            </w:r>
          </w:p>
        </w:tc>
        <w:tc>
          <w:tcPr>
            <w:tcW w:w="2178" w:type="dxa"/>
            <w:shd w:val="clear" w:color="auto" w:fill="auto"/>
          </w:tcPr>
          <w:p w14:paraId="7CECA1EF" w14:textId="77777777" w:rsidR="00564163" w:rsidRPr="00765B8F" w:rsidRDefault="00564163" w:rsidP="009E59A4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</w:tbl>
    <w:p w14:paraId="25B5BF0F" w14:textId="77777777" w:rsidR="006A61CF" w:rsidRDefault="006A61CF" w:rsidP="00411C49">
      <w:pPr>
        <w:pStyle w:val="Reasons"/>
      </w:pPr>
    </w:p>
    <w:p w14:paraId="1A062866" w14:textId="0172DE3B" w:rsidR="00927F93" w:rsidRPr="000B0D00" w:rsidRDefault="006A61CF" w:rsidP="006A61CF">
      <w:pPr>
        <w:jc w:val="center"/>
      </w:pPr>
      <w:r>
        <w:t>______________</w:t>
      </w:r>
    </w:p>
    <w:sectPr w:rsidR="00927F93" w:rsidRPr="000B0D00" w:rsidSect="00394615">
      <w:footerReference w:type="default" r:id="rId28"/>
      <w:headerReference w:type="first" r:id="rId29"/>
      <w:footerReference w:type="first" r:id="rId30"/>
      <w:pgSz w:w="16834" w:h="11907" w:orient="landscape"/>
      <w:pgMar w:top="1418" w:right="1418" w:bottom="1418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BD84" w14:textId="77777777" w:rsidR="00564163" w:rsidRDefault="00564163">
      <w:r>
        <w:separator/>
      </w:r>
    </w:p>
  </w:endnote>
  <w:endnote w:type="continuationSeparator" w:id="0">
    <w:p w14:paraId="59479BAF" w14:textId="77777777" w:rsidR="00564163" w:rsidRDefault="0056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64163" w:rsidRPr="00784011" w14:paraId="41D32997" w14:textId="77777777" w:rsidTr="00CB5E2F">
      <w:trPr>
        <w:jc w:val="center"/>
      </w:trPr>
      <w:tc>
        <w:tcPr>
          <w:tcW w:w="1803" w:type="dxa"/>
          <w:vAlign w:val="center"/>
        </w:tcPr>
        <w:p w14:paraId="4657F341" w14:textId="25E93FA9" w:rsidR="00564163" w:rsidRDefault="006A61CF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2400554</w:t>
          </w:r>
        </w:p>
      </w:tc>
      <w:tc>
        <w:tcPr>
          <w:tcW w:w="8261" w:type="dxa"/>
        </w:tcPr>
        <w:p w14:paraId="371BD550" w14:textId="77777777" w:rsidR="00564163" w:rsidRPr="00E06FD5" w:rsidRDefault="00564163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CEF634A" w14:textId="77777777" w:rsidR="00564163" w:rsidRPr="00DB1936" w:rsidRDefault="00564163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64163" w:rsidRPr="00784011" w14:paraId="0F32AC90" w14:textId="77777777" w:rsidTr="00EE49E8">
      <w:trPr>
        <w:jc w:val="center"/>
      </w:trPr>
      <w:tc>
        <w:tcPr>
          <w:tcW w:w="1803" w:type="dxa"/>
          <w:vAlign w:val="center"/>
        </w:tcPr>
        <w:p w14:paraId="7586B8FD" w14:textId="77777777" w:rsidR="00564163" w:rsidRDefault="007D6367" w:rsidP="00EE49E8">
          <w:pPr>
            <w:pStyle w:val="Header"/>
            <w:jc w:val="left"/>
            <w:rPr>
              <w:noProof/>
            </w:rPr>
          </w:pPr>
          <w:hyperlink r:id="rId1" w:history="1">
            <w:r w:rsidR="00564163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73BD51" w14:textId="77777777" w:rsidR="00564163" w:rsidRPr="00E06FD5" w:rsidRDefault="00564163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612C583" w14:textId="77777777" w:rsidR="00564163" w:rsidRPr="00623AE3" w:rsidRDefault="00564163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F737C8A" w14:textId="77777777" w:rsidTr="00E31DCE">
      <w:trPr>
        <w:jc w:val="center"/>
      </w:trPr>
      <w:tc>
        <w:tcPr>
          <w:tcW w:w="1803" w:type="dxa"/>
          <w:vAlign w:val="center"/>
        </w:tcPr>
        <w:p w14:paraId="610D4B13" w14:textId="5444EDC3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94615">
            <w:rPr>
              <w:noProof/>
            </w:rPr>
            <w:t>2400554</w:t>
          </w:r>
        </w:p>
      </w:tc>
      <w:tc>
        <w:tcPr>
          <w:tcW w:w="8261" w:type="dxa"/>
        </w:tcPr>
        <w:p w14:paraId="5606017A" w14:textId="5F302986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394615">
            <w:rPr>
              <w:bCs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C7D7E18" w14:textId="77777777" w:rsidR="00760F1C" w:rsidRPr="003273A4" w:rsidRDefault="00760F1C" w:rsidP="003273A4">
    <w:pPr>
      <w:pStyle w:val="Footer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2C560C6" w14:textId="77777777" w:rsidTr="00E31DCE">
      <w:trPr>
        <w:jc w:val="center"/>
      </w:trPr>
      <w:tc>
        <w:tcPr>
          <w:tcW w:w="1803" w:type="dxa"/>
          <w:vAlign w:val="center"/>
        </w:tcPr>
        <w:p w14:paraId="7809326F" w14:textId="77777777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3E0D12D" w14:textId="77777777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1E52F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959C" w14:textId="77777777" w:rsidR="00564163" w:rsidRDefault="00564163">
      <w:r>
        <w:t>____________________</w:t>
      </w:r>
    </w:p>
  </w:footnote>
  <w:footnote w:type="continuationSeparator" w:id="0">
    <w:p w14:paraId="59CB52E0" w14:textId="77777777" w:rsidR="00564163" w:rsidRDefault="0056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564163" w:rsidRPr="00784011" w14:paraId="6054E7E9" w14:textId="77777777" w:rsidTr="00CB5E2F">
      <w:trPr>
        <w:trHeight w:val="1104"/>
        <w:jc w:val="center"/>
      </w:trPr>
      <w:tc>
        <w:tcPr>
          <w:tcW w:w="4390" w:type="dxa"/>
          <w:vAlign w:val="center"/>
        </w:tcPr>
        <w:p w14:paraId="146EF463" w14:textId="77777777" w:rsidR="00564163" w:rsidRPr="009621F8" w:rsidRDefault="00564163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325EBF7" wp14:editId="60DA1335">
                <wp:extent cx="2369820" cy="558297"/>
                <wp:effectExtent l="0" t="0" r="0" b="0"/>
                <wp:docPr id="1148145044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A233CE" w14:textId="77777777" w:rsidR="00564163" w:rsidRDefault="0056416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CAA6EBC" w14:textId="77777777" w:rsidR="00564163" w:rsidRDefault="0056416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66D062" w14:textId="77777777" w:rsidR="00564163" w:rsidRPr="00784011" w:rsidRDefault="00564163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451CB36" w14:textId="77777777" w:rsidR="00564163" w:rsidRDefault="0056416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FC61A" wp14:editId="42FFA8D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28C06" id="Rectangle 1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5029E7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622C84F" w14:textId="77777777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34D37DB4" wp14:editId="308A3DA8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F6B2C4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8DA43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DE27DD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085EA4A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C12A6" wp14:editId="4714421F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435D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A5E4"/>
    <w:multiLevelType w:val="hybridMultilevel"/>
    <w:tmpl w:val="6C5EE284"/>
    <w:lvl w:ilvl="0" w:tplc="6BBA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2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3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3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E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3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67E50"/>
    <w:rsid w:val="002801AA"/>
    <w:rsid w:val="002C4676"/>
    <w:rsid w:val="002C70B0"/>
    <w:rsid w:val="002F3CC4"/>
    <w:rsid w:val="003273A4"/>
    <w:rsid w:val="00394615"/>
    <w:rsid w:val="00473962"/>
    <w:rsid w:val="004B5D49"/>
    <w:rsid w:val="004B7233"/>
    <w:rsid w:val="00513630"/>
    <w:rsid w:val="00560125"/>
    <w:rsid w:val="00564163"/>
    <w:rsid w:val="00570C74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A61CF"/>
    <w:rsid w:val="006C1B56"/>
    <w:rsid w:val="006D4761"/>
    <w:rsid w:val="006D6A47"/>
    <w:rsid w:val="00726872"/>
    <w:rsid w:val="00760F1C"/>
    <w:rsid w:val="007657F0"/>
    <w:rsid w:val="0077252D"/>
    <w:rsid w:val="007955DA"/>
    <w:rsid w:val="007D6367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B33E1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16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n" TargetMode="External"/><Relationship Id="rId13" Type="http://schemas.openxmlformats.org/officeDocument/2006/relationships/hyperlink" Target="https://www.itu.int/md/S19-CL-C-0047/en" TargetMode="External"/><Relationship Id="rId18" Type="http://schemas.openxmlformats.org/officeDocument/2006/relationships/hyperlink" Target="https://www.itu.int/md/S21-CWGFHR14-C-0012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3/en" TargetMode="External"/><Relationship Id="rId7" Type="http://schemas.openxmlformats.org/officeDocument/2006/relationships/hyperlink" Target="https://www.itu.int/md/S24-CWGFHR17-C-0008/en" TargetMode="External"/><Relationship Id="rId12" Type="http://schemas.openxmlformats.org/officeDocument/2006/relationships/hyperlink" Target="https://www.itu.int/md/S19-CLCWGFHR09-C-0015/en" TargetMode="External"/><Relationship Id="rId17" Type="http://schemas.openxmlformats.org/officeDocument/2006/relationships/hyperlink" Target="https://www.itu.int/md/S21-CWGFHR14-C-0007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FHR14-C-0006/en" TargetMode="External"/><Relationship Id="rId20" Type="http://schemas.openxmlformats.org/officeDocument/2006/relationships/hyperlink" Target="https://www.itu.int/md/S24-CWGFHR17-C-0008/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4/en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47/en" TargetMode="External"/><Relationship Id="rId23" Type="http://schemas.openxmlformats.org/officeDocument/2006/relationships/hyperlink" Target="https://www.itu.int/md/S24-CWGFHR17-C-0008/en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itu.int/md/S18-CL-C-0100/en" TargetMode="External"/><Relationship Id="rId19" Type="http://schemas.openxmlformats.org/officeDocument/2006/relationships/hyperlink" Target="https://www.itu.int/md/S22-CL-C-0050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n" TargetMode="External"/><Relationship Id="rId14" Type="http://schemas.openxmlformats.org/officeDocument/2006/relationships/hyperlink" Target="https://www.itu.int/md/S19-CL-C-0120/en" TargetMode="External"/><Relationship Id="rId22" Type="http://schemas.openxmlformats.org/officeDocument/2006/relationships/hyperlink" Target="https://www.itu.int/md/S17-CL-C-0134/en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6328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Spanish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2024-05-24T09:49:00Z</dcterms:created>
  <dcterms:modified xsi:type="dcterms:W3CDTF">2024-05-24T09:49:00Z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