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21529CB7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939459" w14:textId="6C05A742" w:rsidR="00796BD3" w:rsidRPr="00E8562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B42F5B" w:rsidRPr="00B42F5B">
              <w:rPr>
                <w:b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31AEFDFD" w14:textId="2F12E620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660449">
              <w:rPr>
                <w:b/>
              </w:rPr>
              <w:t>4</w:t>
            </w:r>
            <w:r w:rsidR="00796BD3">
              <w:rPr>
                <w:b/>
              </w:rPr>
              <w:t>/</w:t>
            </w:r>
            <w:r w:rsidR="00B42F5B">
              <w:rPr>
                <w:b/>
                <w:lang w:val="ru-RU"/>
              </w:rPr>
              <w:t>36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34359009" w14:textId="77777777" w:rsidTr="00E31DCE">
        <w:trPr>
          <w:cantSplit/>
        </w:trPr>
        <w:tc>
          <w:tcPr>
            <w:tcW w:w="3969" w:type="dxa"/>
            <w:vMerge/>
          </w:tcPr>
          <w:p w14:paraId="7952EF18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DAB6B05" w14:textId="5641BC88" w:rsidR="00796BD3" w:rsidRPr="00B42F5B" w:rsidRDefault="00B42F5B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="00796BD3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мая</w:t>
            </w:r>
            <w:r w:rsidR="00796BD3">
              <w:rPr>
                <w:b/>
              </w:rPr>
              <w:t xml:space="preserve"> 202</w:t>
            </w:r>
            <w:r w:rsidR="00660449">
              <w:rPr>
                <w:b/>
              </w:rPr>
              <w:t>4</w:t>
            </w:r>
            <w:r>
              <w:rPr>
                <w:b/>
                <w:lang w:val="ru-RU"/>
              </w:rPr>
              <w:t xml:space="preserve"> года</w:t>
            </w:r>
          </w:p>
        </w:tc>
      </w:tr>
      <w:tr w:rsidR="00796BD3" w:rsidRPr="00813E5E" w14:paraId="673C0008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5E36E6F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1103E8B" w14:textId="77777777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11C48FF7" w14:textId="77777777" w:rsidTr="00E31DCE">
        <w:trPr>
          <w:cantSplit/>
          <w:trHeight w:val="23"/>
        </w:trPr>
        <w:tc>
          <w:tcPr>
            <w:tcW w:w="3969" w:type="dxa"/>
          </w:tcPr>
          <w:p w14:paraId="03DA3330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4EA762D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20C512F4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CD3B49F" w14:textId="77777777" w:rsidR="00796BD3" w:rsidRPr="00672F8A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5B2BBD" w14:paraId="736782D1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374D04A" w14:textId="55D035C9" w:rsidR="00796BD3" w:rsidRPr="00B42F5B" w:rsidRDefault="00B42F5B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B42F5B">
              <w:rPr>
                <w:rFonts w:cstheme="minorHAnsi"/>
                <w:sz w:val="32"/>
                <w:szCs w:val="32"/>
                <w:lang w:val="ru-RU"/>
              </w:rPr>
              <w:t>РОЛЬ МСЭ В ОСУЩЕСТВЛЕНИИ "ПОВЕСТКИ ДНЯ "КОСМОС-2030": КОСМОС КАК ДВИГАТЕЛЬ УСТОЙЧИВОГО РАЗВИТИЯ", А ТАКЖЕ В ПРОЦЕССЕ ПОСЛЕДУЮЩЕЙ ДЕЯТЕЛЬНОСТИ И АНАЛИЗА</w:t>
            </w:r>
          </w:p>
        </w:tc>
      </w:tr>
      <w:tr w:rsidR="00796BD3" w:rsidRPr="00813E5E" w14:paraId="0A8816E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5128741" w14:textId="7CB7D70C" w:rsidR="00796BD3" w:rsidRPr="00B42F5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42F5B">
              <w:rPr>
                <w:b/>
                <w:bCs/>
                <w:sz w:val="24"/>
                <w:szCs w:val="24"/>
                <w:lang w:val="ru-RU"/>
              </w:rPr>
              <w:t xml:space="preserve">Назначение </w:t>
            </w:r>
          </w:p>
          <w:p w14:paraId="12DBC838" w14:textId="4093B146" w:rsidR="00796BD3" w:rsidRPr="00B42F5B" w:rsidRDefault="00B42F5B" w:rsidP="00E31DCE">
            <w:pPr>
              <w:rPr>
                <w:lang w:val="ru-RU"/>
              </w:rPr>
            </w:pPr>
            <w:r w:rsidRPr="00B42F5B">
              <w:rPr>
                <w:lang w:val="ru-RU"/>
              </w:rPr>
              <w:t>Настоящий вклад отвечает требованиям отчетности, установленным Резолюцией 218 (Бухарест, 2022 г.) Полномочной конференции по реализации МСЭ Повестки дня "Космос-2030".</w:t>
            </w:r>
          </w:p>
          <w:p w14:paraId="149CCCA3" w14:textId="77777777" w:rsidR="00796BD3" w:rsidRPr="00B42F5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42F5B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E6336D8" w14:textId="5CBC8127" w:rsidR="00796BD3" w:rsidRPr="00B42F5B" w:rsidRDefault="00B42F5B" w:rsidP="00E31DCE">
            <w:pPr>
              <w:rPr>
                <w:lang w:val="ru-RU"/>
              </w:rPr>
            </w:pPr>
            <w:r w:rsidRPr="00B42F5B">
              <w:rPr>
                <w:lang w:val="ru-RU"/>
              </w:rPr>
              <w:t xml:space="preserve">Совету предлагается </w:t>
            </w:r>
            <w:r w:rsidRPr="00B42F5B">
              <w:rPr>
                <w:b/>
                <w:bCs/>
                <w:lang w:val="ru-RU"/>
              </w:rPr>
              <w:t>принять к сведению</w:t>
            </w:r>
            <w:r w:rsidRPr="00B42F5B">
              <w:rPr>
                <w:lang w:val="ru-RU"/>
              </w:rPr>
              <w:t xml:space="preserve"> настоящий отчет.</w:t>
            </w:r>
          </w:p>
          <w:p w14:paraId="1F3BEE10" w14:textId="77777777" w:rsidR="00796BD3" w:rsidRPr="00B42F5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42F5B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9289D60" w14:textId="26866212" w:rsidR="00796BD3" w:rsidRPr="00B42F5B" w:rsidRDefault="00B42F5B" w:rsidP="00E31DCE">
            <w:pPr>
              <w:rPr>
                <w:lang w:val="ru-RU"/>
              </w:rPr>
            </w:pPr>
            <w:r w:rsidRPr="00B42F5B">
              <w:rPr>
                <w:lang w:val="ru-RU"/>
              </w:rPr>
              <w:t>Использование спектра для космических и наземных служб</w:t>
            </w:r>
          </w:p>
          <w:p w14:paraId="062A433F" w14:textId="61F6B048" w:rsidR="00796BD3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42F5B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5478174F" w14:textId="46273D22" w:rsidR="00B42F5B" w:rsidRPr="00B42F5B" w:rsidRDefault="00B42F5B" w:rsidP="00B42F5B">
            <w:pPr>
              <w:rPr>
                <w:lang w:val="ru-RU"/>
              </w:rPr>
            </w:pPr>
            <w:r w:rsidRPr="00B42F5B">
              <w:rPr>
                <w:lang w:val="ru-RU"/>
              </w:rPr>
              <w:t>В рамках выделенного бюджета на 2024</w:t>
            </w:r>
            <w:r>
              <w:rPr>
                <w:lang w:val="ru-RU"/>
              </w:rPr>
              <w:t>−</w:t>
            </w:r>
            <w:r w:rsidRPr="00B42F5B">
              <w:rPr>
                <w:lang w:val="ru-RU"/>
              </w:rPr>
              <w:t>2025 годы.</w:t>
            </w:r>
          </w:p>
          <w:p w14:paraId="1E62736C" w14:textId="77777777" w:rsidR="00796BD3" w:rsidRPr="00B42F5B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B42F5B">
              <w:rPr>
                <w:sz w:val="20"/>
                <w:szCs w:val="18"/>
                <w:lang w:val="ru-RU"/>
              </w:rPr>
              <w:t>__________________</w:t>
            </w:r>
          </w:p>
          <w:p w14:paraId="41F2BE2A" w14:textId="77777777" w:rsidR="00796BD3" w:rsidRPr="00B42F5B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B42F5B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876397C" w14:textId="67DD79EB" w:rsidR="00B42F5B" w:rsidRDefault="00433C30" w:rsidP="00F4546D">
            <w:pPr>
              <w:spacing w:after="160"/>
            </w:pPr>
            <w:hyperlink r:id="rId8" w:history="1">
              <w:r w:rsidR="00B42F5B" w:rsidRPr="00B42F5B">
                <w:rPr>
                  <w:rStyle w:val="Hyperlink"/>
                  <w:i/>
                  <w:iCs/>
                  <w:lang w:val="ru-RU"/>
                </w:rPr>
                <w:t>Резолюция 218</w:t>
              </w:r>
            </w:hyperlink>
            <w:r w:rsidR="00B42F5B" w:rsidRPr="00B42F5B">
              <w:rPr>
                <w:i/>
                <w:iCs/>
                <w:lang w:val="ru-RU"/>
              </w:rPr>
              <w:t xml:space="preserve"> (Пересм. Бухарест, 2022 г.) Полномочной конференции</w:t>
            </w:r>
            <w:r w:rsidR="00F4546D">
              <w:rPr>
                <w:i/>
                <w:iCs/>
                <w:lang w:val="en-US"/>
              </w:rPr>
              <w:br/>
            </w:r>
            <w:r w:rsidR="00B42F5B" w:rsidRPr="00B42F5B">
              <w:rPr>
                <w:i/>
                <w:iCs/>
                <w:lang w:val="ru-RU"/>
              </w:rPr>
              <w:t xml:space="preserve">Документ </w:t>
            </w:r>
            <w:hyperlink r:id="rId9" w:history="1">
              <w:r w:rsidR="00B42F5B" w:rsidRPr="00B42F5B">
                <w:rPr>
                  <w:rStyle w:val="Hyperlink"/>
                  <w:i/>
                  <w:iCs/>
                  <w:lang w:val="ru-RU"/>
                </w:rPr>
                <w:t>C23/58</w:t>
              </w:r>
            </w:hyperlink>
            <w:r w:rsidR="00B42F5B" w:rsidRPr="00B42F5B">
              <w:rPr>
                <w:i/>
                <w:iCs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21E44383" w14:textId="77777777" w:rsidR="00796BD3" w:rsidRDefault="00796BD3" w:rsidP="00796BD3"/>
    <w:p w14:paraId="4CFEC205" w14:textId="77777777" w:rsidR="00165D06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1E52B40" w14:textId="77777777" w:rsidR="00B42F5B" w:rsidRPr="002C6523" w:rsidRDefault="00B42F5B" w:rsidP="00B42F5B">
      <w:pPr>
        <w:pStyle w:val="Headingb"/>
        <w:rPr>
          <w:lang w:val="ru-RU"/>
        </w:rPr>
      </w:pPr>
      <w:r w:rsidRPr="002C6523">
        <w:rPr>
          <w:lang w:val="ru-RU"/>
        </w:rPr>
        <w:lastRenderedPageBreak/>
        <w:t>Базовая информация</w:t>
      </w:r>
    </w:p>
    <w:p w14:paraId="5FB9206C" w14:textId="77777777" w:rsidR="00B42F5B" w:rsidRPr="002C6523" w:rsidRDefault="00B42F5B" w:rsidP="00B42F5B">
      <w:pPr>
        <w:rPr>
          <w:bCs/>
          <w:lang w:val="ru-RU"/>
        </w:rPr>
      </w:pPr>
      <w:bookmarkStart w:id="7" w:name="lt_pId023"/>
      <w:r w:rsidRPr="002C6523">
        <w:rPr>
          <w:bCs/>
          <w:lang w:val="ru-RU"/>
        </w:rPr>
        <w:t>В Повестке дня "Космос-2030", разработанной Комитетом Организации Объединенных Наций по использованию космического пространства в мирных целях (КОПУОС ООН), государства-члены изложили концепцию расширения использования науки о космосе и космических технологий для достижения целей Повестки дня в области устойчивого развития на период до 2030 года.</w:t>
      </w:r>
    </w:p>
    <w:p w14:paraId="5C1DB7D5" w14:textId="77777777" w:rsidR="00B42F5B" w:rsidRPr="002C6523" w:rsidRDefault="00B42F5B" w:rsidP="00B42F5B">
      <w:pPr>
        <w:rPr>
          <w:bCs/>
          <w:lang w:val="ru-RU"/>
        </w:rPr>
      </w:pPr>
      <w:bookmarkStart w:id="8" w:name="lt_pId027"/>
      <w:bookmarkEnd w:id="7"/>
      <w:r w:rsidRPr="002C6523">
        <w:rPr>
          <w:bCs/>
          <w:lang w:val="ru-RU"/>
        </w:rPr>
        <w:t xml:space="preserve">Генеральная Ассамблея Организации Объединенных Наций в ходе своей семьдесят шестой сессии в октябре 2021 года приняла </w:t>
      </w:r>
      <w:r w:rsidRPr="002C6523">
        <w:rPr>
          <w:b/>
          <w:lang w:val="ru-RU"/>
        </w:rPr>
        <w:t xml:space="preserve">Повестку дня </w:t>
      </w:r>
      <w:r w:rsidRPr="002C6523">
        <w:rPr>
          <w:bCs/>
          <w:lang w:val="ru-RU"/>
        </w:rPr>
        <w:t>"</w:t>
      </w:r>
      <w:r w:rsidRPr="002C6523">
        <w:rPr>
          <w:b/>
          <w:lang w:val="ru-RU"/>
        </w:rPr>
        <w:t>Космос-2030</w:t>
      </w:r>
      <w:r w:rsidRPr="002C6523">
        <w:rPr>
          <w:bCs/>
          <w:lang w:val="ru-RU"/>
        </w:rPr>
        <w:t>"</w:t>
      </w:r>
      <w:r w:rsidRPr="002C6523">
        <w:rPr>
          <w:b/>
          <w:lang w:val="ru-RU"/>
        </w:rPr>
        <w:t>: космос как двигатель устойчивого развития</w:t>
      </w:r>
      <w:r>
        <w:rPr>
          <w:bCs/>
          <w:lang w:val="ru-RU"/>
        </w:rPr>
        <w:t xml:space="preserve">, включающую </w:t>
      </w:r>
      <w:r w:rsidRPr="002C6523">
        <w:rPr>
          <w:bCs/>
          <w:lang w:val="ru-RU"/>
        </w:rPr>
        <w:t>четыр</w:t>
      </w:r>
      <w:r>
        <w:rPr>
          <w:bCs/>
          <w:lang w:val="ru-RU"/>
        </w:rPr>
        <w:t>е</w:t>
      </w:r>
      <w:r w:rsidRPr="002C6523">
        <w:rPr>
          <w:bCs/>
          <w:lang w:val="ru-RU"/>
        </w:rPr>
        <w:t xml:space="preserve"> общи</w:t>
      </w:r>
      <w:r>
        <w:rPr>
          <w:bCs/>
          <w:lang w:val="ru-RU"/>
        </w:rPr>
        <w:t>е</w:t>
      </w:r>
      <w:r w:rsidRPr="002C6523">
        <w:rPr>
          <w:bCs/>
          <w:lang w:val="ru-RU"/>
        </w:rPr>
        <w:t xml:space="preserve"> задачи:</w:t>
      </w:r>
      <w:bookmarkEnd w:id="8"/>
    </w:p>
    <w:p w14:paraId="7B225618" w14:textId="1FE70685" w:rsidR="00B42F5B" w:rsidRPr="002C6523" w:rsidRDefault="00B42F5B" w:rsidP="00B42F5B">
      <w:pPr>
        <w:pStyle w:val="enumlev1"/>
        <w:rPr>
          <w:lang w:val="ru-RU"/>
        </w:rPr>
      </w:pPr>
      <w:bookmarkStart w:id="9" w:name="lt_pId028"/>
      <w:r w:rsidRPr="002C6523">
        <w:rPr>
          <w:lang w:val="ru-RU"/>
        </w:rPr>
        <w:t>1</w:t>
      </w:r>
      <w:r w:rsidRPr="002C6523">
        <w:rPr>
          <w:lang w:val="ru-RU"/>
        </w:rPr>
        <w:tab/>
        <w:t>увеличение социально-экономических выгод от космической деятельности и усиление роли космического сектора как важного фактора устойчивого развития;</w:t>
      </w:r>
      <w:bookmarkEnd w:id="9"/>
    </w:p>
    <w:p w14:paraId="6F4DD040" w14:textId="7CF1ED63" w:rsidR="00B42F5B" w:rsidRPr="002C6523" w:rsidRDefault="00B42F5B" w:rsidP="00B42F5B">
      <w:pPr>
        <w:pStyle w:val="enumlev1"/>
        <w:rPr>
          <w:lang w:val="ru-RU"/>
        </w:rPr>
      </w:pPr>
      <w:bookmarkStart w:id="10" w:name="lt_pId029"/>
      <w:r w:rsidRPr="002C6523">
        <w:rPr>
          <w:lang w:val="ru-RU"/>
        </w:rPr>
        <w:t>2</w:t>
      </w:r>
      <w:r w:rsidRPr="002C6523">
        <w:rPr>
          <w:lang w:val="ru-RU"/>
        </w:rPr>
        <w:tab/>
        <w:t>использование потенциала космонавтики для решения повседневных проблем и космических инноваций для повышения качества жизни;</w:t>
      </w:r>
      <w:bookmarkEnd w:id="10"/>
    </w:p>
    <w:p w14:paraId="173B1912" w14:textId="682CDD55" w:rsidR="00B42F5B" w:rsidRPr="002C6523" w:rsidRDefault="00B42F5B" w:rsidP="00B42F5B">
      <w:pPr>
        <w:pStyle w:val="enumlev1"/>
        <w:rPr>
          <w:lang w:val="ru-RU"/>
        </w:rPr>
      </w:pPr>
      <w:r w:rsidRPr="002C6523">
        <w:rPr>
          <w:lang w:val="ru-RU"/>
        </w:rPr>
        <w:t>3</w:t>
      </w:r>
      <w:r w:rsidRPr="002C6523">
        <w:rPr>
          <w:lang w:val="ru-RU"/>
        </w:rPr>
        <w:tab/>
        <w:t>расширение доступа к космическому пространству для всех и обеспечение для всех стран возможностей для извлечения социально-экономических выгод из использования космической науки и техники, полученных с помощью космических технологий данных, информации и продуктов, и содействие тем самым достижению целей в области устойчивого развития;</w:t>
      </w:r>
    </w:p>
    <w:p w14:paraId="513D77B8" w14:textId="1C33F526" w:rsidR="00B42F5B" w:rsidRPr="002C6523" w:rsidRDefault="00B42F5B" w:rsidP="00B42F5B">
      <w:pPr>
        <w:pStyle w:val="enumlev1"/>
        <w:rPr>
          <w:lang w:val="ru-RU"/>
        </w:rPr>
      </w:pPr>
      <w:bookmarkStart w:id="11" w:name="lt_pId031"/>
      <w:r w:rsidRPr="002C6523">
        <w:rPr>
          <w:lang w:val="ru-RU"/>
        </w:rPr>
        <w:t>4</w:t>
      </w:r>
      <w:r w:rsidRPr="002C6523">
        <w:rPr>
          <w:lang w:val="ru-RU"/>
        </w:rPr>
        <w:tab/>
        <w:t>налаживание партнерских связей и расширение международного сотрудничества в области использования космического пространства в мирных целях и глобального управления космической деятельностью.</w:t>
      </w:r>
      <w:bookmarkEnd w:id="11"/>
    </w:p>
    <w:p w14:paraId="3E269FD1" w14:textId="77777777" w:rsidR="00B42F5B" w:rsidRPr="002C6523" w:rsidRDefault="00B42F5B" w:rsidP="00B42F5B">
      <w:pPr>
        <w:rPr>
          <w:bCs/>
          <w:lang w:val="ru-RU"/>
        </w:rPr>
      </w:pPr>
      <w:bookmarkStart w:id="12" w:name="lt_pId032"/>
      <w:r w:rsidRPr="002C6523">
        <w:rPr>
          <w:bCs/>
          <w:lang w:val="ru-RU"/>
        </w:rPr>
        <w:t xml:space="preserve">Для выполнения этих задач </w:t>
      </w:r>
      <w:r>
        <w:rPr>
          <w:bCs/>
          <w:lang w:val="ru-RU"/>
        </w:rPr>
        <w:t xml:space="preserve">в </w:t>
      </w:r>
      <w:r w:rsidRPr="002C6523">
        <w:rPr>
          <w:bCs/>
          <w:lang w:val="ru-RU"/>
        </w:rPr>
        <w:t>Повестк</w:t>
      </w:r>
      <w:r>
        <w:rPr>
          <w:bCs/>
          <w:lang w:val="ru-RU"/>
        </w:rPr>
        <w:t>е</w:t>
      </w:r>
      <w:r w:rsidRPr="002C6523">
        <w:rPr>
          <w:bCs/>
          <w:lang w:val="ru-RU"/>
        </w:rPr>
        <w:t xml:space="preserve"> дня "Космос-2030" </w:t>
      </w:r>
      <w:r>
        <w:rPr>
          <w:bCs/>
          <w:lang w:val="ru-RU"/>
        </w:rPr>
        <w:t xml:space="preserve">содержится </w:t>
      </w:r>
      <w:r w:rsidRPr="002C6523">
        <w:rPr>
          <w:bCs/>
          <w:lang w:val="ru-RU"/>
        </w:rPr>
        <w:t>призыв</w:t>
      </w:r>
      <w:r>
        <w:rPr>
          <w:bCs/>
          <w:lang w:val="ru-RU"/>
        </w:rPr>
        <w:t xml:space="preserve"> к</w:t>
      </w:r>
      <w:r w:rsidRPr="002C6523">
        <w:rPr>
          <w:bCs/>
          <w:lang w:val="ru-RU"/>
        </w:rPr>
        <w:t xml:space="preserve"> государства</w:t>
      </w:r>
      <w:r>
        <w:rPr>
          <w:bCs/>
          <w:lang w:val="ru-RU"/>
        </w:rPr>
        <w:t>м</w:t>
      </w:r>
      <w:r w:rsidRPr="002C6523">
        <w:rPr>
          <w:bCs/>
          <w:lang w:val="ru-RU"/>
        </w:rPr>
        <w:t>-член</w:t>
      </w:r>
      <w:r>
        <w:rPr>
          <w:bCs/>
          <w:lang w:val="ru-RU"/>
        </w:rPr>
        <w:t>ам</w:t>
      </w:r>
      <w:r w:rsidRPr="002C6523">
        <w:rPr>
          <w:bCs/>
          <w:lang w:val="ru-RU"/>
        </w:rPr>
        <w:t xml:space="preserve"> внести свой вклад посредством использования партнерств, инструментов и ресурсов.</w:t>
      </w:r>
    </w:p>
    <w:bookmarkEnd w:id="12"/>
    <w:p w14:paraId="4CE519DB" w14:textId="77777777" w:rsidR="00F4546D" w:rsidRPr="005B2BBD" w:rsidRDefault="00B42F5B" w:rsidP="00B42F5B">
      <w:pPr>
        <w:rPr>
          <w:bCs/>
          <w:lang w:val="ru-RU"/>
        </w:rPr>
      </w:pPr>
      <w:r w:rsidRPr="009D2202">
        <w:rPr>
          <w:b/>
          <w:lang w:val="ru-RU"/>
        </w:rPr>
        <w:t>Управление Организации Объединенных Наций по вопросам космического пространства (УВКП ООН)</w:t>
      </w:r>
      <w:r w:rsidRPr="002C6523">
        <w:rPr>
          <w:bCs/>
          <w:lang w:val="ru-RU"/>
        </w:rPr>
        <w:t xml:space="preserve"> выполняет функции секретариата КОПУОС и координирует выполнение Повестки дня "Космос-2030". </w:t>
      </w:r>
    </w:p>
    <w:p w14:paraId="6ACDE3D3" w14:textId="46CD4BE3" w:rsidR="00B42F5B" w:rsidRPr="002C6523" w:rsidRDefault="00B42F5B" w:rsidP="00B42F5B">
      <w:pPr>
        <w:rPr>
          <w:bCs/>
          <w:lang w:val="ru-RU"/>
        </w:rPr>
      </w:pPr>
      <w:r w:rsidRPr="002C6523">
        <w:rPr>
          <w:bCs/>
          <w:lang w:val="ru-RU"/>
        </w:rPr>
        <w:t xml:space="preserve">Полномочная конференция МСЭ 2022 года (ПК-22) признала, что МСЭ играет важную роль в выполнении поставленных в ней задач. В связи с этим ПК-22 приняла Резолюцию 218 (Бухарест, 2022 г.), в которой </w:t>
      </w:r>
      <w:r w:rsidRPr="002C6523">
        <w:rPr>
          <w:bCs/>
          <w:i/>
          <w:lang w:val="ru-RU"/>
        </w:rPr>
        <w:t>постановила</w:t>
      </w:r>
      <w:r w:rsidRPr="002C6523">
        <w:rPr>
          <w:bCs/>
          <w:lang w:val="ru-RU"/>
        </w:rPr>
        <w:t>:</w:t>
      </w:r>
    </w:p>
    <w:p w14:paraId="77A9F9C1" w14:textId="10508288" w:rsidR="00B42F5B" w:rsidRPr="002C6523" w:rsidRDefault="00B42F5B" w:rsidP="00B42F5B">
      <w:pPr>
        <w:pStyle w:val="enumlev1"/>
        <w:rPr>
          <w:lang w:val="ru-RU"/>
        </w:rPr>
      </w:pPr>
      <w:bookmarkStart w:id="13" w:name="lt_pId038"/>
      <w:r w:rsidRPr="002C6523">
        <w:rPr>
          <w:lang w:val="ru-RU"/>
        </w:rPr>
        <w:t>1</w:t>
      </w:r>
      <w:r w:rsidRPr="002C6523">
        <w:rPr>
          <w:lang w:val="ru-RU"/>
        </w:rPr>
        <w:tab/>
        <w:t>что МСЭ следует поддерживать осуществление Повестки дня "Космос-2030", особенно тех частей, которые касаются космических служб, общей задачи 3, упомянутой в пункте </w:t>
      </w:r>
      <w:r w:rsidRPr="002C6523">
        <w:rPr>
          <w:i/>
          <w:iCs/>
          <w:lang w:val="ru-RU"/>
        </w:rPr>
        <w:t>b)</w:t>
      </w:r>
      <w:r w:rsidRPr="002C6523">
        <w:rPr>
          <w:lang w:val="ru-RU"/>
        </w:rPr>
        <w:t xml:space="preserve"> раздела </w:t>
      </w:r>
      <w:r w:rsidRPr="002C6523">
        <w:rPr>
          <w:i/>
          <w:lang w:val="ru-RU"/>
        </w:rPr>
        <w:t>напоминая</w:t>
      </w:r>
      <w:r w:rsidRPr="002C6523">
        <w:rPr>
          <w:lang w:val="ru-RU"/>
        </w:rPr>
        <w:t>, принимая во внимание уникальную роль МСЭ в отношении доступа к радиочастотному спектру и соответствующим спутниковым орбитам в соответствии со Статьей 44 Устава;</w:t>
      </w:r>
    </w:p>
    <w:p w14:paraId="4EDF54BA" w14:textId="7BAC5912" w:rsidR="00B42F5B" w:rsidRPr="002C6523" w:rsidRDefault="00B42F5B" w:rsidP="00B42F5B">
      <w:pPr>
        <w:pStyle w:val="enumlev1"/>
        <w:rPr>
          <w:lang w:val="ru-RU"/>
        </w:rPr>
      </w:pPr>
      <w:r w:rsidRPr="002C6523">
        <w:rPr>
          <w:lang w:val="ru-RU"/>
        </w:rPr>
        <w:t>2</w:t>
      </w:r>
      <w:r w:rsidRPr="002C6523">
        <w:rPr>
          <w:lang w:val="ru-RU"/>
        </w:rPr>
        <w:tab/>
        <w:t xml:space="preserve">что при выполнении пункта 1 раздела </w:t>
      </w:r>
      <w:r w:rsidRPr="002C6523">
        <w:rPr>
          <w:i/>
          <w:lang w:val="ru-RU"/>
        </w:rPr>
        <w:t>решает</w:t>
      </w:r>
      <w:r w:rsidRPr="002C6523">
        <w:rPr>
          <w:lang w:val="ru-RU"/>
        </w:rPr>
        <w:t>, выше, необходимо использовать потенциал регионального присутствия МСЭ и уделять особое внимание развивающимся странам, наименее развитым странам (НРС), малым островным развивающимся государствам (СИДС) и развивающимся странам, не имеющим выхода в морю (ЛЛДС);</w:t>
      </w:r>
    </w:p>
    <w:p w14:paraId="68C247E6" w14:textId="1DE1F430" w:rsidR="00B42F5B" w:rsidRPr="002C6523" w:rsidRDefault="00B42F5B" w:rsidP="00B42F5B">
      <w:pPr>
        <w:pStyle w:val="enumlev1"/>
        <w:rPr>
          <w:lang w:val="ru-RU"/>
        </w:rPr>
      </w:pPr>
      <w:r w:rsidRPr="002C6523">
        <w:rPr>
          <w:lang w:val="ru-RU"/>
        </w:rPr>
        <w:t>3</w:t>
      </w:r>
      <w:r w:rsidRPr="002C6523">
        <w:rPr>
          <w:lang w:val="ru-RU"/>
        </w:rPr>
        <w:tab/>
        <w:t>что Бюро радиосвязи (БР) и Бюро развития электросвязи МСЭ продолжают оказывать помощь развивающимся странам, НРС, СИДС и ЛЛДС в доступе к радиочастотному спектру и связанным с ним спутниковым орбитам, в частности, для выполнения задач Повестки дня "Космос-2030".</w:t>
      </w:r>
    </w:p>
    <w:p w14:paraId="004D24B7" w14:textId="77777777" w:rsidR="00B42F5B" w:rsidRPr="002C6523" w:rsidRDefault="00B42F5B" w:rsidP="00B42F5B">
      <w:pPr>
        <w:pStyle w:val="Headingb"/>
        <w:rPr>
          <w:lang w:val="ru-RU"/>
        </w:rPr>
      </w:pPr>
      <w:r w:rsidRPr="002C6523">
        <w:rPr>
          <w:lang w:val="ru-RU"/>
        </w:rPr>
        <w:t>Представление отчетности о выполнении МСЭ Повестки дня "Космос-2030"</w:t>
      </w:r>
    </w:p>
    <w:p w14:paraId="2A863202" w14:textId="77777777" w:rsidR="00B42F5B" w:rsidRPr="002C6523" w:rsidRDefault="00B42F5B" w:rsidP="00B42F5B">
      <w:pPr>
        <w:rPr>
          <w:bCs/>
          <w:lang w:val="ru-RU"/>
        </w:rPr>
      </w:pPr>
      <w:bookmarkStart w:id="14" w:name="lt_pId039"/>
      <w:bookmarkEnd w:id="13"/>
      <w:r w:rsidRPr="002C6523">
        <w:rPr>
          <w:bCs/>
          <w:lang w:val="ru-RU"/>
        </w:rPr>
        <w:t>В соответствии с Резолюцией 218 (Бухарест, 2022 г.) Генеральному секретарю МСЭ и Директорам Бюро было поручено, в частности, следующее:</w:t>
      </w:r>
    </w:p>
    <w:p w14:paraId="79395309" w14:textId="77777777" w:rsidR="00B42F5B" w:rsidRPr="002C6523" w:rsidRDefault="00B42F5B" w:rsidP="00B42F5B">
      <w:pPr>
        <w:pStyle w:val="enumlev1"/>
        <w:rPr>
          <w:lang w:val="ru-RU"/>
        </w:rPr>
      </w:pPr>
      <w:bookmarkStart w:id="15" w:name="lt_pId043"/>
      <w:bookmarkEnd w:id="14"/>
      <w:r w:rsidRPr="002C6523">
        <w:rPr>
          <w:bCs/>
          <w:lang w:val="ru-RU"/>
        </w:rPr>
        <w:lastRenderedPageBreak/>
        <w:t>1)</w:t>
      </w:r>
      <w:r w:rsidRPr="002C6523">
        <w:rPr>
          <w:bCs/>
          <w:lang w:val="ru-RU"/>
        </w:rPr>
        <w:tab/>
        <w:t xml:space="preserve">ежегодно представлять Совету МСЭ всеобъемлющий отчет о состоянии Планов, регулируемых Приложениями </w:t>
      </w:r>
      <w:r w:rsidRPr="002C6523">
        <w:rPr>
          <w:b/>
          <w:lang w:val="ru-RU"/>
        </w:rPr>
        <w:t>30</w:t>
      </w:r>
      <w:r w:rsidRPr="002C6523">
        <w:rPr>
          <w:bCs/>
          <w:lang w:val="ru-RU"/>
        </w:rPr>
        <w:t xml:space="preserve">, </w:t>
      </w:r>
      <w:r w:rsidRPr="002C6523">
        <w:rPr>
          <w:b/>
          <w:lang w:val="ru-RU"/>
        </w:rPr>
        <w:t>30А</w:t>
      </w:r>
      <w:r w:rsidRPr="002C6523">
        <w:rPr>
          <w:bCs/>
          <w:lang w:val="ru-RU"/>
        </w:rPr>
        <w:t xml:space="preserve"> и </w:t>
      </w:r>
      <w:r w:rsidRPr="002C6523">
        <w:rPr>
          <w:b/>
          <w:lang w:val="ru-RU"/>
        </w:rPr>
        <w:t>30В</w:t>
      </w:r>
      <w:r w:rsidRPr="002C6523">
        <w:rPr>
          <w:bCs/>
          <w:lang w:val="ru-RU"/>
        </w:rPr>
        <w:t xml:space="preserve"> к Регламенту радиосвязи, с указанием положения развивающихся стран и любых проблем, связанных с выполнением этих Планов, таких как изменение эталонной </w:t>
      </w:r>
      <w:r w:rsidRPr="002C6523">
        <w:rPr>
          <w:lang w:val="ru-RU"/>
        </w:rPr>
        <w:t xml:space="preserve">ситуации различных частотных присвоений и выделений, включая любые трудности и проблемы, с которыми столкнулось БР при реализации этих Планов, а также проблемы, о которых администрации сообщили БР; </w:t>
      </w:r>
      <w:bookmarkStart w:id="16" w:name="_Hlk137629383"/>
      <w:r w:rsidRPr="002C6523">
        <w:rPr>
          <w:lang w:val="ru-RU"/>
        </w:rPr>
        <w:t xml:space="preserve">(пункт 2 раздела </w:t>
      </w:r>
      <w:r w:rsidRPr="002C6523">
        <w:rPr>
          <w:i/>
          <w:iCs/>
          <w:lang w:val="ru-RU"/>
        </w:rPr>
        <w:t>поручает</w:t>
      </w:r>
      <w:r w:rsidRPr="002C6523">
        <w:rPr>
          <w:lang w:val="ru-RU"/>
        </w:rPr>
        <w:t>)</w:t>
      </w:r>
      <w:bookmarkEnd w:id="16"/>
      <w:r w:rsidRPr="002C6523">
        <w:rPr>
          <w:lang w:val="ru-RU"/>
        </w:rPr>
        <w:t>;</w:t>
      </w:r>
    </w:p>
    <w:p w14:paraId="27338678" w14:textId="77777777" w:rsidR="00B42F5B" w:rsidRPr="002C6523" w:rsidRDefault="00B42F5B" w:rsidP="00B42F5B">
      <w:pPr>
        <w:pStyle w:val="enumlev1"/>
        <w:rPr>
          <w:lang w:val="ru-RU"/>
        </w:rPr>
      </w:pPr>
      <w:r w:rsidRPr="002C6523">
        <w:rPr>
          <w:lang w:val="ru-RU"/>
        </w:rPr>
        <w:t>2)</w:t>
      </w:r>
      <w:r w:rsidRPr="002C6523">
        <w:rPr>
          <w:lang w:val="ru-RU"/>
        </w:rPr>
        <w:tab/>
        <w:t xml:space="preserve">ежегодно представлять Совету отчет о роли МСЭ в осуществлении Повестки дня "Космос-2030"; (пункт 3 раздела </w:t>
      </w:r>
      <w:r w:rsidRPr="002C6523">
        <w:rPr>
          <w:i/>
          <w:iCs/>
          <w:lang w:val="ru-RU"/>
        </w:rPr>
        <w:t>поручает</w:t>
      </w:r>
      <w:r w:rsidRPr="002C6523">
        <w:rPr>
          <w:lang w:val="ru-RU"/>
        </w:rPr>
        <w:t>);</w:t>
      </w:r>
    </w:p>
    <w:p w14:paraId="7EBA695B" w14:textId="77777777" w:rsidR="00B42F5B" w:rsidRPr="002C6523" w:rsidRDefault="00B42F5B" w:rsidP="00B42F5B">
      <w:pPr>
        <w:pStyle w:val="enumlev1"/>
        <w:rPr>
          <w:bCs/>
          <w:lang w:val="ru-RU"/>
        </w:rPr>
      </w:pPr>
      <w:r w:rsidRPr="002C6523">
        <w:rPr>
          <w:lang w:val="ru-RU"/>
        </w:rPr>
        <w:t>3)</w:t>
      </w:r>
      <w:r w:rsidRPr="002C6523">
        <w:rPr>
          <w:lang w:val="ru-RU"/>
        </w:rPr>
        <w:tab/>
        <w:t>представлять Совету отчеты о сессиях Межучрежденческого совещания Организации Объединенных Наций по</w:t>
      </w:r>
      <w:r w:rsidRPr="002C6523">
        <w:rPr>
          <w:bCs/>
          <w:lang w:val="ru-RU"/>
        </w:rPr>
        <w:t xml:space="preserve"> космической деятельности (ООН-Космос) и осуществляемых мерах для содействия синергии и недопущения дублирования усилий, связанных с использованием космических технологий (пункт 8 раздела </w:t>
      </w:r>
      <w:r w:rsidRPr="002C6523">
        <w:rPr>
          <w:bCs/>
          <w:i/>
          <w:iCs/>
          <w:lang w:val="ru-RU"/>
        </w:rPr>
        <w:t>поручает</w:t>
      </w:r>
      <w:r w:rsidRPr="002C6523">
        <w:rPr>
          <w:bCs/>
          <w:lang w:val="ru-RU"/>
        </w:rPr>
        <w:t>).</w:t>
      </w:r>
    </w:p>
    <w:p w14:paraId="5068B800" w14:textId="555A85C1" w:rsidR="00B42F5B" w:rsidRPr="002C6523" w:rsidRDefault="00B42F5B" w:rsidP="00B42F5B">
      <w:pPr>
        <w:rPr>
          <w:lang w:val="ru-RU"/>
        </w:rPr>
      </w:pPr>
      <w:r w:rsidRPr="002C6523">
        <w:rPr>
          <w:lang w:val="ru-RU"/>
        </w:rPr>
        <w:t xml:space="preserve">Отчеты по каждому из вышеуказанных вопросов представлены в </w:t>
      </w:r>
      <w:r w:rsidRPr="002C6523">
        <w:rPr>
          <w:szCs w:val="22"/>
          <w:lang w:val="ru-RU"/>
        </w:rPr>
        <w:t>Приложениях </w:t>
      </w:r>
      <w:hyperlink w:anchor="Annex1" w:history="1">
        <w:r w:rsidRPr="00F4546D">
          <w:rPr>
            <w:rStyle w:val="Hyperlink"/>
            <w:rFonts w:cstheme="minorHAnsi"/>
            <w:b/>
            <w:szCs w:val="22"/>
            <w:lang w:val="ru-RU"/>
          </w:rPr>
          <w:t>1</w:t>
        </w:r>
      </w:hyperlink>
      <w:r w:rsidRPr="002C6523">
        <w:rPr>
          <w:szCs w:val="22"/>
          <w:lang w:val="ru-RU"/>
        </w:rPr>
        <w:t xml:space="preserve">, </w:t>
      </w:r>
      <w:hyperlink w:anchor="Annex2" w:history="1">
        <w:r w:rsidRPr="00F4546D">
          <w:rPr>
            <w:rStyle w:val="Hyperlink"/>
            <w:rFonts w:cstheme="minorHAnsi"/>
            <w:b/>
            <w:szCs w:val="22"/>
            <w:lang w:val="ru-RU"/>
          </w:rPr>
          <w:t>2</w:t>
        </w:r>
      </w:hyperlink>
      <w:r w:rsidRPr="002C6523">
        <w:rPr>
          <w:szCs w:val="22"/>
          <w:lang w:val="ru-RU"/>
        </w:rPr>
        <w:t xml:space="preserve"> и </w:t>
      </w:r>
      <w:hyperlink w:anchor="Annex3" w:history="1">
        <w:r w:rsidRPr="00F4546D">
          <w:rPr>
            <w:rStyle w:val="Hyperlink"/>
            <w:rFonts w:cstheme="minorHAnsi"/>
            <w:b/>
            <w:szCs w:val="22"/>
            <w:lang w:val="ru-RU"/>
          </w:rPr>
          <w:t>3</w:t>
        </w:r>
      </w:hyperlink>
      <w:r w:rsidRPr="002C6523">
        <w:rPr>
          <w:szCs w:val="22"/>
          <w:lang w:val="ru-RU"/>
        </w:rPr>
        <w:t xml:space="preserve"> к</w:t>
      </w:r>
      <w:r w:rsidRPr="002C6523">
        <w:rPr>
          <w:lang w:val="ru-RU"/>
        </w:rPr>
        <w:t xml:space="preserve"> настоящему документу, соответственно.</w:t>
      </w:r>
    </w:p>
    <w:p w14:paraId="5C67C039" w14:textId="77777777" w:rsidR="00B42F5B" w:rsidRPr="002C6523" w:rsidRDefault="00B42F5B" w:rsidP="00B42F5B">
      <w:pPr>
        <w:pStyle w:val="Headingb"/>
        <w:rPr>
          <w:sz w:val="24"/>
          <w:lang w:val="ru-RU"/>
        </w:rPr>
      </w:pPr>
      <w:bookmarkStart w:id="17" w:name="_Hlk165533456"/>
      <w:bookmarkStart w:id="18" w:name="lt_pId045"/>
      <w:bookmarkEnd w:id="15"/>
      <w:r w:rsidRPr="002C6523">
        <w:rPr>
          <w:lang w:val="ru-RU"/>
        </w:rPr>
        <w:t xml:space="preserve">Основные моменты недавно проведенной и планируемой деятельности МСЭ </w:t>
      </w:r>
    </w:p>
    <w:p w14:paraId="13463DF3" w14:textId="6F8456CA" w:rsidR="00B42F5B" w:rsidRPr="00B42F5B" w:rsidRDefault="00B42F5B" w:rsidP="00B42F5B">
      <w:pPr>
        <w:pStyle w:val="enumlev1"/>
        <w:rPr>
          <w:lang w:val="ru-RU"/>
        </w:rPr>
      </w:pPr>
      <w:r w:rsidRPr="00B42F5B">
        <w:rPr>
          <w:lang w:val="ru-RU"/>
        </w:rPr>
        <w:t>•</w:t>
      </w:r>
      <w:r w:rsidRPr="00B42F5B">
        <w:rPr>
          <w:lang w:val="ru-RU"/>
        </w:rPr>
        <w:tab/>
        <w:t xml:space="preserve">В рамках Форума высокого уровня ВВУИО+20 организована </w:t>
      </w:r>
      <w:hyperlink r:id="rId10" w:history="1">
        <w:r w:rsidRPr="00B42F5B">
          <w:rPr>
            <w:rStyle w:val="Hyperlink"/>
            <w:lang w:val="ru-RU"/>
          </w:rPr>
          <w:t>сессия</w:t>
        </w:r>
      </w:hyperlink>
      <w:r w:rsidRPr="00B42F5B">
        <w:rPr>
          <w:lang w:val="ru-RU"/>
        </w:rPr>
        <w:t>, посвященная использованию космических технологий и применений для устойчивого развития, в целях содействия диалогу высокого уровня и росту осведомленности о возможностях, предлагаемых космическими системами.</w:t>
      </w:r>
    </w:p>
    <w:p w14:paraId="08C354B2" w14:textId="79BB29F5" w:rsidR="00B42F5B" w:rsidRPr="00B42F5B" w:rsidRDefault="00B42F5B" w:rsidP="00B42F5B">
      <w:pPr>
        <w:pStyle w:val="enumlev1"/>
        <w:rPr>
          <w:lang w:val="ru-RU"/>
        </w:rPr>
      </w:pPr>
      <w:r w:rsidRPr="00B42F5B">
        <w:rPr>
          <w:lang w:val="ru-RU"/>
        </w:rPr>
        <w:t>•</w:t>
      </w:r>
      <w:r w:rsidRPr="00B42F5B">
        <w:rPr>
          <w:lang w:val="ru-RU"/>
        </w:rPr>
        <w:tab/>
        <w:t xml:space="preserve">Аналогичным образом, во время Глобального симпозиума для регуляторных органов 2024 года пройдут </w:t>
      </w:r>
      <w:hyperlink r:id="rId11" w:anchor="/ru" w:history="1">
        <w:r w:rsidRPr="00B42F5B">
          <w:rPr>
            <w:rStyle w:val="Hyperlink"/>
            <w:lang w:val="ru-RU"/>
          </w:rPr>
          <w:t>сессия по космическо</w:t>
        </w:r>
        <w:r w:rsidRPr="00B42F5B">
          <w:rPr>
            <w:rStyle w:val="Hyperlink"/>
            <w:lang w:val="ru-RU"/>
          </w:rPr>
          <w:t>й</w:t>
        </w:r>
        <w:r w:rsidRPr="00B42F5B">
          <w:rPr>
            <w:rStyle w:val="Hyperlink"/>
            <w:lang w:val="ru-RU"/>
          </w:rPr>
          <w:t xml:space="preserve"> экономике</w:t>
        </w:r>
      </w:hyperlink>
      <w:r w:rsidRPr="00B42F5B">
        <w:rPr>
          <w:lang w:val="ru-RU"/>
        </w:rPr>
        <w:t xml:space="preserve"> и </w:t>
      </w:r>
      <w:hyperlink r:id="rId12" w:anchor="/ru" w:history="1">
        <w:r w:rsidRPr="00B42F5B">
          <w:rPr>
            <w:rStyle w:val="Hyperlink"/>
            <w:lang w:val="ru-RU"/>
          </w:rPr>
          <w:t>семин</w:t>
        </w:r>
        <w:r w:rsidRPr="00B42F5B">
          <w:rPr>
            <w:rStyle w:val="Hyperlink"/>
            <w:lang w:val="ru-RU"/>
          </w:rPr>
          <w:t>а</w:t>
        </w:r>
        <w:r w:rsidRPr="00B42F5B">
          <w:rPr>
            <w:rStyle w:val="Hyperlink"/>
            <w:lang w:val="ru-RU"/>
          </w:rPr>
          <w:t>р-практикум по инструментам устойчивой деятельности в космосе</w:t>
        </w:r>
      </w:hyperlink>
      <w:r w:rsidRPr="00B42F5B">
        <w:rPr>
          <w:lang w:val="ru-RU"/>
        </w:rPr>
        <w:t xml:space="preserve">. </w:t>
      </w:r>
    </w:p>
    <w:p w14:paraId="4894D3BB" w14:textId="77777777" w:rsidR="00B42F5B" w:rsidRPr="005B2BBD" w:rsidRDefault="00B42F5B" w:rsidP="00B42F5B">
      <w:pPr>
        <w:pStyle w:val="enumlev1"/>
        <w:rPr>
          <w:lang w:val="ru-RU"/>
        </w:rPr>
      </w:pPr>
      <w:r w:rsidRPr="005B2BBD">
        <w:rPr>
          <w:lang w:val="ru-RU"/>
        </w:rPr>
        <w:t>•</w:t>
      </w:r>
      <w:r w:rsidRPr="005B2BBD">
        <w:rPr>
          <w:lang w:val="ru-RU"/>
        </w:rPr>
        <w:tab/>
        <w:t xml:space="preserve">На Ассамблее радиосвязи 2023 года была принята </w:t>
      </w:r>
      <w:hyperlink r:id="rId13" w:history="1">
        <w:r w:rsidRPr="005B2BBD">
          <w:rPr>
            <w:rStyle w:val="Hyperlink"/>
            <w:lang w:val="ru-RU"/>
          </w:rPr>
          <w:t xml:space="preserve">Резолюция </w:t>
        </w:r>
        <w:r w:rsidRPr="005B2BBD">
          <w:rPr>
            <w:rStyle w:val="Hyperlink"/>
            <w:lang w:val="ru-RU"/>
          </w:rPr>
          <w:t>М</w:t>
        </w:r>
        <w:r w:rsidRPr="005B2BBD">
          <w:rPr>
            <w:rStyle w:val="Hyperlink"/>
            <w:lang w:val="ru-RU"/>
          </w:rPr>
          <w:t>СЭ-</w:t>
        </w:r>
        <w:r w:rsidRPr="00B42F5B">
          <w:rPr>
            <w:rStyle w:val="Hyperlink"/>
          </w:rPr>
          <w:t>R</w:t>
        </w:r>
        <w:r w:rsidRPr="005B2BBD">
          <w:rPr>
            <w:rStyle w:val="Hyperlink"/>
            <w:lang w:val="ru-RU"/>
          </w:rPr>
          <w:t xml:space="preserve"> 74</w:t>
        </w:r>
      </w:hyperlink>
      <w:r w:rsidRPr="005B2BBD">
        <w:rPr>
          <w:lang w:val="ru-RU"/>
        </w:rPr>
        <w:t xml:space="preserve"> о деятельности в области устойчивого использования ресурсов радиочастотного спектра и связанных с ним спутниковых орбит космическими службами. </w:t>
      </w:r>
    </w:p>
    <w:p w14:paraId="108B8713" w14:textId="1598B359" w:rsidR="00B42F5B" w:rsidRPr="00B42F5B" w:rsidRDefault="00B42F5B" w:rsidP="00B42F5B">
      <w:pPr>
        <w:pStyle w:val="enumlev1"/>
        <w:rPr>
          <w:lang w:val="ru-RU"/>
        </w:rPr>
      </w:pPr>
      <w:r w:rsidRPr="00B42F5B">
        <w:rPr>
          <w:lang w:val="ru-RU"/>
        </w:rPr>
        <w:t>•</w:t>
      </w:r>
      <w:r w:rsidRPr="00B42F5B">
        <w:rPr>
          <w:lang w:val="ru-RU"/>
        </w:rPr>
        <w:tab/>
        <w:t xml:space="preserve">В соответствии с указанной </w:t>
      </w:r>
      <w:r w:rsidR="00433C30">
        <w:rPr>
          <w:lang w:val="ru-RU"/>
        </w:rPr>
        <w:t>р</w:t>
      </w:r>
      <w:r w:rsidRPr="00B42F5B">
        <w:rPr>
          <w:lang w:val="ru-RU"/>
        </w:rPr>
        <w:t xml:space="preserve">езолюцией была разработана специальная веб-страница </w:t>
      </w:r>
      <w:hyperlink r:id="rId14" w:history="1">
        <w:r w:rsidRPr="00B42F5B">
          <w:rPr>
            <w:rStyle w:val="Hyperlink"/>
          </w:rPr>
          <w:t>Space</w:t>
        </w:r>
        <w:r w:rsidRPr="00B42F5B">
          <w:rPr>
            <w:rStyle w:val="Hyperlink"/>
            <w:lang w:val="ru-RU"/>
          </w:rPr>
          <w:t xml:space="preserve"> </w:t>
        </w:r>
        <w:r w:rsidRPr="00B42F5B">
          <w:rPr>
            <w:rStyle w:val="Hyperlink"/>
          </w:rPr>
          <w:t>Sustainability</w:t>
        </w:r>
        <w:r w:rsidRPr="00B42F5B">
          <w:rPr>
            <w:rStyle w:val="Hyperlink"/>
            <w:lang w:val="ru-RU"/>
          </w:rPr>
          <w:t xml:space="preserve"> </w:t>
        </w:r>
        <w:r w:rsidRPr="00B42F5B">
          <w:rPr>
            <w:rStyle w:val="Hyperlink"/>
          </w:rPr>
          <w:t>Gateway</w:t>
        </w:r>
      </w:hyperlink>
      <w:r w:rsidRPr="00B42F5B">
        <w:rPr>
          <w:lang w:val="ru-RU"/>
        </w:rPr>
        <w:t xml:space="preserve"> (Портал устойчивой деятельности в космическом пространстве) с открытым доступом. </w:t>
      </w:r>
    </w:p>
    <w:p w14:paraId="53C9AB15" w14:textId="77777777" w:rsidR="00B42F5B" w:rsidRPr="005B2BBD" w:rsidRDefault="00B42F5B" w:rsidP="00B42F5B">
      <w:pPr>
        <w:pStyle w:val="enumlev1"/>
        <w:rPr>
          <w:lang w:val="ru-RU"/>
        </w:rPr>
      </w:pPr>
      <w:r w:rsidRPr="005B2BBD">
        <w:rPr>
          <w:lang w:val="ru-RU"/>
        </w:rPr>
        <w:t>•</w:t>
      </w:r>
      <w:r w:rsidRPr="005B2BBD">
        <w:rPr>
          <w:lang w:val="ru-RU"/>
        </w:rPr>
        <w:tab/>
        <w:t xml:space="preserve">Одновременно было выпущено </w:t>
      </w:r>
      <w:hyperlink r:id="rId15" w:history="1">
        <w:r w:rsidRPr="005B2BBD">
          <w:rPr>
            <w:rStyle w:val="Hyperlink"/>
            <w:lang w:val="ru-RU"/>
          </w:rPr>
          <w:t xml:space="preserve">Циркулярное письмо </w:t>
        </w:r>
        <w:r w:rsidRPr="00B42F5B">
          <w:rPr>
            <w:rStyle w:val="Hyperlink"/>
          </w:rPr>
          <w:t>CA</w:t>
        </w:r>
        <w:r w:rsidRPr="005B2BBD">
          <w:rPr>
            <w:rStyle w:val="Hyperlink"/>
            <w:lang w:val="ru-RU"/>
          </w:rPr>
          <w:t>/272</w:t>
        </w:r>
      </w:hyperlink>
      <w:r w:rsidRPr="005B2BBD">
        <w:rPr>
          <w:lang w:val="ru-RU"/>
        </w:rPr>
        <w:t xml:space="preserve">, в котором всем членам МСЭ предлагается предоставить информацию в целях развития контента Портала устойчивой деятельности в космическом пространстве. Получены и опубликованы первые ответы. Членам МСЭ предлагается продолжить предоставлять соответствующую информацию по этой теме. </w:t>
      </w:r>
    </w:p>
    <w:p w14:paraId="7AB533E5" w14:textId="7C0A420F" w:rsidR="00B42F5B" w:rsidRPr="00B42F5B" w:rsidRDefault="00B42F5B" w:rsidP="00B42F5B">
      <w:pPr>
        <w:pStyle w:val="enumlev1"/>
        <w:rPr>
          <w:lang w:val="ru-RU"/>
        </w:rPr>
      </w:pPr>
      <w:r w:rsidRPr="00B42F5B">
        <w:rPr>
          <w:lang w:val="ru-RU"/>
        </w:rPr>
        <w:t>•</w:t>
      </w:r>
      <w:r w:rsidRPr="00B42F5B">
        <w:rPr>
          <w:lang w:val="ru-RU"/>
        </w:rPr>
        <w:tab/>
        <w:t xml:space="preserve">В период 10−11 сентября 2024 года планируется проведение Форума для рассмотрения первых ответов на это циркулярное письмо. </w:t>
      </w:r>
      <w:bookmarkEnd w:id="17"/>
    </w:p>
    <w:p w14:paraId="2BBA5DD3" w14:textId="77777777" w:rsidR="00B42F5B" w:rsidRPr="002C6523" w:rsidRDefault="00B42F5B" w:rsidP="00B42F5B">
      <w:pPr>
        <w:spacing w:before="1440"/>
        <w:rPr>
          <w:bCs/>
          <w:lang w:val="ru-RU"/>
        </w:rPr>
      </w:pPr>
      <w:bookmarkStart w:id="19" w:name="lt_pId046"/>
      <w:bookmarkEnd w:id="18"/>
      <w:r w:rsidRPr="002C6523">
        <w:rPr>
          <w:b/>
          <w:bCs/>
          <w:lang w:val="ru-RU"/>
        </w:rPr>
        <w:t>Приложения</w:t>
      </w:r>
      <w:r w:rsidRPr="002C6523">
        <w:rPr>
          <w:bCs/>
          <w:lang w:val="ru-RU"/>
        </w:rPr>
        <w:t>: 3</w:t>
      </w:r>
      <w:bookmarkEnd w:id="19"/>
    </w:p>
    <w:p w14:paraId="27AE2DF0" w14:textId="77777777" w:rsidR="00B42F5B" w:rsidRPr="002C6523" w:rsidRDefault="00B42F5B" w:rsidP="00B42F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C6523">
        <w:rPr>
          <w:lang w:val="ru-RU"/>
        </w:rPr>
        <w:br w:type="page"/>
      </w:r>
    </w:p>
    <w:p w14:paraId="60251233" w14:textId="77777777" w:rsidR="00B42F5B" w:rsidRPr="002C6523" w:rsidRDefault="00B42F5B" w:rsidP="00B42F5B">
      <w:pPr>
        <w:pStyle w:val="AnnexNo"/>
        <w:rPr>
          <w:lang w:val="ru-RU"/>
        </w:rPr>
      </w:pPr>
      <w:bookmarkStart w:id="20" w:name="Annex1"/>
      <w:r w:rsidRPr="002C6523">
        <w:rPr>
          <w:lang w:val="ru-RU"/>
        </w:rPr>
        <w:lastRenderedPageBreak/>
        <w:t>ПРИЛОЖЕНИЕ 1</w:t>
      </w:r>
      <w:bookmarkEnd w:id="20"/>
    </w:p>
    <w:p w14:paraId="09380958" w14:textId="77777777" w:rsidR="00B42F5B" w:rsidRPr="002C6523" w:rsidRDefault="00B42F5B" w:rsidP="00B42F5B">
      <w:pPr>
        <w:pStyle w:val="Annextitle"/>
        <w:rPr>
          <w:lang w:val="ru-RU"/>
        </w:rPr>
      </w:pPr>
      <w:r w:rsidRPr="002C6523">
        <w:rPr>
          <w:bCs/>
          <w:lang w:val="ru-RU"/>
        </w:rPr>
        <w:t>Состояние</w:t>
      </w:r>
      <w:r w:rsidRPr="002C6523">
        <w:rPr>
          <w:lang w:val="ru-RU"/>
        </w:rPr>
        <w:t xml:space="preserve"> Планов, регулируемых Приложениями 30, 30А и 30В </w:t>
      </w:r>
      <w:r w:rsidRPr="002C6523">
        <w:rPr>
          <w:lang w:val="ru-RU"/>
        </w:rPr>
        <w:br/>
        <w:t>к Регламенту радиосвязи</w:t>
      </w:r>
    </w:p>
    <w:p w14:paraId="45CB2E24" w14:textId="77777777" w:rsidR="00B42F5B" w:rsidRPr="002C6523" w:rsidRDefault="00B42F5B" w:rsidP="00B42F5B">
      <w:pPr>
        <w:pStyle w:val="Headingb"/>
        <w:rPr>
          <w:lang w:val="ru-RU"/>
        </w:rPr>
      </w:pPr>
      <w:r w:rsidRPr="002C6523">
        <w:rPr>
          <w:lang w:val="ru-RU"/>
        </w:rPr>
        <w:t>Введение</w:t>
      </w:r>
    </w:p>
    <w:p w14:paraId="1EB5E542" w14:textId="77777777" w:rsidR="00B42F5B" w:rsidRPr="002C6523" w:rsidRDefault="00B42F5B" w:rsidP="00B42F5B">
      <w:pPr>
        <w:rPr>
          <w:lang w:val="ru-RU"/>
        </w:rPr>
      </w:pPr>
      <w:r w:rsidRPr="002C6523">
        <w:rPr>
          <w:bCs/>
          <w:lang w:val="ru-RU"/>
        </w:rPr>
        <w:t>В Резолюции 218 "</w:t>
      </w:r>
      <w:r w:rsidRPr="002C6523">
        <w:rPr>
          <w:bCs/>
          <w:i/>
          <w:lang w:val="ru-RU"/>
        </w:rPr>
        <w:t>Роль МСЭ в осуществлении "Повестки дня "Космос-2030": космос как двигатель устойчивого развития</w:t>
      </w:r>
      <w:r w:rsidRPr="002C6523">
        <w:rPr>
          <w:bCs/>
          <w:lang w:val="ru-RU"/>
        </w:rPr>
        <w:t>", а также в процессе последующей деятельности и анализа" поручается Генеральному секретарю и Директорам Бюро "</w:t>
      </w:r>
      <w:r w:rsidRPr="002C6523">
        <w:rPr>
          <w:lang w:val="ru-RU"/>
        </w:rPr>
        <w:t xml:space="preserve">ежегодно представлять Совету МСЭ всеобъемлющий отчет о состоянии Планов, регулируемых Приложениями </w:t>
      </w:r>
      <w:r w:rsidRPr="002C6523">
        <w:rPr>
          <w:b/>
          <w:bCs/>
          <w:lang w:val="ru-RU"/>
        </w:rPr>
        <w:t>30</w:t>
      </w:r>
      <w:r w:rsidRPr="002C6523">
        <w:rPr>
          <w:lang w:val="ru-RU"/>
        </w:rPr>
        <w:t xml:space="preserve">, </w:t>
      </w:r>
      <w:r w:rsidRPr="002C6523">
        <w:rPr>
          <w:b/>
          <w:bCs/>
          <w:lang w:val="ru-RU"/>
        </w:rPr>
        <w:t>30А</w:t>
      </w:r>
      <w:r w:rsidRPr="002C6523">
        <w:rPr>
          <w:lang w:val="ru-RU"/>
        </w:rPr>
        <w:t xml:space="preserve"> и </w:t>
      </w:r>
      <w:r w:rsidRPr="002C6523">
        <w:rPr>
          <w:b/>
          <w:bCs/>
          <w:lang w:val="ru-RU"/>
        </w:rPr>
        <w:t>30В</w:t>
      </w:r>
      <w:r w:rsidRPr="002C6523">
        <w:rPr>
          <w:lang w:val="ru-RU"/>
        </w:rPr>
        <w:t xml:space="preserve"> к Регламенту радиосвязи, с указанием положения развивающихся стран и любых проблем, связанных с выполнением этих Планов, таких как изменение эталонной ситуации различных частотных присвоений и выделений, включая любые трудности и проблемы, с которыми столкнулось БР при реализации этих Планов, а также проблемы, о которых администрации сообщили БР" (см. пункт 2 раздела </w:t>
      </w:r>
      <w:r w:rsidRPr="002C6523">
        <w:rPr>
          <w:i/>
          <w:iCs/>
          <w:lang w:val="ru-RU"/>
        </w:rPr>
        <w:t>поручает</w:t>
      </w:r>
      <w:r w:rsidRPr="002C6523">
        <w:rPr>
          <w:lang w:val="ru-RU"/>
        </w:rPr>
        <w:t>).</w:t>
      </w:r>
    </w:p>
    <w:p w14:paraId="4328E812" w14:textId="77777777" w:rsidR="00B42F5B" w:rsidRPr="002C6523" w:rsidRDefault="00B42F5B" w:rsidP="00B42F5B">
      <w:pPr>
        <w:rPr>
          <w:rFonts w:asciiTheme="minorHAnsi" w:hAnsiTheme="minorHAnsi" w:cstheme="minorHAnsi"/>
          <w:szCs w:val="24"/>
          <w:lang w:val="ru-RU"/>
        </w:rPr>
      </w:pPr>
      <w:bookmarkStart w:id="21" w:name="lt_pId051"/>
      <w:r w:rsidRPr="002C6523">
        <w:rPr>
          <w:rFonts w:asciiTheme="minorHAnsi" w:hAnsiTheme="minorHAnsi" w:cstheme="minorHAnsi"/>
          <w:szCs w:val="24"/>
          <w:lang w:val="ru-RU"/>
        </w:rPr>
        <w:t>В настоящем отчете кратко описан ход реализации планов космических служб по состоянию на конец февраля 2024 года и представлена информация по другим связанным с этим вопросам. Отчет разделен на две части: Часть I содержит информацию о Планах радиовещательной спутниковой службы и связанных с ней фидерных линий Приложений </w:t>
      </w:r>
      <w:r w:rsidRPr="002C6523">
        <w:rPr>
          <w:rFonts w:asciiTheme="minorHAnsi" w:hAnsiTheme="minorHAnsi" w:cstheme="minorHAnsi"/>
          <w:b/>
          <w:szCs w:val="24"/>
          <w:lang w:val="ru-RU"/>
        </w:rPr>
        <w:t>30</w:t>
      </w:r>
      <w:r w:rsidRPr="002C6523">
        <w:rPr>
          <w:rFonts w:asciiTheme="minorHAnsi" w:hAnsiTheme="minorHAnsi" w:cstheme="minorHAnsi"/>
          <w:szCs w:val="24"/>
          <w:lang w:val="ru-RU"/>
        </w:rPr>
        <w:t xml:space="preserve"> и </w:t>
      </w:r>
      <w:r w:rsidRPr="002C6523">
        <w:rPr>
          <w:rFonts w:asciiTheme="minorHAnsi" w:hAnsiTheme="minorHAnsi" w:cstheme="minorHAnsi"/>
          <w:b/>
          <w:szCs w:val="24"/>
          <w:lang w:val="ru-RU"/>
        </w:rPr>
        <w:t>30A</w:t>
      </w:r>
      <w:r w:rsidRPr="002C6523">
        <w:rPr>
          <w:rFonts w:asciiTheme="minorHAnsi" w:hAnsiTheme="minorHAnsi" w:cstheme="minorHAnsi"/>
          <w:szCs w:val="24"/>
          <w:lang w:val="ru-RU"/>
        </w:rPr>
        <w:t>. Часть II содержит информацию о состоянии Плана фиксированной спутниковой службы Приложения </w:t>
      </w:r>
      <w:r w:rsidRPr="002C6523">
        <w:rPr>
          <w:rFonts w:asciiTheme="minorHAnsi" w:hAnsiTheme="minorHAnsi" w:cstheme="minorHAnsi"/>
          <w:b/>
          <w:szCs w:val="24"/>
          <w:lang w:val="ru-RU"/>
        </w:rPr>
        <w:t>30B</w:t>
      </w:r>
      <w:r w:rsidRPr="002C6523">
        <w:rPr>
          <w:rFonts w:asciiTheme="minorHAnsi" w:hAnsiTheme="minorHAnsi" w:cstheme="minorHAnsi"/>
          <w:szCs w:val="24"/>
          <w:lang w:val="ru-RU"/>
        </w:rPr>
        <w:t>.</w:t>
      </w:r>
    </w:p>
    <w:p w14:paraId="135BE53D" w14:textId="77777777" w:rsidR="00B42F5B" w:rsidRPr="005B2BBD" w:rsidRDefault="00B42F5B" w:rsidP="00F4546D">
      <w:pPr>
        <w:pStyle w:val="Parttitle"/>
        <w:rPr>
          <w:lang w:val="ru-RU"/>
        </w:rPr>
      </w:pPr>
      <w:bookmarkStart w:id="22" w:name="lt_pId054"/>
      <w:bookmarkEnd w:id="21"/>
      <w:r w:rsidRPr="005B2BBD">
        <w:rPr>
          <w:lang w:val="ru-RU"/>
        </w:rPr>
        <w:t>Часть</w:t>
      </w:r>
      <w:r w:rsidRPr="00F4546D">
        <w:t> I</w:t>
      </w:r>
      <w:r w:rsidRPr="005B2BBD">
        <w:rPr>
          <w:lang w:val="ru-RU"/>
        </w:rPr>
        <w:t xml:space="preserve"> – Планы радиовещательной спутниковой службы и связанных с ней фидерных линий Приложений</w:t>
      </w:r>
      <w:r w:rsidRPr="00F4546D">
        <w:t> </w:t>
      </w:r>
      <w:r w:rsidRPr="005B2BBD">
        <w:rPr>
          <w:lang w:val="ru-RU"/>
        </w:rPr>
        <w:t>30 и 30</w:t>
      </w:r>
      <w:r w:rsidRPr="00F4546D">
        <w:t>A</w:t>
      </w:r>
      <w:r w:rsidRPr="005B2BBD">
        <w:rPr>
          <w:lang w:val="ru-RU"/>
        </w:rPr>
        <w:t xml:space="preserve"> к Регламенту радиосвязи</w:t>
      </w:r>
    </w:p>
    <w:bookmarkEnd w:id="22"/>
    <w:p w14:paraId="477621D0" w14:textId="77777777" w:rsidR="00B42F5B" w:rsidRPr="002C6523" w:rsidRDefault="00B42F5B" w:rsidP="00B42F5B">
      <w:pPr>
        <w:pStyle w:val="Heading1"/>
        <w:rPr>
          <w:lang w:val="ru-RU"/>
        </w:rPr>
      </w:pPr>
      <w:r w:rsidRPr="002C6523">
        <w:rPr>
          <w:lang w:val="ru-RU"/>
        </w:rPr>
        <w:t>1</w:t>
      </w:r>
      <w:r w:rsidRPr="002C6523">
        <w:rPr>
          <w:lang w:val="ru-RU"/>
        </w:rPr>
        <w:tab/>
      </w:r>
      <w:bookmarkStart w:id="23" w:name="lt_pId057"/>
      <w:r w:rsidRPr="002C6523">
        <w:rPr>
          <w:lang w:val="ru-RU"/>
        </w:rPr>
        <w:t>Состояние Планов, регулируемых Приложениями </w:t>
      </w:r>
      <w:r w:rsidRPr="002C6523">
        <w:rPr>
          <w:bCs/>
          <w:lang w:val="ru-RU"/>
        </w:rPr>
        <w:t>30</w:t>
      </w:r>
      <w:r w:rsidRPr="002C6523">
        <w:rPr>
          <w:lang w:val="ru-RU"/>
        </w:rPr>
        <w:t xml:space="preserve"> и </w:t>
      </w:r>
      <w:r w:rsidRPr="002C6523">
        <w:rPr>
          <w:bCs/>
          <w:lang w:val="ru-RU"/>
        </w:rPr>
        <w:t>30А в Районах 1 и 3</w:t>
      </w:r>
    </w:p>
    <w:p w14:paraId="19FBFB70" w14:textId="77777777" w:rsidR="00B42F5B" w:rsidRPr="002C6523" w:rsidRDefault="00B42F5B" w:rsidP="00B42F5B">
      <w:pPr>
        <w:pStyle w:val="Heading2"/>
        <w:rPr>
          <w:lang w:val="ru-RU"/>
        </w:rPr>
      </w:pPr>
      <w:bookmarkStart w:id="24" w:name="lt_pId058"/>
      <w:bookmarkEnd w:id="23"/>
      <w:r w:rsidRPr="002C6523">
        <w:rPr>
          <w:lang w:val="ru-RU"/>
        </w:rPr>
        <w:t>1.1</w:t>
      </w:r>
      <w:r w:rsidRPr="002C6523">
        <w:rPr>
          <w:lang w:val="ru-RU"/>
        </w:rPr>
        <w:tab/>
        <w:t>Обзор</w:t>
      </w:r>
    </w:p>
    <w:p w14:paraId="72E9A71D" w14:textId="65DD7993" w:rsidR="00B42F5B" w:rsidRPr="002C6523" w:rsidRDefault="00B42F5B" w:rsidP="00B70753">
      <w:pPr>
        <w:rPr>
          <w:lang w:val="ru-RU"/>
        </w:rPr>
      </w:pPr>
      <w:bookmarkStart w:id="25" w:name="lt_pId059"/>
      <w:bookmarkEnd w:id="24"/>
      <w:r w:rsidRPr="002C6523">
        <w:rPr>
          <w:lang w:val="ru-RU"/>
        </w:rPr>
        <w:t>План Приложения </w:t>
      </w:r>
      <w:r w:rsidRPr="002C6523">
        <w:rPr>
          <w:b/>
          <w:lang w:val="ru-RU"/>
        </w:rPr>
        <w:t>30</w:t>
      </w:r>
      <w:r w:rsidRPr="002C6523">
        <w:rPr>
          <w:lang w:val="ru-RU"/>
        </w:rPr>
        <w:t xml:space="preserve"> для Районов 1 и 3 </w:t>
      </w:r>
      <w:r w:rsidRPr="00B42F5B">
        <w:rPr>
          <w:lang w:val="ru-RU"/>
        </w:rPr>
        <w:t>−</w:t>
      </w:r>
      <w:r w:rsidRPr="002C6523">
        <w:rPr>
          <w:lang w:val="ru-RU"/>
        </w:rPr>
        <w:t xml:space="preserve"> это План для радиовещательной спутниковой службы (РСС) в полосах частот 11,7</w:t>
      </w:r>
      <w:r w:rsidRPr="00B42F5B">
        <w:rPr>
          <w:lang w:val="ru-RU"/>
        </w:rPr>
        <w:t>−</w:t>
      </w:r>
      <w:r w:rsidRPr="002C6523">
        <w:rPr>
          <w:lang w:val="ru-RU"/>
        </w:rPr>
        <w:t>12,2 ГГц в Районе 3 и 11,7</w:t>
      </w:r>
      <w:r w:rsidRPr="00B42F5B">
        <w:rPr>
          <w:lang w:val="ru-RU"/>
        </w:rPr>
        <w:t>−</w:t>
      </w:r>
      <w:r w:rsidRPr="002C6523">
        <w:rPr>
          <w:lang w:val="ru-RU"/>
        </w:rPr>
        <w:t>12,5 ГГц в Районе 1. План Приложения </w:t>
      </w:r>
      <w:r w:rsidRPr="002C6523">
        <w:rPr>
          <w:b/>
          <w:lang w:val="ru-RU"/>
        </w:rPr>
        <w:t>30А</w:t>
      </w:r>
      <w:r w:rsidRPr="002C6523">
        <w:rPr>
          <w:lang w:val="ru-RU"/>
        </w:rPr>
        <w:t xml:space="preserve"> для Районов 1 и 3 </w:t>
      </w:r>
      <w:r w:rsidRPr="00B42F5B">
        <w:rPr>
          <w:lang w:val="ru-RU"/>
        </w:rPr>
        <w:t>−</w:t>
      </w:r>
      <w:r w:rsidRPr="002C6523">
        <w:rPr>
          <w:lang w:val="ru-RU"/>
        </w:rPr>
        <w:t xml:space="preserve"> это План фидерных линий РСС в полосах частот 17,3</w:t>
      </w:r>
      <w:r w:rsidRPr="00B42F5B">
        <w:rPr>
          <w:lang w:val="ru-RU"/>
        </w:rPr>
        <w:t>−</w:t>
      </w:r>
      <w:r w:rsidRPr="002C6523">
        <w:rPr>
          <w:lang w:val="ru-RU"/>
        </w:rPr>
        <w:t>18,1 ГГц в Районах 1 и 3 и 14,5</w:t>
      </w:r>
      <w:r w:rsidRPr="00B42F5B">
        <w:rPr>
          <w:lang w:val="ru-RU"/>
        </w:rPr>
        <w:t>−</w:t>
      </w:r>
      <w:r w:rsidRPr="002C6523">
        <w:rPr>
          <w:lang w:val="ru-RU"/>
        </w:rPr>
        <w:t>14,8 ГГц для стран за пределами Европы.</w:t>
      </w:r>
    </w:p>
    <w:bookmarkEnd w:id="25"/>
    <w:p w14:paraId="08BD02EB" w14:textId="6DF579EB" w:rsidR="00B42F5B" w:rsidRPr="002C6523" w:rsidRDefault="00B42F5B" w:rsidP="00B70753">
      <w:pPr>
        <w:rPr>
          <w:lang w:val="ru-RU"/>
        </w:rPr>
      </w:pPr>
      <w:r w:rsidRPr="002C6523">
        <w:rPr>
          <w:lang w:val="ru-RU"/>
        </w:rPr>
        <w:t>На ВКР-2000 был успешно завершен пересмотр Планов Приложений </w:t>
      </w:r>
      <w:r w:rsidRPr="002C6523">
        <w:rPr>
          <w:b/>
          <w:lang w:val="ru-RU"/>
        </w:rPr>
        <w:t>30</w:t>
      </w:r>
      <w:r w:rsidRPr="002C6523">
        <w:rPr>
          <w:lang w:val="ru-RU"/>
        </w:rPr>
        <w:t xml:space="preserve"> и </w:t>
      </w:r>
      <w:r w:rsidRPr="002C6523">
        <w:rPr>
          <w:b/>
          <w:lang w:val="ru-RU"/>
        </w:rPr>
        <w:t>30А</w:t>
      </w:r>
      <w:r w:rsidRPr="002C6523">
        <w:rPr>
          <w:lang w:val="ru-RU"/>
        </w:rPr>
        <w:t xml:space="preserve"> для Районов 1 и 3. С тех пор все больше и больше присвоений для дополнительных видов использования включаются в Списки этих Приложений в связи с широким применениям концепции "неявного согласия". В результате эталонная ситуация (EPM </w:t>
      </w:r>
      <w:r w:rsidRPr="00B42F5B">
        <w:rPr>
          <w:lang w:val="ru-RU"/>
        </w:rPr>
        <w:t>−</w:t>
      </w:r>
      <w:r w:rsidRPr="002C6523">
        <w:rPr>
          <w:lang w:val="ru-RU"/>
        </w:rPr>
        <w:t xml:space="preserve"> эквивалентный запас по защите) для большинства присвоений Планов в Районах 1 и 3 со временем ухудшилась.</w:t>
      </w:r>
    </w:p>
    <w:p w14:paraId="56259CC1" w14:textId="77777777" w:rsidR="00B42F5B" w:rsidRPr="002C6523" w:rsidRDefault="00B42F5B" w:rsidP="00B70753">
      <w:pPr>
        <w:rPr>
          <w:lang w:val="ru-RU"/>
        </w:rPr>
      </w:pPr>
      <w:r w:rsidRPr="002C6523">
        <w:rPr>
          <w:lang w:val="ru-RU"/>
        </w:rPr>
        <w:t>На ВКР-19 была принята Резолюция </w:t>
      </w:r>
      <w:r w:rsidRPr="002C6523">
        <w:rPr>
          <w:b/>
          <w:bCs/>
          <w:lang w:val="ru-RU"/>
        </w:rPr>
        <w:t>559 (ВКР-19)</w:t>
      </w:r>
      <w:r w:rsidRPr="002C6523">
        <w:rPr>
          <w:lang w:val="ru-RU"/>
        </w:rPr>
        <w:t>, которая дала некоторым администрациям Районов 1 и 3 возможность запрашивать новые частотные присвоения в качестве замены своих ухудшенных национальных частотных присвоений согласно Планам Приложений </w:t>
      </w:r>
      <w:r w:rsidRPr="002C6523">
        <w:rPr>
          <w:b/>
          <w:lang w:val="ru-RU"/>
        </w:rPr>
        <w:t>30</w:t>
      </w:r>
      <w:r w:rsidRPr="002C6523">
        <w:rPr>
          <w:lang w:val="ru-RU"/>
        </w:rPr>
        <w:t xml:space="preserve"> и </w:t>
      </w:r>
      <w:r w:rsidRPr="002C6523">
        <w:rPr>
          <w:b/>
          <w:lang w:val="ru-RU"/>
        </w:rPr>
        <w:t>30A</w:t>
      </w:r>
      <w:r w:rsidRPr="002C6523">
        <w:rPr>
          <w:bCs/>
          <w:lang w:val="ru-RU"/>
        </w:rPr>
        <w:t>.</w:t>
      </w:r>
      <w:r w:rsidRPr="002C6523">
        <w:rPr>
          <w:lang w:val="ru-RU"/>
        </w:rPr>
        <w:t xml:space="preserve"> </w:t>
      </w:r>
      <w:bookmarkStart w:id="26" w:name="lt_pId065"/>
      <w:r w:rsidRPr="002C6523">
        <w:rPr>
          <w:lang w:val="ru-RU"/>
        </w:rPr>
        <w:t>В общей сложности 45 отвечающих критериям администраций направили свои запросы в соответствии с Резолюцией </w:t>
      </w:r>
      <w:r w:rsidRPr="002C6523">
        <w:rPr>
          <w:b/>
          <w:bCs/>
          <w:lang w:val="ru-RU"/>
        </w:rPr>
        <w:t>559 (ВКР-19)</w:t>
      </w:r>
      <w:r w:rsidRPr="002C6523">
        <w:rPr>
          <w:lang w:val="ru-RU"/>
        </w:rPr>
        <w:t>, и 41 администрация успешно внесла свои новые присвоения в Списки Приложений </w:t>
      </w:r>
      <w:r w:rsidRPr="002C6523">
        <w:rPr>
          <w:b/>
          <w:lang w:val="ru-RU"/>
        </w:rPr>
        <w:t>30</w:t>
      </w:r>
      <w:r w:rsidRPr="002C6523">
        <w:rPr>
          <w:lang w:val="ru-RU"/>
        </w:rPr>
        <w:t xml:space="preserve"> и </w:t>
      </w:r>
      <w:r w:rsidRPr="002C6523">
        <w:rPr>
          <w:b/>
          <w:lang w:val="ru-RU"/>
        </w:rPr>
        <w:t xml:space="preserve">30А, </w:t>
      </w:r>
      <w:r w:rsidRPr="002C6523">
        <w:rPr>
          <w:lang w:val="ru-RU"/>
        </w:rPr>
        <w:t>после чего представила запросы на включение в Планы на ВКР-23.</w:t>
      </w:r>
    </w:p>
    <w:p w14:paraId="7BFB7878" w14:textId="77777777" w:rsidR="00B42F5B" w:rsidRPr="002C6523" w:rsidRDefault="00B42F5B" w:rsidP="00B70753">
      <w:pPr>
        <w:rPr>
          <w:rFonts w:cstheme="minorBidi"/>
          <w:szCs w:val="18"/>
          <w:lang w:val="ru-RU"/>
        </w:rPr>
      </w:pPr>
      <w:r w:rsidRPr="002C6523">
        <w:rPr>
          <w:rFonts w:cstheme="minorBidi"/>
          <w:szCs w:val="18"/>
          <w:lang w:val="ru-RU"/>
        </w:rPr>
        <w:t xml:space="preserve">ВКР-23 удовлетворила запросы 41 администрации, которые упоминаются выше. В результате соответствующие 40 ухудшенных национальных частотных присвоений в Планах Приложений </w:t>
      </w:r>
      <w:r w:rsidRPr="002C6523">
        <w:rPr>
          <w:rFonts w:cstheme="minorBidi"/>
          <w:b/>
          <w:bCs/>
          <w:szCs w:val="18"/>
          <w:lang w:val="ru-RU"/>
        </w:rPr>
        <w:lastRenderedPageBreak/>
        <w:t xml:space="preserve">30 </w:t>
      </w:r>
      <w:r w:rsidRPr="002C6523">
        <w:rPr>
          <w:rFonts w:cstheme="minorBidi"/>
          <w:szCs w:val="18"/>
          <w:lang w:val="ru-RU"/>
        </w:rPr>
        <w:t>и</w:t>
      </w:r>
      <w:r w:rsidRPr="002C6523">
        <w:rPr>
          <w:rFonts w:cstheme="minorBidi"/>
          <w:b/>
          <w:bCs/>
          <w:szCs w:val="18"/>
          <w:lang w:val="ru-RU"/>
        </w:rPr>
        <w:t xml:space="preserve"> 30А </w:t>
      </w:r>
      <w:r w:rsidRPr="002C6523">
        <w:rPr>
          <w:rFonts w:cstheme="minorBidi"/>
          <w:szCs w:val="18"/>
          <w:lang w:val="ru-RU"/>
        </w:rPr>
        <w:t xml:space="preserve">были заменены частотными присвоениями, благодаря применению Резолюции </w:t>
      </w:r>
      <w:r w:rsidRPr="002C6523">
        <w:rPr>
          <w:rFonts w:cstheme="minorBidi"/>
          <w:b/>
          <w:bCs/>
          <w:szCs w:val="18"/>
          <w:lang w:val="ru-RU"/>
        </w:rPr>
        <w:t>559</w:t>
      </w:r>
      <w:r w:rsidRPr="002C6523">
        <w:rPr>
          <w:rFonts w:cstheme="minorBidi"/>
          <w:szCs w:val="18"/>
          <w:lang w:val="ru-RU"/>
        </w:rPr>
        <w:t xml:space="preserve">, с улучшенной эталонной ситуацией. Администрация Южного Судана также получила новую запись в Планах Приложений </w:t>
      </w:r>
      <w:r w:rsidRPr="002C6523">
        <w:rPr>
          <w:rFonts w:cstheme="minorBidi"/>
          <w:b/>
          <w:bCs/>
          <w:szCs w:val="18"/>
          <w:lang w:val="ru-RU"/>
        </w:rPr>
        <w:t xml:space="preserve">30 </w:t>
      </w:r>
      <w:r w:rsidRPr="002C6523">
        <w:rPr>
          <w:rFonts w:cstheme="minorBidi"/>
          <w:szCs w:val="18"/>
          <w:lang w:val="ru-RU"/>
        </w:rPr>
        <w:t>и</w:t>
      </w:r>
      <w:r w:rsidRPr="002C6523">
        <w:rPr>
          <w:rFonts w:cstheme="minorBidi"/>
          <w:b/>
          <w:bCs/>
          <w:szCs w:val="18"/>
          <w:lang w:val="ru-RU"/>
        </w:rPr>
        <w:t xml:space="preserve"> 30А</w:t>
      </w:r>
      <w:r w:rsidRPr="002C6523">
        <w:rPr>
          <w:rFonts w:cstheme="minorBidi"/>
          <w:szCs w:val="18"/>
          <w:lang w:val="ru-RU"/>
        </w:rPr>
        <w:t>.</w:t>
      </w:r>
    </w:p>
    <w:p w14:paraId="7949840F" w14:textId="77777777" w:rsidR="00B42F5B" w:rsidRPr="002C6523" w:rsidRDefault="00B42F5B" w:rsidP="00B70753">
      <w:pPr>
        <w:rPr>
          <w:rFonts w:cstheme="minorBidi"/>
          <w:szCs w:val="18"/>
          <w:lang w:val="ru-RU"/>
        </w:rPr>
      </w:pPr>
      <w:r w:rsidRPr="002C6523">
        <w:rPr>
          <w:rFonts w:cstheme="minorBidi"/>
          <w:szCs w:val="18"/>
          <w:lang w:val="ru-RU"/>
        </w:rPr>
        <w:t xml:space="preserve">ВКР-23 также изменила положения Приложений </w:t>
      </w:r>
      <w:r w:rsidRPr="002C6523">
        <w:rPr>
          <w:rFonts w:cstheme="minorBidi"/>
          <w:b/>
          <w:bCs/>
          <w:szCs w:val="18"/>
          <w:lang w:val="ru-RU"/>
        </w:rPr>
        <w:t xml:space="preserve">30 </w:t>
      </w:r>
      <w:r w:rsidRPr="002C6523">
        <w:rPr>
          <w:rFonts w:cstheme="minorBidi"/>
          <w:szCs w:val="18"/>
          <w:lang w:val="ru-RU"/>
        </w:rPr>
        <w:t xml:space="preserve">и </w:t>
      </w:r>
      <w:r w:rsidRPr="002C6523">
        <w:rPr>
          <w:rFonts w:cstheme="minorBidi"/>
          <w:b/>
          <w:bCs/>
          <w:szCs w:val="18"/>
          <w:lang w:val="ru-RU"/>
        </w:rPr>
        <w:t>30А</w:t>
      </w:r>
      <w:r w:rsidRPr="002C6523">
        <w:rPr>
          <w:rFonts w:cstheme="minorBidi"/>
          <w:szCs w:val="18"/>
          <w:lang w:val="ru-RU"/>
        </w:rPr>
        <w:t xml:space="preserve"> для Районов 1 и 3 таким образом, что любое ухудшение эталонной ситуации для присвоений в Плане для Районов 1 и 3, выходящее за пределы допустимых отклонений, возможно только при условии получения явно выраженного согласия потенциально затронутых администраций.</w:t>
      </w:r>
    </w:p>
    <w:bookmarkEnd w:id="26"/>
    <w:p w14:paraId="145C2604" w14:textId="77777777" w:rsidR="00B42F5B" w:rsidRPr="002C6523" w:rsidRDefault="00B42F5B" w:rsidP="00B42F5B">
      <w:pPr>
        <w:pStyle w:val="Heading2"/>
        <w:rPr>
          <w:lang w:val="ru-RU"/>
        </w:rPr>
      </w:pPr>
      <w:r w:rsidRPr="002C6523">
        <w:rPr>
          <w:lang w:val="ru-RU"/>
        </w:rPr>
        <w:t>1.2</w:t>
      </w:r>
      <w:r w:rsidRPr="002C6523">
        <w:rPr>
          <w:lang w:val="ru-RU"/>
        </w:rPr>
        <w:tab/>
      </w:r>
      <w:bookmarkStart w:id="27" w:name="lt_pId067"/>
      <w:r w:rsidRPr="002C6523">
        <w:rPr>
          <w:lang w:val="ru-RU"/>
        </w:rPr>
        <w:t xml:space="preserve">Эталонная ситуация планируемых национальных присвоений </w:t>
      </w:r>
    </w:p>
    <w:p w14:paraId="2E2B36F4" w14:textId="34C2F7CC" w:rsidR="00B42F5B" w:rsidRPr="002C6523" w:rsidRDefault="00B42F5B" w:rsidP="00B70753">
      <w:pPr>
        <w:rPr>
          <w:lang w:val="ru-RU"/>
        </w:rPr>
      </w:pPr>
      <w:bookmarkStart w:id="28" w:name="lt_pId068"/>
      <w:bookmarkEnd w:id="27"/>
      <w:r w:rsidRPr="002C6523">
        <w:rPr>
          <w:lang w:val="ru-RU"/>
        </w:rPr>
        <w:t>В таблицах 1 и 2 ниже показаны изменения в эталонной ситуации присвоений в Плане для Районов 1 и 3 на момент публикации ИФИК БР № 3015 от 20 февраля 2024 года по сравнению со значениями, установленными на ВКР-2000. В эти таблицы также включено 41 новое присвоение в Плане для Районов 1 и 3, о которых идет речь в разделе 1.1 выше (см.</w:t>
      </w:r>
      <w:r w:rsidR="005B2BBD">
        <w:rPr>
          <w:lang w:val="ru-RU"/>
        </w:rPr>
        <w:t> </w:t>
      </w:r>
      <w:r w:rsidRPr="002C6523">
        <w:rPr>
          <w:lang w:val="ru-RU"/>
        </w:rPr>
        <w:t>Примечания 1 и 2). Эти изменения представлены в диапазоне минимальных и максимальных значений EPM в разбивке по каждой администрации.</w:t>
      </w:r>
    </w:p>
    <w:p w14:paraId="4AE7FDC4" w14:textId="77777777" w:rsidR="00B42F5B" w:rsidRPr="002C6523" w:rsidRDefault="00B42F5B" w:rsidP="00B42F5B">
      <w:pPr>
        <w:pStyle w:val="TableNo"/>
        <w:rPr>
          <w:lang w:val="ru-RU"/>
        </w:rPr>
      </w:pPr>
      <w:bookmarkStart w:id="29" w:name="lt_pId070"/>
      <w:bookmarkEnd w:id="28"/>
      <w:r w:rsidRPr="002C6523">
        <w:rPr>
          <w:lang w:val="ru-RU"/>
        </w:rPr>
        <w:t>ТАБЛИЦА 1</w:t>
      </w:r>
      <w:bookmarkEnd w:id="29"/>
    </w:p>
    <w:p w14:paraId="40FF1AD9" w14:textId="77777777" w:rsidR="00B42F5B" w:rsidRPr="005B2BBD" w:rsidRDefault="00B42F5B" w:rsidP="00B70753">
      <w:pPr>
        <w:pStyle w:val="Tabletitle"/>
        <w:rPr>
          <w:lang w:val="ru-RU"/>
        </w:rPr>
      </w:pPr>
      <w:bookmarkStart w:id="30" w:name="lt_pId071"/>
      <w:r w:rsidRPr="005B2BBD">
        <w:rPr>
          <w:lang w:val="ru-RU"/>
        </w:rPr>
        <w:t xml:space="preserve">Изменение значений </w:t>
      </w:r>
      <w:r w:rsidRPr="00B70753">
        <w:t>EPM</w:t>
      </w:r>
      <w:r w:rsidRPr="005B2BBD">
        <w:rPr>
          <w:lang w:val="ru-RU"/>
        </w:rPr>
        <w:t xml:space="preserve"> для присвоений Плана РСС для Районов</w:t>
      </w:r>
      <w:r w:rsidRPr="00B70753">
        <w:t> </w:t>
      </w:r>
      <w:r w:rsidRPr="005B2BBD">
        <w:rPr>
          <w:lang w:val="ru-RU"/>
        </w:rPr>
        <w:t>1 и 3 (на линии вниз)</w:t>
      </w:r>
    </w:p>
    <w:p w14:paraId="15B5DE16" w14:textId="77777777" w:rsidR="00B42F5B" w:rsidRPr="005B2BBD" w:rsidRDefault="00433C30" w:rsidP="00821B6B">
      <w:pPr>
        <w:jc w:val="center"/>
        <w:rPr>
          <w:lang w:val="ru-RU"/>
        </w:rPr>
      </w:pPr>
      <w:hyperlink r:id="rId16" w:history="1">
        <w:r w:rsidR="00B42F5B" w:rsidRPr="005B2BBD">
          <w:rPr>
            <w:rStyle w:val="Hyperlink"/>
            <w:rFonts w:eastAsiaTheme="minorEastAsia"/>
            <w:b/>
            <w:bCs/>
            <w:lang w:val="ru-RU"/>
          </w:rPr>
          <w:t>См. табли</w:t>
        </w:r>
        <w:r w:rsidR="00B42F5B" w:rsidRPr="005B2BBD">
          <w:rPr>
            <w:rStyle w:val="Hyperlink"/>
            <w:rFonts w:eastAsiaTheme="minorEastAsia"/>
            <w:b/>
            <w:bCs/>
            <w:lang w:val="ru-RU"/>
          </w:rPr>
          <w:t>ц</w:t>
        </w:r>
        <w:r w:rsidR="00B42F5B" w:rsidRPr="005B2BBD">
          <w:rPr>
            <w:rStyle w:val="Hyperlink"/>
            <w:rFonts w:eastAsiaTheme="minorEastAsia"/>
            <w:b/>
            <w:bCs/>
            <w:lang w:val="ru-RU"/>
          </w:rPr>
          <w:t>у 1</w:t>
        </w:r>
      </w:hyperlink>
      <w:r w:rsidR="00B42F5B" w:rsidRPr="005B2BBD">
        <w:rPr>
          <w:rFonts w:eastAsiaTheme="minorEastAsia"/>
          <w:lang w:val="ru-RU"/>
        </w:rPr>
        <w:t>.</w:t>
      </w:r>
    </w:p>
    <w:p w14:paraId="7D15B101" w14:textId="60EAE19A" w:rsidR="00B42F5B" w:rsidRPr="002C6523" w:rsidRDefault="00B42F5B" w:rsidP="00B42F5B">
      <w:pPr>
        <w:pStyle w:val="Note"/>
        <w:rPr>
          <w:rFonts w:eastAsiaTheme="minorEastAsia"/>
          <w:lang w:val="ru-RU"/>
        </w:rPr>
      </w:pPr>
      <w:bookmarkStart w:id="31" w:name="lt_pId1153"/>
      <w:bookmarkEnd w:id="30"/>
      <w:r w:rsidRPr="002C6523">
        <w:rPr>
          <w:rFonts w:eastAsiaTheme="minorEastAsia"/>
          <w:lang w:val="ru-RU"/>
        </w:rPr>
        <w:t xml:space="preserve">Примечание 1. </w:t>
      </w:r>
      <w:r w:rsidR="00B70753" w:rsidRPr="00B70753">
        <w:rPr>
          <w:rFonts w:eastAsiaTheme="minorEastAsia"/>
          <w:lang w:val="ru-RU"/>
        </w:rPr>
        <w:t>−</w:t>
      </w:r>
      <w:r w:rsidRPr="002C6523">
        <w:rPr>
          <w:rFonts w:eastAsiaTheme="minorEastAsia"/>
          <w:lang w:val="ru-RU"/>
        </w:rPr>
        <w:t xml:space="preserve"> Присвоения из принятого на ВКР-2000 Плана заменены присвоениями в результате применения Резолюции </w:t>
      </w:r>
      <w:r w:rsidRPr="002C6523">
        <w:rPr>
          <w:rFonts w:eastAsiaTheme="minorEastAsia"/>
          <w:b/>
          <w:bCs/>
          <w:lang w:val="ru-RU"/>
        </w:rPr>
        <w:t>559 (ВКР-19)</w:t>
      </w:r>
      <w:r w:rsidRPr="002C6523">
        <w:rPr>
          <w:rFonts w:eastAsiaTheme="minorEastAsia"/>
          <w:lang w:val="ru-RU"/>
        </w:rPr>
        <w:t xml:space="preserve"> в соответствии с решениями ВКР-23.</w:t>
      </w:r>
    </w:p>
    <w:p w14:paraId="44346A59" w14:textId="39DE8223" w:rsidR="00B42F5B" w:rsidRPr="002C6523" w:rsidRDefault="00B42F5B" w:rsidP="00B42F5B">
      <w:pPr>
        <w:pStyle w:val="Note"/>
        <w:rPr>
          <w:rFonts w:eastAsiaTheme="minorEastAsia"/>
          <w:lang w:val="ru-RU"/>
        </w:rPr>
      </w:pPr>
      <w:r w:rsidRPr="002C6523">
        <w:rPr>
          <w:rFonts w:eastAsiaTheme="minorEastAsia"/>
          <w:lang w:val="ru-RU"/>
        </w:rPr>
        <w:t xml:space="preserve">Примечание 2. </w:t>
      </w:r>
      <w:r w:rsidR="00B70753" w:rsidRPr="00B70753">
        <w:rPr>
          <w:rFonts w:eastAsiaTheme="minorEastAsia"/>
          <w:lang w:val="ru-RU"/>
        </w:rPr>
        <w:t>−</w:t>
      </w:r>
      <w:r w:rsidRPr="002C6523">
        <w:rPr>
          <w:rFonts w:eastAsiaTheme="minorEastAsia"/>
          <w:lang w:val="ru-RU"/>
        </w:rPr>
        <w:t xml:space="preserve"> Администрация Южного Судана как нового Государства </w:t>
      </w:r>
      <w:r w:rsidR="00B70753" w:rsidRPr="00B70753">
        <w:rPr>
          <w:rFonts w:eastAsiaTheme="minorEastAsia"/>
          <w:lang w:val="ru-RU"/>
        </w:rPr>
        <w:t>−</w:t>
      </w:r>
      <w:r w:rsidRPr="002C6523">
        <w:rPr>
          <w:rFonts w:eastAsiaTheme="minorEastAsia"/>
          <w:lang w:val="ru-RU"/>
        </w:rPr>
        <w:t xml:space="preserve"> Члена МСЭ получила присвоения в Планах Приложений </w:t>
      </w:r>
      <w:r w:rsidRPr="002C6523">
        <w:rPr>
          <w:rFonts w:eastAsiaTheme="minorEastAsia"/>
          <w:b/>
          <w:bCs/>
          <w:lang w:val="ru-RU"/>
        </w:rPr>
        <w:t xml:space="preserve">30 </w:t>
      </w:r>
      <w:r w:rsidRPr="002C6523">
        <w:rPr>
          <w:rFonts w:eastAsiaTheme="minorEastAsia"/>
          <w:lang w:val="ru-RU"/>
        </w:rPr>
        <w:t>и</w:t>
      </w:r>
      <w:r w:rsidRPr="002C6523">
        <w:rPr>
          <w:rFonts w:eastAsiaTheme="minorEastAsia"/>
          <w:b/>
          <w:bCs/>
          <w:lang w:val="ru-RU"/>
        </w:rPr>
        <w:t xml:space="preserve"> 30А</w:t>
      </w:r>
      <w:r w:rsidRPr="002C6523">
        <w:rPr>
          <w:rFonts w:eastAsiaTheme="minorEastAsia"/>
          <w:lang w:val="ru-RU"/>
        </w:rPr>
        <w:t xml:space="preserve"> в соответствии с Резолюцией </w:t>
      </w:r>
      <w:r w:rsidRPr="002C6523">
        <w:rPr>
          <w:rFonts w:eastAsiaTheme="minorEastAsia"/>
          <w:b/>
          <w:bCs/>
          <w:lang w:val="ru-RU"/>
        </w:rPr>
        <w:t>559 (ВКР-19)</w:t>
      </w:r>
      <w:r w:rsidRPr="002C6523">
        <w:rPr>
          <w:rFonts w:eastAsiaTheme="minorEastAsia"/>
          <w:lang w:val="ru-RU"/>
        </w:rPr>
        <w:t>.</w:t>
      </w:r>
    </w:p>
    <w:p w14:paraId="29E0C342" w14:textId="77777777" w:rsidR="00B42F5B" w:rsidRPr="002C6523" w:rsidRDefault="00B42F5B" w:rsidP="00B42F5B">
      <w:pPr>
        <w:pStyle w:val="TableNo"/>
        <w:rPr>
          <w:lang w:val="ru-RU"/>
        </w:rPr>
      </w:pPr>
      <w:bookmarkStart w:id="32" w:name="lt_pId1156"/>
      <w:bookmarkEnd w:id="31"/>
      <w:r w:rsidRPr="002C6523">
        <w:rPr>
          <w:lang w:val="ru-RU"/>
        </w:rPr>
        <w:t>ТАБЛИЦА 2</w:t>
      </w:r>
      <w:bookmarkEnd w:id="32"/>
    </w:p>
    <w:p w14:paraId="2EAF762C" w14:textId="77777777" w:rsidR="00B42F5B" w:rsidRPr="005B2BBD" w:rsidRDefault="00B42F5B" w:rsidP="00B70753">
      <w:pPr>
        <w:pStyle w:val="Tabletitle"/>
        <w:rPr>
          <w:lang w:val="ru-RU"/>
        </w:rPr>
      </w:pPr>
      <w:bookmarkStart w:id="33" w:name="lt_pId1157"/>
      <w:r w:rsidRPr="005B2BBD">
        <w:rPr>
          <w:lang w:val="ru-RU"/>
        </w:rPr>
        <w:t xml:space="preserve">Изменение значений </w:t>
      </w:r>
      <w:r w:rsidRPr="00B70753">
        <w:t>EPM</w:t>
      </w:r>
      <w:r w:rsidRPr="005B2BBD">
        <w:rPr>
          <w:lang w:val="ru-RU"/>
        </w:rPr>
        <w:t xml:space="preserve"> для присвоений Плана фидерных линий РСС для Районов</w:t>
      </w:r>
      <w:r w:rsidRPr="00B70753">
        <w:t> </w:t>
      </w:r>
      <w:r w:rsidRPr="005B2BBD">
        <w:rPr>
          <w:lang w:val="ru-RU"/>
        </w:rPr>
        <w:t>1 и 3</w:t>
      </w:r>
    </w:p>
    <w:bookmarkStart w:id="34" w:name="lt_pId2252"/>
    <w:bookmarkEnd w:id="33"/>
    <w:p w14:paraId="1C553C7F" w14:textId="77777777" w:rsidR="00B42F5B" w:rsidRPr="005B2BBD" w:rsidRDefault="00B42F5B" w:rsidP="00821B6B">
      <w:pPr>
        <w:jc w:val="center"/>
        <w:rPr>
          <w:rFonts w:eastAsiaTheme="minorEastAsia"/>
          <w:lang w:val="ru-RU"/>
        </w:rPr>
      </w:pPr>
      <w:r w:rsidRPr="00821B6B">
        <w:rPr>
          <w:rFonts w:eastAsiaTheme="minorEastAsia"/>
        </w:rPr>
        <w:fldChar w:fldCharType="begin"/>
      </w:r>
      <w:r w:rsidRPr="00821B6B">
        <w:rPr>
          <w:rFonts w:eastAsiaTheme="minorEastAsia"/>
        </w:rPr>
        <w:instrText>HYPERLINK</w:instrText>
      </w:r>
      <w:r w:rsidRPr="005B2BBD">
        <w:rPr>
          <w:rFonts w:eastAsiaTheme="minorEastAsia"/>
          <w:lang w:val="ru-RU"/>
        </w:rPr>
        <w:instrText xml:space="preserve"> "</w:instrText>
      </w:r>
      <w:r w:rsidRPr="00821B6B">
        <w:rPr>
          <w:rFonts w:eastAsiaTheme="minorEastAsia"/>
        </w:rPr>
        <w:instrText>https</w:instrText>
      </w:r>
      <w:r w:rsidRPr="005B2BBD">
        <w:rPr>
          <w:rFonts w:eastAsiaTheme="minorEastAsia"/>
          <w:lang w:val="ru-RU"/>
        </w:rPr>
        <w:instrText>://</w:instrText>
      </w:r>
      <w:r w:rsidRPr="00821B6B">
        <w:rPr>
          <w:rFonts w:eastAsiaTheme="minorEastAsia"/>
        </w:rPr>
        <w:instrText>www</w:instrText>
      </w:r>
      <w:r w:rsidRPr="005B2BBD">
        <w:rPr>
          <w:rFonts w:eastAsiaTheme="minorEastAsia"/>
          <w:lang w:val="ru-RU"/>
        </w:rPr>
        <w:instrText>.</w:instrText>
      </w:r>
      <w:r w:rsidRPr="00821B6B">
        <w:rPr>
          <w:rFonts w:eastAsiaTheme="minorEastAsia"/>
        </w:rPr>
        <w:instrText>itu</w:instrText>
      </w:r>
      <w:r w:rsidRPr="005B2BBD">
        <w:rPr>
          <w:rFonts w:eastAsiaTheme="minorEastAsia"/>
          <w:lang w:val="ru-RU"/>
        </w:rPr>
        <w:instrText>.</w:instrText>
      </w:r>
      <w:r w:rsidRPr="00821B6B">
        <w:rPr>
          <w:rFonts w:eastAsiaTheme="minorEastAsia"/>
        </w:rPr>
        <w:instrText>int</w:instrText>
      </w:r>
      <w:r w:rsidRPr="005B2BBD">
        <w:rPr>
          <w:rFonts w:eastAsiaTheme="minorEastAsia"/>
          <w:lang w:val="ru-RU"/>
        </w:rPr>
        <w:instrText>/</w:instrText>
      </w:r>
      <w:r w:rsidRPr="00821B6B">
        <w:rPr>
          <w:rFonts w:eastAsiaTheme="minorEastAsia"/>
        </w:rPr>
        <w:instrText>en</w:instrText>
      </w:r>
      <w:r w:rsidRPr="005B2BBD">
        <w:rPr>
          <w:rFonts w:eastAsiaTheme="minorEastAsia"/>
          <w:lang w:val="ru-RU"/>
        </w:rPr>
        <w:instrText>/</w:instrText>
      </w:r>
      <w:r w:rsidRPr="00821B6B">
        <w:rPr>
          <w:rFonts w:eastAsiaTheme="minorEastAsia"/>
        </w:rPr>
        <w:instrText>council</w:instrText>
      </w:r>
      <w:r w:rsidRPr="005B2BBD">
        <w:rPr>
          <w:rFonts w:eastAsiaTheme="minorEastAsia"/>
          <w:lang w:val="ru-RU"/>
        </w:rPr>
        <w:instrText>/</w:instrText>
      </w:r>
      <w:r w:rsidRPr="00821B6B">
        <w:rPr>
          <w:rFonts w:eastAsiaTheme="minorEastAsia"/>
        </w:rPr>
        <w:instrText>Documents</w:instrText>
      </w:r>
      <w:r w:rsidRPr="005B2BBD">
        <w:rPr>
          <w:rFonts w:eastAsiaTheme="minorEastAsia"/>
          <w:lang w:val="ru-RU"/>
        </w:rPr>
        <w:instrText>/2024/036</w:instrText>
      </w:r>
      <w:r w:rsidRPr="00821B6B">
        <w:rPr>
          <w:rFonts w:eastAsiaTheme="minorEastAsia"/>
        </w:rPr>
        <w:instrText>e</w:instrText>
      </w:r>
      <w:r w:rsidRPr="005B2BBD">
        <w:rPr>
          <w:rFonts w:eastAsiaTheme="minorEastAsia"/>
          <w:lang w:val="ru-RU"/>
        </w:rPr>
        <w:instrText>-</w:instrText>
      </w:r>
      <w:r w:rsidRPr="00821B6B">
        <w:rPr>
          <w:rFonts w:eastAsiaTheme="minorEastAsia"/>
        </w:rPr>
        <w:instrText>Table</w:instrText>
      </w:r>
      <w:r w:rsidRPr="005B2BBD">
        <w:rPr>
          <w:rFonts w:eastAsiaTheme="minorEastAsia"/>
          <w:lang w:val="ru-RU"/>
        </w:rPr>
        <w:instrText>2.</w:instrText>
      </w:r>
      <w:r w:rsidRPr="00821B6B">
        <w:rPr>
          <w:rFonts w:eastAsiaTheme="minorEastAsia"/>
        </w:rPr>
        <w:instrText>pdf</w:instrText>
      </w:r>
      <w:r w:rsidRPr="005B2BBD">
        <w:rPr>
          <w:rFonts w:eastAsiaTheme="minorEastAsia"/>
          <w:lang w:val="ru-RU"/>
        </w:rPr>
        <w:instrText>"</w:instrText>
      </w:r>
      <w:r w:rsidRPr="00821B6B">
        <w:rPr>
          <w:rFonts w:eastAsiaTheme="minorEastAsia"/>
        </w:rPr>
      </w:r>
      <w:r w:rsidRPr="00821B6B">
        <w:rPr>
          <w:rFonts w:eastAsiaTheme="minorEastAsia"/>
        </w:rPr>
        <w:fldChar w:fldCharType="separate"/>
      </w:r>
      <w:r w:rsidRPr="005B2BBD">
        <w:rPr>
          <w:rStyle w:val="Hyperlink"/>
          <w:rFonts w:eastAsiaTheme="minorEastAsia"/>
          <w:b/>
          <w:bCs/>
          <w:lang w:val="ru-RU"/>
        </w:rPr>
        <w:t>См. таб</w:t>
      </w:r>
      <w:r w:rsidRPr="005B2BBD">
        <w:rPr>
          <w:rStyle w:val="Hyperlink"/>
          <w:rFonts w:eastAsiaTheme="minorEastAsia"/>
          <w:b/>
          <w:bCs/>
          <w:lang w:val="ru-RU"/>
        </w:rPr>
        <w:t>л</w:t>
      </w:r>
      <w:r w:rsidRPr="005B2BBD">
        <w:rPr>
          <w:rStyle w:val="Hyperlink"/>
          <w:rFonts w:eastAsiaTheme="minorEastAsia"/>
          <w:b/>
          <w:bCs/>
          <w:lang w:val="ru-RU"/>
        </w:rPr>
        <w:t>ицу 2</w:t>
      </w:r>
      <w:r w:rsidRPr="005B2BBD">
        <w:rPr>
          <w:rFonts w:eastAsiaTheme="minorEastAsia"/>
          <w:lang w:val="ru-RU"/>
        </w:rPr>
        <w:t>.</w:t>
      </w:r>
      <w:r w:rsidRPr="00821B6B">
        <w:rPr>
          <w:rFonts w:eastAsiaTheme="minorEastAsia"/>
        </w:rPr>
        <w:fldChar w:fldCharType="end"/>
      </w:r>
    </w:p>
    <w:p w14:paraId="0CFE84B2" w14:textId="6A4A86D1" w:rsidR="00B42F5B" w:rsidRPr="002C6523" w:rsidRDefault="00B42F5B" w:rsidP="00B42F5B">
      <w:pPr>
        <w:pStyle w:val="Note"/>
        <w:rPr>
          <w:rFonts w:eastAsiaTheme="minorEastAsia"/>
          <w:lang w:val="ru-RU"/>
        </w:rPr>
      </w:pPr>
      <w:r w:rsidRPr="002C6523">
        <w:rPr>
          <w:rFonts w:eastAsiaTheme="minorEastAsia"/>
          <w:lang w:val="ru-RU"/>
        </w:rPr>
        <w:t xml:space="preserve">Примечание 1. </w:t>
      </w:r>
      <w:r w:rsidR="00B70753" w:rsidRPr="00B70753">
        <w:rPr>
          <w:rFonts w:eastAsiaTheme="minorEastAsia"/>
          <w:lang w:val="ru-RU"/>
        </w:rPr>
        <w:t>−</w:t>
      </w:r>
      <w:r w:rsidRPr="002C6523">
        <w:rPr>
          <w:rFonts w:eastAsiaTheme="minorEastAsia"/>
          <w:lang w:val="ru-RU"/>
        </w:rPr>
        <w:t xml:space="preserve"> Присвоения из принятого на ВКР-2000 Плана заменены присвоениями в результате применения Резолюции </w:t>
      </w:r>
      <w:r w:rsidRPr="002C6523">
        <w:rPr>
          <w:rFonts w:eastAsiaTheme="minorEastAsia"/>
          <w:b/>
          <w:bCs/>
          <w:lang w:val="ru-RU"/>
        </w:rPr>
        <w:t xml:space="preserve">559 (ВКР-19) </w:t>
      </w:r>
      <w:r w:rsidRPr="002C6523">
        <w:rPr>
          <w:rFonts w:eastAsiaTheme="minorEastAsia"/>
          <w:lang w:val="ru-RU"/>
        </w:rPr>
        <w:t>на ВКР-23.</w:t>
      </w:r>
    </w:p>
    <w:p w14:paraId="1B3548C1" w14:textId="01B62985" w:rsidR="00B42F5B" w:rsidRPr="002C6523" w:rsidRDefault="00B42F5B" w:rsidP="00B42F5B">
      <w:pPr>
        <w:pStyle w:val="Note"/>
        <w:rPr>
          <w:rFonts w:eastAsiaTheme="minorEastAsia"/>
          <w:lang w:val="ru-RU"/>
        </w:rPr>
      </w:pPr>
      <w:r w:rsidRPr="002C6523">
        <w:rPr>
          <w:rFonts w:eastAsiaTheme="minorEastAsia"/>
          <w:lang w:val="ru-RU"/>
        </w:rPr>
        <w:t xml:space="preserve">Примечание 2. </w:t>
      </w:r>
      <w:r w:rsidR="00B70753" w:rsidRPr="00B70753">
        <w:rPr>
          <w:rFonts w:eastAsiaTheme="minorEastAsia"/>
          <w:lang w:val="ru-RU"/>
        </w:rPr>
        <w:t>−</w:t>
      </w:r>
      <w:r w:rsidRPr="002C6523">
        <w:rPr>
          <w:rFonts w:eastAsiaTheme="minorEastAsia"/>
          <w:lang w:val="ru-RU"/>
        </w:rPr>
        <w:t xml:space="preserve"> Администрация Южного Судана как нового Государства </w:t>
      </w:r>
      <w:r w:rsidR="00B70753" w:rsidRPr="00B70753">
        <w:rPr>
          <w:rFonts w:eastAsiaTheme="minorEastAsia"/>
          <w:lang w:val="ru-RU"/>
        </w:rPr>
        <w:t>−</w:t>
      </w:r>
      <w:r w:rsidRPr="002C6523">
        <w:rPr>
          <w:rFonts w:eastAsiaTheme="minorEastAsia"/>
          <w:lang w:val="ru-RU"/>
        </w:rPr>
        <w:t xml:space="preserve"> Члена МСЭ получила новую запись на ВКР-23 в соответствии с Резолюцией </w:t>
      </w:r>
      <w:r w:rsidRPr="002C6523">
        <w:rPr>
          <w:rFonts w:eastAsiaTheme="minorEastAsia"/>
          <w:b/>
          <w:bCs/>
          <w:lang w:val="ru-RU"/>
        </w:rPr>
        <w:t>559 (ВКР-19)</w:t>
      </w:r>
      <w:r w:rsidRPr="002C6523">
        <w:rPr>
          <w:rFonts w:eastAsiaTheme="minorEastAsia"/>
          <w:lang w:val="ru-RU"/>
        </w:rPr>
        <w:t>.</w:t>
      </w:r>
    </w:p>
    <w:bookmarkEnd w:id="34"/>
    <w:p w14:paraId="6634CE68" w14:textId="77777777" w:rsidR="00B42F5B" w:rsidRPr="002C6523" w:rsidRDefault="00B42F5B" w:rsidP="00B42F5B">
      <w:pPr>
        <w:pStyle w:val="Heading2"/>
        <w:rPr>
          <w:lang w:val="ru-RU"/>
        </w:rPr>
      </w:pPr>
      <w:r w:rsidRPr="002C6523">
        <w:rPr>
          <w:lang w:val="ru-RU"/>
        </w:rPr>
        <w:t>1.3</w:t>
      </w:r>
      <w:r w:rsidRPr="002C6523">
        <w:rPr>
          <w:lang w:val="ru-RU"/>
        </w:rPr>
        <w:tab/>
      </w:r>
      <w:bookmarkStart w:id="35" w:name="lt_pId2256"/>
      <w:r w:rsidRPr="002C6523">
        <w:rPr>
          <w:lang w:val="ru-RU"/>
        </w:rPr>
        <w:t>Выполнение Резолюции</w:t>
      </w:r>
      <w:r w:rsidRPr="002C6523">
        <w:rPr>
          <w:lang w:val="en-US"/>
        </w:rPr>
        <w:t> </w:t>
      </w:r>
      <w:r w:rsidRPr="002C6523">
        <w:rPr>
          <w:lang w:val="ru-RU"/>
        </w:rPr>
        <w:t>559 (ВКР-19)</w:t>
      </w:r>
      <w:bookmarkEnd w:id="35"/>
    </w:p>
    <w:p w14:paraId="12DF51C3" w14:textId="77777777" w:rsidR="00B42F5B" w:rsidRPr="002C6523" w:rsidRDefault="00B42F5B" w:rsidP="00B70753">
      <w:pPr>
        <w:rPr>
          <w:lang w:val="ru-RU"/>
        </w:rPr>
      </w:pPr>
      <w:bookmarkStart w:id="36" w:name="lt_pId093"/>
      <w:r w:rsidRPr="002C6523">
        <w:rPr>
          <w:lang w:val="ru-RU"/>
        </w:rPr>
        <w:t xml:space="preserve">Как упоминалось в разделе 1.1 выше, 41 из 45 отвечающих критериям администраций успешно применила Резолюцию </w:t>
      </w:r>
      <w:r w:rsidRPr="002C6523">
        <w:rPr>
          <w:b/>
          <w:bCs/>
          <w:lang w:val="ru-RU"/>
        </w:rPr>
        <w:t>559 (ВКР-19)</w:t>
      </w:r>
      <w:r w:rsidRPr="002C6523">
        <w:rPr>
          <w:lang w:val="ru-RU"/>
        </w:rPr>
        <w:t xml:space="preserve"> и получила новые присвоения в Плане для Районов 1 и 3 на ВКР-23. В таблице 3 ниже указаны максимальные и минимальные значения EPM для четырех оставшихся запросов, представленных в соответствии с Резолюцией </w:t>
      </w:r>
      <w:r w:rsidRPr="002C6523">
        <w:rPr>
          <w:b/>
          <w:bCs/>
          <w:lang w:val="ru-RU"/>
        </w:rPr>
        <w:t>559 (ВКР-19)</w:t>
      </w:r>
      <w:r w:rsidRPr="002C6523">
        <w:rPr>
          <w:lang w:val="ru-RU"/>
        </w:rPr>
        <w:t>. Бюро радиосвязи продолжает оказывать помощь этим администрациям, чтобы они смогли получить новые присвоения в Плане для Районов 1 и 3 на ВКР-27.</w:t>
      </w:r>
    </w:p>
    <w:p w14:paraId="1C50617C" w14:textId="77777777" w:rsidR="00B42F5B" w:rsidRPr="002C6523" w:rsidRDefault="00B42F5B" w:rsidP="00B42F5B">
      <w:pPr>
        <w:pStyle w:val="TableNo"/>
        <w:rPr>
          <w:lang w:val="ru-RU"/>
        </w:rPr>
      </w:pPr>
      <w:bookmarkStart w:id="37" w:name="lt_pId2267"/>
      <w:bookmarkEnd w:id="36"/>
      <w:r w:rsidRPr="002C6523">
        <w:rPr>
          <w:lang w:val="ru-RU"/>
        </w:rPr>
        <w:lastRenderedPageBreak/>
        <w:t>ТАБЛИЦА</w:t>
      </w:r>
      <w:r w:rsidRPr="002C6523">
        <w:rPr>
          <w:lang w:val="en-US"/>
        </w:rPr>
        <w:t> </w:t>
      </w:r>
      <w:r w:rsidRPr="002C6523">
        <w:rPr>
          <w:lang w:val="ru-RU"/>
        </w:rPr>
        <w:t>3</w:t>
      </w:r>
      <w:bookmarkEnd w:id="37"/>
    </w:p>
    <w:p w14:paraId="52B89C00" w14:textId="77777777" w:rsidR="00B42F5B" w:rsidRPr="002C6523" w:rsidRDefault="00B42F5B" w:rsidP="00B42F5B">
      <w:pPr>
        <w:pStyle w:val="Tabletitle"/>
        <w:rPr>
          <w:lang w:val="ru-RU"/>
        </w:rPr>
      </w:pPr>
      <w:bookmarkStart w:id="38" w:name="lt_pId2268"/>
      <w:r w:rsidRPr="002C6523">
        <w:rPr>
          <w:lang w:val="ru-RU"/>
        </w:rPr>
        <w:t>Диапазон значений EPM четырех оставшихся запросов согласно Резолюции</w:t>
      </w:r>
      <w:r w:rsidRPr="002C6523">
        <w:rPr>
          <w:lang w:val="en-US"/>
        </w:rPr>
        <w:t> </w:t>
      </w:r>
      <w:r w:rsidRPr="002C6523">
        <w:rPr>
          <w:lang w:val="ru-RU"/>
        </w:rPr>
        <w:t>559 (ВКР-19)</w:t>
      </w:r>
    </w:p>
    <w:tbl>
      <w:tblPr>
        <w:tblW w:w="8101" w:type="dxa"/>
        <w:jc w:val="center"/>
        <w:tblLayout w:type="fixed"/>
        <w:tblLook w:val="04A0" w:firstRow="1" w:lastRow="0" w:firstColumn="1" w:lastColumn="0" w:noHBand="0" w:noVBand="1"/>
      </w:tblPr>
      <w:tblGrid>
        <w:gridCol w:w="1449"/>
        <w:gridCol w:w="1224"/>
        <w:gridCol w:w="1330"/>
        <w:gridCol w:w="1384"/>
        <w:gridCol w:w="1330"/>
        <w:gridCol w:w="1384"/>
      </w:tblGrid>
      <w:tr w:rsidR="00B42F5B" w:rsidRPr="002C6523" w14:paraId="132861FF" w14:textId="77777777" w:rsidTr="000C466F">
        <w:trPr>
          <w:trHeight w:val="300"/>
          <w:tblHeader/>
          <w:jc w:val="center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38"/>
          <w:p w14:paraId="0F45908F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  <w:r w:rsidRPr="002C6523">
              <w:rPr>
                <w:lang w:val="ru-RU" w:eastAsia="zh-CN"/>
              </w:rPr>
              <w:t>Администра</w:t>
            </w:r>
            <w:r w:rsidRPr="002C6523">
              <w:rPr>
                <w:lang w:val="ru-RU" w:eastAsia="zh-CN"/>
              </w:rPr>
              <w:softHyphen/>
              <w:t>ция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6848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  <w:r w:rsidRPr="002C6523">
              <w:rPr>
                <w:bCs/>
                <w:lang w:val="ru-RU" w:eastAsia="zh-CN"/>
              </w:rPr>
              <w:t>Орбиталь</w:t>
            </w:r>
            <w:r w:rsidRPr="002C6523">
              <w:rPr>
                <w:bCs/>
                <w:lang w:val="ru-RU" w:eastAsia="zh-CN"/>
              </w:rPr>
              <w:softHyphen/>
              <w:t>ная позиция (</w:t>
            </w:r>
            <w:r w:rsidRPr="002C6523">
              <w:rPr>
                <w:bCs/>
                <w:lang w:val="ru-RU" w:eastAsia="zh-CN"/>
              </w:rPr>
              <w:sym w:font="Symbol" w:char="F0B0"/>
            </w:r>
            <w:r w:rsidRPr="002C6523">
              <w:rPr>
                <w:bCs/>
                <w:lang w:val="ru-RU" w:eastAsia="zh-CN"/>
              </w:rPr>
              <w:t> в. д.)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840C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  <w:r w:rsidRPr="002C6523">
              <w:rPr>
                <w:lang w:val="ru-RU" w:eastAsia="zh-CN"/>
              </w:rPr>
              <w:t>Линия вниз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9DCC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  <w:r w:rsidRPr="002C6523">
              <w:rPr>
                <w:lang w:val="ru-RU" w:eastAsia="zh-CN"/>
              </w:rPr>
              <w:t>Фидерная линия</w:t>
            </w:r>
          </w:p>
        </w:tc>
      </w:tr>
      <w:tr w:rsidR="00B42F5B" w:rsidRPr="002C6523" w14:paraId="1E5ADCCC" w14:textId="77777777" w:rsidTr="000C466F">
        <w:trPr>
          <w:trHeight w:val="300"/>
          <w:tblHeader/>
          <w:jc w:val="center"/>
        </w:trPr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20AC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2054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190C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  <w:bookmarkStart w:id="39" w:name="lt_pId2274"/>
            <w:r w:rsidRPr="002C6523">
              <w:rPr>
                <w:lang w:val="ru-RU" w:eastAsia="zh-CN"/>
              </w:rPr>
              <w:t>Минималь</w:t>
            </w:r>
            <w:r w:rsidRPr="002C6523">
              <w:rPr>
                <w:lang w:val="ru-RU" w:eastAsia="zh-CN"/>
              </w:rPr>
              <w:softHyphen/>
              <w:t>ное значение</w:t>
            </w:r>
            <w:bookmarkEnd w:id="39"/>
            <w:r w:rsidRPr="002C6523">
              <w:rPr>
                <w:lang w:val="ru-RU" w:eastAsia="zh-CN"/>
              </w:rPr>
              <w:br/>
            </w:r>
            <w:bookmarkStart w:id="40" w:name="lt_pId2275"/>
            <w:r w:rsidRPr="002C6523">
              <w:rPr>
                <w:lang w:val="ru-RU" w:eastAsia="zh-CN"/>
              </w:rPr>
              <w:t>EPM (дБ)</w:t>
            </w:r>
            <w:bookmarkEnd w:id="40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B5BA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  <w:bookmarkStart w:id="41" w:name="lt_pId2276"/>
            <w:r w:rsidRPr="002C6523">
              <w:rPr>
                <w:lang w:val="ru-RU" w:eastAsia="zh-CN"/>
              </w:rPr>
              <w:t>Максималь</w:t>
            </w:r>
            <w:r w:rsidRPr="002C6523">
              <w:rPr>
                <w:lang w:val="ru-RU" w:eastAsia="zh-CN"/>
              </w:rPr>
              <w:softHyphen/>
              <w:t>ное значение</w:t>
            </w:r>
            <w:bookmarkEnd w:id="41"/>
            <w:r w:rsidRPr="002C6523">
              <w:rPr>
                <w:lang w:val="ru-RU" w:eastAsia="zh-CN"/>
              </w:rPr>
              <w:br/>
            </w:r>
            <w:bookmarkStart w:id="42" w:name="lt_pId2277"/>
            <w:r w:rsidRPr="002C6523">
              <w:rPr>
                <w:lang w:val="ru-RU" w:eastAsia="zh-CN"/>
              </w:rPr>
              <w:t>EPM (дБ)</w:t>
            </w:r>
            <w:bookmarkEnd w:id="42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8EA3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  <w:r w:rsidRPr="002C6523">
              <w:rPr>
                <w:lang w:val="ru-RU" w:eastAsia="zh-CN"/>
              </w:rPr>
              <w:t>Минималь</w:t>
            </w:r>
            <w:r w:rsidRPr="002C6523">
              <w:rPr>
                <w:lang w:val="ru-RU" w:eastAsia="zh-CN"/>
              </w:rPr>
              <w:softHyphen/>
              <w:t>ное значение</w:t>
            </w:r>
            <w:r w:rsidRPr="002C6523">
              <w:rPr>
                <w:lang w:val="ru-RU" w:eastAsia="zh-CN"/>
              </w:rPr>
              <w:br/>
              <w:t>EPM (дБ)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FCE6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  <w:r w:rsidRPr="002C6523">
              <w:rPr>
                <w:lang w:val="ru-RU" w:eastAsia="zh-CN"/>
              </w:rPr>
              <w:t>Максималь</w:t>
            </w:r>
            <w:r w:rsidRPr="002C6523">
              <w:rPr>
                <w:lang w:val="ru-RU" w:eastAsia="zh-CN"/>
              </w:rPr>
              <w:softHyphen/>
              <w:t>ное значение</w:t>
            </w:r>
            <w:r w:rsidRPr="002C6523">
              <w:rPr>
                <w:lang w:val="ru-RU" w:eastAsia="zh-CN"/>
              </w:rPr>
              <w:br/>
              <w:t>EPM (дБ)</w:t>
            </w:r>
          </w:p>
        </w:tc>
      </w:tr>
      <w:tr w:rsidR="00B42F5B" w:rsidRPr="002C6523" w14:paraId="68B91A4E" w14:textId="77777777" w:rsidTr="000C466F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D53E66" w14:textId="77777777" w:rsidR="00B42F5B" w:rsidRPr="002C6523" w:rsidRDefault="00B42F5B" w:rsidP="000C466F">
            <w:pPr>
              <w:pStyle w:val="Tabletext"/>
              <w:rPr>
                <w:lang w:val="ru-RU" w:eastAsia="zh-CN"/>
              </w:rPr>
            </w:pPr>
            <w:r w:rsidRPr="002C6523">
              <w:rPr>
                <w:lang w:eastAsia="zh-CN"/>
              </w:rPr>
              <w:t>AFG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C7A30C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C6F4F4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3,706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AFF635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7,389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850043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0,094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67B5E0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5,01</w:t>
            </w:r>
          </w:p>
        </w:tc>
      </w:tr>
      <w:tr w:rsidR="00B42F5B" w:rsidRPr="002C6523" w14:paraId="6CA3564B" w14:textId="77777777" w:rsidTr="000C466F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A90" w14:textId="77777777" w:rsidR="00B42F5B" w:rsidRPr="002C6523" w:rsidRDefault="00B42F5B" w:rsidP="000C466F">
            <w:pPr>
              <w:pStyle w:val="Tabletext"/>
              <w:rPr>
                <w:lang w:val="ru-RU" w:eastAsia="zh-CN"/>
              </w:rPr>
            </w:pPr>
            <w:r w:rsidRPr="002C6523">
              <w:rPr>
                <w:lang w:eastAsia="zh-CN"/>
              </w:rPr>
              <w:t>GNE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0330" w14:textId="7C70845E" w:rsidR="00B42F5B" w:rsidRPr="002C6523" w:rsidRDefault="00B70753" w:rsidP="000C466F">
            <w:pPr>
              <w:pStyle w:val="Tabletext"/>
              <w:jc w:val="right"/>
              <w:rPr>
                <w:lang w:val="ru-RU" w:eastAsia="zh-CN"/>
              </w:rPr>
            </w:pPr>
            <w:r>
              <w:rPr>
                <w:lang w:eastAsia="zh-CN"/>
              </w:rPr>
              <w:t>−</w:t>
            </w:r>
            <w:r w:rsidR="00B42F5B" w:rsidRPr="002C6523">
              <w:rPr>
                <w:lang w:eastAsia="zh-CN"/>
              </w:rPr>
              <w:t>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3036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1,188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7769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6,783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D149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13,794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4B4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18,476</w:t>
            </w:r>
          </w:p>
        </w:tc>
      </w:tr>
      <w:tr w:rsidR="00B42F5B" w:rsidRPr="002C6523" w14:paraId="7CDC319F" w14:textId="77777777" w:rsidTr="000C466F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327155" w14:textId="77777777" w:rsidR="00B42F5B" w:rsidRPr="002C6523" w:rsidRDefault="00B42F5B" w:rsidP="000C466F">
            <w:pPr>
              <w:pStyle w:val="Tabletext"/>
              <w:rPr>
                <w:lang w:val="ru-RU" w:eastAsia="zh-CN"/>
              </w:rPr>
            </w:pPr>
            <w:r w:rsidRPr="002C6523">
              <w:rPr>
                <w:lang w:eastAsia="zh-CN"/>
              </w:rPr>
              <w:t>MLT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2ADE9" w14:textId="38D06996" w:rsidR="00B42F5B" w:rsidRPr="002C6523" w:rsidRDefault="00B70753" w:rsidP="000C466F">
            <w:pPr>
              <w:pStyle w:val="Tabletext"/>
              <w:jc w:val="right"/>
              <w:rPr>
                <w:lang w:val="ru-RU" w:eastAsia="zh-CN"/>
              </w:rPr>
            </w:pPr>
            <w:r>
              <w:rPr>
                <w:lang w:eastAsia="zh-CN"/>
              </w:rPr>
              <w:t>−</w:t>
            </w:r>
            <w:r w:rsidR="00B42F5B" w:rsidRPr="002C6523">
              <w:rPr>
                <w:lang w:eastAsia="zh-CN"/>
              </w:rPr>
              <w:t>37,5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689EE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2,798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63179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4,39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44C9C6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5,221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D6A1B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5,583</w:t>
            </w:r>
          </w:p>
        </w:tc>
      </w:tr>
      <w:tr w:rsidR="00B42F5B" w:rsidRPr="002C6523" w14:paraId="6641255F" w14:textId="77777777" w:rsidTr="000C466F">
        <w:trPr>
          <w:trHeight w:val="30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9A39" w14:textId="77777777" w:rsidR="00B42F5B" w:rsidRPr="002C6523" w:rsidRDefault="00B42F5B" w:rsidP="000C466F">
            <w:pPr>
              <w:pStyle w:val="Tabletext"/>
              <w:rPr>
                <w:lang w:val="ru-RU" w:eastAsia="zh-CN"/>
              </w:rPr>
            </w:pPr>
            <w:r w:rsidRPr="002C6523">
              <w:rPr>
                <w:lang w:eastAsia="zh-CN"/>
              </w:rPr>
              <w:t>SEY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411F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45,2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EF84" w14:textId="052FA7D3" w:rsidR="00B42F5B" w:rsidRPr="002C6523" w:rsidRDefault="00B70753" w:rsidP="000C466F">
            <w:pPr>
              <w:pStyle w:val="Tabletext"/>
              <w:jc w:val="right"/>
              <w:rPr>
                <w:lang w:val="ru-RU" w:eastAsia="zh-CN"/>
              </w:rPr>
            </w:pPr>
            <w:r>
              <w:rPr>
                <w:lang w:eastAsia="zh-CN"/>
              </w:rPr>
              <w:t>−</w:t>
            </w:r>
            <w:r w:rsidR="00B42F5B" w:rsidRPr="002C6523">
              <w:rPr>
                <w:lang w:eastAsia="zh-CN"/>
              </w:rPr>
              <w:t>6,055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9011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0,639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B259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20,717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AF76" w14:textId="77777777" w:rsidR="00B42F5B" w:rsidRPr="002C6523" w:rsidRDefault="00B42F5B" w:rsidP="000C466F">
            <w:pPr>
              <w:pStyle w:val="Tabletext"/>
              <w:jc w:val="right"/>
              <w:rPr>
                <w:lang w:val="ru-RU" w:eastAsia="zh-CN"/>
              </w:rPr>
            </w:pPr>
            <w:r w:rsidRPr="002C6523">
              <w:rPr>
                <w:lang w:eastAsia="zh-CN"/>
              </w:rPr>
              <w:t>22,543</w:t>
            </w:r>
          </w:p>
        </w:tc>
      </w:tr>
    </w:tbl>
    <w:p w14:paraId="6C438FBE" w14:textId="77777777" w:rsidR="00B42F5B" w:rsidRPr="002C6523" w:rsidRDefault="00B42F5B" w:rsidP="00B42F5B">
      <w:pPr>
        <w:pStyle w:val="Heading2"/>
        <w:rPr>
          <w:lang w:val="ru-RU"/>
        </w:rPr>
      </w:pPr>
      <w:r w:rsidRPr="002C6523">
        <w:rPr>
          <w:lang w:val="ru-RU"/>
        </w:rPr>
        <w:t>1.4</w:t>
      </w:r>
      <w:r w:rsidRPr="002C6523">
        <w:rPr>
          <w:lang w:val="ru-RU"/>
        </w:rPr>
        <w:tab/>
      </w:r>
      <w:bookmarkStart w:id="43" w:name="lt_pId2558"/>
      <w:r w:rsidRPr="002C6523">
        <w:rPr>
          <w:lang w:val="ru-RU"/>
        </w:rPr>
        <w:t xml:space="preserve">Краткий обзор ситуации со Списками для дополнительных видов использования для Районов 1 и 3 </w:t>
      </w:r>
    </w:p>
    <w:p w14:paraId="76EE4AE1" w14:textId="77777777" w:rsidR="00B42F5B" w:rsidRPr="002C6523" w:rsidRDefault="00B42F5B" w:rsidP="00B42F5B">
      <w:pPr>
        <w:keepNext/>
        <w:rPr>
          <w:lang w:val="ru-RU"/>
        </w:rPr>
      </w:pPr>
      <w:bookmarkStart w:id="44" w:name="lt_pId2559"/>
      <w:bookmarkEnd w:id="43"/>
      <w:r w:rsidRPr="002C6523">
        <w:rPr>
          <w:lang w:val="ru-RU"/>
        </w:rPr>
        <w:t>Дополнительные виды использования в Районах 1 и 3 согласно Приложениям </w:t>
      </w:r>
      <w:r w:rsidRPr="002C6523">
        <w:rPr>
          <w:b/>
          <w:lang w:val="ru-RU"/>
        </w:rPr>
        <w:t>30</w:t>
      </w:r>
      <w:r w:rsidRPr="002C6523">
        <w:rPr>
          <w:lang w:val="ru-RU"/>
        </w:rPr>
        <w:t xml:space="preserve"> и </w:t>
      </w:r>
      <w:r w:rsidRPr="002C6523">
        <w:rPr>
          <w:b/>
          <w:lang w:val="ru-RU"/>
        </w:rPr>
        <w:t>30A</w:t>
      </w:r>
      <w:r w:rsidRPr="002C6523">
        <w:rPr>
          <w:lang w:val="ru-RU"/>
        </w:rPr>
        <w:t xml:space="preserve"> включают:</w:t>
      </w:r>
    </w:p>
    <w:bookmarkEnd w:id="44"/>
    <w:p w14:paraId="2EBB9872" w14:textId="77777777" w:rsidR="00B42F5B" w:rsidRPr="005B2BBD" w:rsidRDefault="00B42F5B" w:rsidP="00B70753">
      <w:pPr>
        <w:pStyle w:val="enumlev1"/>
        <w:rPr>
          <w:lang w:val="ru-RU"/>
        </w:rPr>
      </w:pPr>
      <w:r w:rsidRPr="005B2BBD">
        <w:rPr>
          <w:lang w:val="ru-RU"/>
        </w:rPr>
        <w:t>•</w:t>
      </w:r>
      <w:r w:rsidRPr="005B2BBD">
        <w:rPr>
          <w:lang w:val="ru-RU"/>
        </w:rPr>
        <w:tab/>
        <w:t>использование присвоений с характеристиками, отличными от характеристик, указанных в Планах, которые могут создавать помехи более высокого уровня, чем указано в соответствующих записях в этих Планах;</w:t>
      </w:r>
    </w:p>
    <w:p w14:paraId="6DD406E2" w14:textId="77777777" w:rsidR="00B42F5B" w:rsidRPr="005B2BBD" w:rsidRDefault="00B42F5B" w:rsidP="00B70753">
      <w:pPr>
        <w:pStyle w:val="enumlev1"/>
        <w:rPr>
          <w:lang w:val="ru-RU"/>
        </w:rPr>
      </w:pPr>
      <w:r w:rsidRPr="005B2BBD">
        <w:rPr>
          <w:lang w:val="ru-RU"/>
        </w:rPr>
        <w:t>•</w:t>
      </w:r>
      <w:r w:rsidRPr="005B2BBD">
        <w:rPr>
          <w:lang w:val="ru-RU"/>
        </w:rPr>
        <w:tab/>
        <w:t>использование присвоений в дополнение к присвоениям, указанным в Планах.</w:t>
      </w:r>
    </w:p>
    <w:p w14:paraId="7A18F227" w14:textId="77777777" w:rsidR="00B42F5B" w:rsidRPr="002C6523" w:rsidRDefault="00B42F5B" w:rsidP="00B70753">
      <w:pPr>
        <w:rPr>
          <w:lang w:val="ru-RU"/>
        </w:rPr>
      </w:pPr>
      <w:bookmarkStart w:id="45" w:name="lt_pId2562"/>
      <w:r w:rsidRPr="002C6523">
        <w:rPr>
          <w:lang w:val="ru-RU"/>
        </w:rPr>
        <w:t>Различные администрации применили процедуры согласно Статье 4 Приложений </w:t>
      </w:r>
      <w:r w:rsidRPr="002C6523">
        <w:rPr>
          <w:b/>
          <w:lang w:val="ru-RU"/>
        </w:rPr>
        <w:t>30</w:t>
      </w:r>
      <w:r w:rsidRPr="002C6523">
        <w:rPr>
          <w:lang w:val="ru-RU"/>
        </w:rPr>
        <w:t xml:space="preserve"> и </w:t>
      </w:r>
      <w:r w:rsidRPr="002C6523">
        <w:rPr>
          <w:b/>
          <w:lang w:val="ru-RU"/>
        </w:rPr>
        <w:t>30А</w:t>
      </w:r>
      <w:r w:rsidRPr="002C6523">
        <w:rPr>
          <w:lang w:val="ru-RU"/>
        </w:rPr>
        <w:t xml:space="preserve"> для дополнительных видов использования в Районах 1 и 3. В таблицах 4 и 5 ниже приведены данные о количестве сетей для дополнительного использования, которые были включены в Списки Приложений </w:t>
      </w:r>
      <w:r w:rsidRPr="002C6523">
        <w:rPr>
          <w:b/>
          <w:lang w:val="ru-RU"/>
        </w:rPr>
        <w:t>30</w:t>
      </w:r>
      <w:r w:rsidRPr="002C6523">
        <w:rPr>
          <w:lang w:val="ru-RU"/>
        </w:rPr>
        <w:t xml:space="preserve"> и </w:t>
      </w:r>
      <w:r w:rsidRPr="002C6523">
        <w:rPr>
          <w:b/>
          <w:lang w:val="ru-RU"/>
        </w:rPr>
        <w:t>30А</w:t>
      </w:r>
      <w:r w:rsidRPr="002C6523">
        <w:rPr>
          <w:lang w:val="ru-RU"/>
        </w:rPr>
        <w:t xml:space="preserve"> по состоянию на 20 февраля 2024 года (ИФИК БР № 3015).</w:t>
      </w:r>
    </w:p>
    <w:p w14:paraId="2A0EAB4B" w14:textId="77777777" w:rsidR="00B42F5B" w:rsidRPr="002C6523" w:rsidRDefault="00B42F5B" w:rsidP="00B42F5B">
      <w:pPr>
        <w:pStyle w:val="TableNo"/>
        <w:rPr>
          <w:lang w:val="ru-RU"/>
        </w:rPr>
      </w:pPr>
      <w:bookmarkStart w:id="46" w:name="lt_pId2564"/>
      <w:bookmarkEnd w:id="45"/>
      <w:r w:rsidRPr="002C6523">
        <w:rPr>
          <w:lang w:val="ru-RU"/>
        </w:rPr>
        <w:lastRenderedPageBreak/>
        <w:t>ТАБЛИЦА 4</w:t>
      </w:r>
      <w:bookmarkEnd w:id="46"/>
    </w:p>
    <w:p w14:paraId="0FCE3018" w14:textId="77777777" w:rsidR="00B42F5B" w:rsidRPr="005B2BBD" w:rsidRDefault="00B42F5B" w:rsidP="00B70753">
      <w:pPr>
        <w:pStyle w:val="Tabletitle"/>
        <w:rPr>
          <w:lang w:val="ru-RU"/>
        </w:rPr>
      </w:pPr>
      <w:bookmarkStart w:id="47" w:name="lt_pId2565"/>
      <w:r w:rsidRPr="005B2BBD">
        <w:rPr>
          <w:lang w:val="ru-RU"/>
        </w:rPr>
        <w:t>Количество сетей для дополнительного использования, включенных в Список</w:t>
      </w:r>
      <w:r w:rsidRPr="00B70753">
        <w:t> </w:t>
      </w:r>
      <w:r w:rsidRPr="005B2BBD">
        <w:rPr>
          <w:lang w:val="ru-RU"/>
        </w:rPr>
        <w:t>Приложения</w:t>
      </w:r>
      <w:r w:rsidRPr="00B70753">
        <w:t> </w:t>
      </w:r>
      <w:r w:rsidRPr="005B2BBD">
        <w:rPr>
          <w:lang w:val="ru-RU"/>
        </w:rPr>
        <w:t>30</w:t>
      </w:r>
    </w:p>
    <w:tbl>
      <w:tblPr>
        <w:tblW w:w="6995" w:type="dxa"/>
        <w:jc w:val="center"/>
        <w:tblLook w:val="04A0" w:firstRow="1" w:lastRow="0" w:firstColumn="1" w:lastColumn="0" w:noHBand="0" w:noVBand="1"/>
      </w:tblPr>
      <w:tblGrid>
        <w:gridCol w:w="1715"/>
        <w:gridCol w:w="1735"/>
        <w:gridCol w:w="1715"/>
        <w:gridCol w:w="1830"/>
      </w:tblGrid>
      <w:tr w:rsidR="00B42F5B" w:rsidRPr="002C6523" w14:paraId="1641B0C0" w14:textId="77777777" w:rsidTr="005B2BBD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C602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  <w:r w:rsidRPr="002C6523">
              <w:rPr>
                <w:lang w:val="ru-RU" w:eastAsia="zh-CN"/>
              </w:rPr>
              <w:t>Администрация</w:t>
            </w:r>
            <w:r w:rsidRPr="002C6523">
              <w:rPr>
                <w:lang w:val="ru-RU" w:eastAsia="zh-CN"/>
              </w:rPr>
              <w:br/>
              <w:t>(организация)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142AE5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  <w:r w:rsidRPr="002C6523">
              <w:rPr>
                <w:lang w:val="ru-RU" w:eastAsia="zh-CN"/>
              </w:rPr>
              <w:t>Количество сетей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69E2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  <w:r w:rsidRPr="002C6523">
              <w:rPr>
                <w:lang w:val="ru-RU" w:eastAsia="zh-CN"/>
              </w:rPr>
              <w:t>Администрация</w:t>
            </w:r>
            <w:r w:rsidRPr="002C6523">
              <w:rPr>
                <w:lang w:val="ru-RU" w:eastAsia="zh-CN"/>
              </w:rPr>
              <w:br/>
              <w:t>(организация)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E302" w14:textId="77777777" w:rsidR="00B42F5B" w:rsidRPr="002C6523" w:rsidRDefault="00B42F5B" w:rsidP="005B2BBD">
            <w:pPr>
              <w:pStyle w:val="Tablehead"/>
              <w:rPr>
                <w:lang w:val="ru-RU" w:eastAsia="zh-CN"/>
              </w:rPr>
            </w:pPr>
            <w:r w:rsidRPr="002C6523">
              <w:rPr>
                <w:lang w:val="ru-RU" w:eastAsia="zh-CN"/>
              </w:rPr>
              <w:t>Количество сетей</w:t>
            </w:r>
          </w:p>
        </w:tc>
      </w:tr>
      <w:tr w:rsidR="00B42F5B" w:rsidRPr="002C6523" w14:paraId="65EB8220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743D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ALG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B4634BB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CB69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ISR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877C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1</w:t>
            </w:r>
          </w:p>
        </w:tc>
      </w:tr>
      <w:tr w:rsidR="00B42F5B" w:rsidRPr="002C6523" w14:paraId="3D1EFF9B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FCEA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ARS/ARB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6525713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6B56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J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B0C2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9</w:t>
            </w:r>
          </w:p>
        </w:tc>
      </w:tr>
      <w:tr w:rsidR="00B42F5B" w:rsidRPr="002C6523" w14:paraId="20EF60CD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C42F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AUS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4B327F9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0B0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KOR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02B2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2</w:t>
            </w:r>
          </w:p>
        </w:tc>
      </w:tr>
      <w:tr w:rsidR="00B42F5B" w:rsidRPr="002C6523" w14:paraId="1853BBD9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4EF3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BUL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21E75C7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214C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LUX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1775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14</w:t>
            </w:r>
          </w:p>
        </w:tc>
      </w:tr>
      <w:tr w:rsidR="00B42F5B" w:rsidRPr="002C6523" w14:paraId="43C1A558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2D3A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CHN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185E928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6A44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MCO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7829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3</w:t>
            </w:r>
          </w:p>
        </w:tc>
      </w:tr>
      <w:tr w:rsidR="00B42F5B" w:rsidRPr="002C6523" w14:paraId="17F387F6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02BF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CYP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7035B2A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24CF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MLA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F23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1</w:t>
            </w:r>
          </w:p>
        </w:tc>
      </w:tr>
      <w:tr w:rsidR="00B42F5B" w:rsidRPr="002C6523" w14:paraId="27EE4DD9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9E76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D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9D31A9E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DBB8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NOR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DDC9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4</w:t>
            </w:r>
          </w:p>
        </w:tc>
      </w:tr>
      <w:tr w:rsidR="00B42F5B" w:rsidRPr="002C6523" w14:paraId="0FEED9BB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51F9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1AEBCFB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F61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PAK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425F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1</w:t>
            </w:r>
          </w:p>
        </w:tc>
      </w:tr>
      <w:tr w:rsidR="00B42F5B" w:rsidRPr="002C6523" w14:paraId="79A7A987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9CA5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EGY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63D4B3F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798B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PNG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922E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9</w:t>
            </w:r>
          </w:p>
        </w:tc>
      </w:tr>
      <w:tr w:rsidR="00B42F5B" w:rsidRPr="002C6523" w14:paraId="3C6DF846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9070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F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5F4DDD9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9A68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RUS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7A0C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5</w:t>
            </w:r>
          </w:p>
        </w:tc>
      </w:tr>
      <w:tr w:rsidR="00B42F5B" w:rsidRPr="002C6523" w14:paraId="7F80731F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6E11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F/EUT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3BD7DCF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3CCC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RUS/IK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4CB5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4</w:t>
            </w:r>
          </w:p>
        </w:tc>
      </w:tr>
      <w:tr w:rsidR="00B42F5B" w:rsidRPr="002C6523" w14:paraId="77B0E40E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7561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G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E1CF3A9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8A1D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S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4DB5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6</w:t>
            </w:r>
          </w:p>
        </w:tc>
      </w:tr>
      <w:tr w:rsidR="00B42F5B" w:rsidRPr="002C6523" w14:paraId="3C2577F3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DBFB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GRC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8E8FF6D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F13B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TUR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4F34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2</w:t>
            </w:r>
          </w:p>
        </w:tc>
      </w:tr>
      <w:tr w:rsidR="00B42F5B" w:rsidRPr="002C6523" w14:paraId="303FA2A3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7B00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HOL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6B65AAE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C171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UAE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EC2F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5</w:t>
            </w:r>
          </w:p>
        </w:tc>
      </w:tr>
      <w:tr w:rsidR="00B42F5B" w:rsidRPr="002C6523" w14:paraId="0CABC87D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1FB5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802A16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64D5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USA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2D39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3</w:t>
            </w:r>
          </w:p>
        </w:tc>
      </w:tr>
      <w:tr w:rsidR="00B42F5B" w:rsidRPr="002C6523" w14:paraId="63076807" w14:textId="77777777" w:rsidTr="000C466F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22A7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IRN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F391FD6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  <w:r w:rsidRPr="002C6523">
              <w:rPr>
                <w:lang w:val="ru-RU" w:eastAsia="zh-C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0CF0" w14:textId="77777777" w:rsidR="00B42F5B" w:rsidRPr="002C6523" w:rsidRDefault="00B42F5B" w:rsidP="00821B6B">
            <w:pPr>
              <w:pStyle w:val="Tabletext"/>
              <w:rPr>
                <w:b/>
                <w:lang w:val="ru-RU"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35DE" w14:textId="77777777" w:rsidR="00B42F5B" w:rsidRPr="002C6523" w:rsidRDefault="00B42F5B" w:rsidP="00B70753">
            <w:pPr>
              <w:pStyle w:val="Tabletext"/>
              <w:jc w:val="center"/>
              <w:rPr>
                <w:b/>
                <w:lang w:val="ru-RU" w:eastAsia="zh-CN"/>
              </w:rPr>
            </w:pPr>
          </w:p>
        </w:tc>
      </w:tr>
    </w:tbl>
    <w:p w14:paraId="2E2EC16A" w14:textId="77777777" w:rsidR="00B42F5B" w:rsidRPr="002C6523" w:rsidRDefault="00B42F5B" w:rsidP="00B42F5B">
      <w:pPr>
        <w:pStyle w:val="TableNo"/>
        <w:rPr>
          <w:lang w:val="ru-RU"/>
        </w:rPr>
      </w:pPr>
      <w:bookmarkStart w:id="48" w:name="lt_pId2630"/>
      <w:bookmarkEnd w:id="47"/>
      <w:r w:rsidRPr="002C6523">
        <w:rPr>
          <w:lang w:val="ru-RU"/>
        </w:rPr>
        <w:t>таблица 5</w:t>
      </w:r>
      <w:bookmarkEnd w:id="48"/>
    </w:p>
    <w:p w14:paraId="52BED66C" w14:textId="77777777" w:rsidR="00B42F5B" w:rsidRPr="005B2BBD" w:rsidRDefault="00B42F5B" w:rsidP="00B70753">
      <w:pPr>
        <w:pStyle w:val="Tabletitle"/>
        <w:rPr>
          <w:lang w:val="ru-RU"/>
        </w:rPr>
      </w:pPr>
      <w:bookmarkStart w:id="49" w:name="lt_pId2631"/>
      <w:r w:rsidRPr="005B2BBD">
        <w:rPr>
          <w:lang w:val="ru-RU"/>
        </w:rPr>
        <w:t>Количество сетей для дополнительного использования, включенных в Список</w:t>
      </w:r>
      <w:r w:rsidRPr="00B70753">
        <w:t> </w:t>
      </w:r>
      <w:r w:rsidRPr="005B2BBD">
        <w:rPr>
          <w:lang w:val="ru-RU"/>
        </w:rPr>
        <w:t>Приложения</w:t>
      </w:r>
      <w:r w:rsidRPr="00B70753">
        <w:t> </w:t>
      </w:r>
      <w:r w:rsidRPr="005B2BBD">
        <w:rPr>
          <w:lang w:val="ru-RU"/>
        </w:rPr>
        <w:t>30</w:t>
      </w:r>
      <w:r w:rsidRPr="00B70753">
        <w:t>A</w:t>
      </w:r>
    </w:p>
    <w:tbl>
      <w:tblPr>
        <w:tblW w:w="6995" w:type="dxa"/>
        <w:jc w:val="center"/>
        <w:tblLook w:val="04A0" w:firstRow="1" w:lastRow="0" w:firstColumn="1" w:lastColumn="0" w:noHBand="0" w:noVBand="1"/>
      </w:tblPr>
      <w:tblGrid>
        <w:gridCol w:w="1715"/>
        <w:gridCol w:w="1735"/>
        <w:gridCol w:w="1715"/>
        <w:gridCol w:w="1830"/>
      </w:tblGrid>
      <w:tr w:rsidR="00B42F5B" w:rsidRPr="002C6523" w14:paraId="481F2AD4" w14:textId="77777777" w:rsidTr="005B2BBD">
        <w:trPr>
          <w:trHeight w:val="300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49"/>
          <w:p w14:paraId="7E34E20B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  <w:r w:rsidRPr="002C6523">
              <w:rPr>
                <w:lang w:val="ru-RU" w:eastAsia="zh-CN"/>
              </w:rPr>
              <w:t>Администрация</w:t>
            </w:r>
            <w:r w:rsidRPr="002C6523">
              <w:rPr>
                <w:lang w:val="ru-RU" w:eastAsia="zh-CN"/>
              </w:rPr>
              <w:br/>
              <w:t>(организация)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DD0C704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  <w:r w:rsidRPr="002C6523">
              <w:rPr>
                <w:lang w:val="ru-RU" w:eastAsia="zh-CN"/>
              </w:rPr>
              <w:t>Количество сетей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CA94" w14:textId="77777777" w:rsidR="00B42F5B" w:rsidRPr="002C6523" w:rsidRDefault="00B42F5B" w:rsidP="000C466F">
            <w:pPr>
              <w:pStyle w:val="Tablehead"/>
              <w:rPr>
                <w:lang w:val="ru-RU" w:eastAsia="zh-CN"/>
              </w:rPr>
            </w:pPr>
            <w:r w:rsidRPr="002C6523">
              <w:rPr>
                <w:lang w:val="ru-RU" w:eastAsia="zh-CN"/>
              </w:rPr>
              <w:t>Администрация</w:t>
            </w:r>
            <w:r w:rsidRPr="002C6523">
              <w:rPr>
                <w:lang w:val="ru-RU" w:eastAsia="zh-CN"/>
              </w:rPr>
              <w:br/>
              <w:t>(организация)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7FB6" w14:textId="77777777" w:rsidR="00B42F5B" w:rsidRPr="002C6523" w:rsidRDefault="00B42F5B" w:rsidP="005B2BBD">
            <w:pPr>
              <w:pStyle w:val="Tablehead"/>
              <w:rPr>
                <w:lang w:val="ru-RU" w:eastAsia="zh-CN"/>
              </w:rPr>
            </w:pPr>
            <w:r w:rsidRPr="002C6523">
              <w:rPr>
                <w:lang w:val="ru-RU" w:eastAsia="zh-CN"/>
              </w:rPr>
              <w:t>Количество сетей</w:t>
            </w:r>
          </w:p>
        </w:tc>
      </w:tr>
      <w:tr w:rsidR="00B42F5B" w:rsidRPr="00B70753" w14:paraId="2CA51FD7" w14:textId="77777777" w:rsidTr="000C466F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EC51" w14:textId="77777777" w:rsidR="00B42F5B" w:rsidRPr="00B70753" w:rsidRDefault="00B42F5B" w:rsidP="00821B6B">
            <w:pPr>
              <w:pStyle w:val="Tabletext"/>
            </w:pPr>
            <w:bookmarkStart w:id="50" w:name="lt_pId2638"/>
            <w:r w:rsidRPr="00B70753">
              <w:t>ALG</w:t>
            </w:r>
            <w:bookmarkEnd w:id="50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408CF72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112C" w14:textId="77777777" w:rsidR="00B42F5B" w:rsidRPr="00B70753" w:rsidRDefault="00B42F5B" w:rsidP="00821B6B">
            <w:pPr>
              <w:pStyle w:val="Tabletext"/>
            </w:pPr>
            <w:bookmarkStart w:id="51" w:name="lt_pId2640"/>
            <w:r w:rsidRPr="00B70753">
              <w:t>I</w:t>
            </w:r>
            <w:bookmarkEnd w:id="51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86C6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1</w:t>
            </w:r>
          </w:p>
        </w:tc>
      </w:tr>
      <w:tr w:rsidR="00B42F5B" w:rsidRPr="00B70753" w14:paraId="7EF60944" w14:textId="77777777" w:rsidTr="000C466F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40A3" w14:textId="77777777" w:rsidR="00B42F5B" w:rsidRPr="00B70753" w:rsidRDefault="00B42F5B" w:rsidP="00821B6B">
            <w:pPr>
              <w:pStyle w:val="Tabletext"/>
            </w:pPr>
            <w:bookmarkStart w:id="52" w:name="lt_pId2642"/>
            <w:r w:rsidRPr="00B70753">
              <w:t>ARS/ARB</w:t>
            </w:r>
            <w:bookmarkEnd w:id="52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E939CA2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D083" w14:textId="77777777" w:rsidR="00B42F5B" w:rsidRPr="00B70753" w:rsidRDefault="00B42F5B" w:rsidP="00821B6B">
            <w:pPr>
              <w:pStyle w:val="Tabletext"/>
            </w:pPr>
            <w:bookmarkStart w:id="53" w:name="lt_pId2644"/>
            <w:r w:rsidRPr="00B70753">
              <w:t>IRN</w:t>
            </w:r>
            <w:bookmarkEnd w:id="53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0D60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1</w:t>
            </w:r>
          </w:p>
        </w:tc>
      </w:tr>
      <w:tr w:rsidR="00B42F5B" w:rsidRPr="00B70753" w14:paraId="54791A06" w14:textId="77777777" w:rsidTr="000C466F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7D66" w14:textId="77777777" w:rsidR="00B42F5B" w:rsidRPr="00B70753" w:rsidRDefault="00B42F5B" w:rsidP="00821B6B">
            <w:pPr>
              <w:pStyle w:val="Tabletext"/>
            </w:pPr>
            <w:bookmarkStart w:id="54" w:name="lt_pId2646"/>
            <w:r w:rsidRPr="00B70753">
              <w:t>AUS</w:t>
            </w:r>
            <w:bookmarkEnd w:id="54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FAD8A18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A4F7" w14:textId="77777777" w:rsidR="00B42F5B" w:rsidRPr="00B70753" w:rsidRDefault="00B42F5B" w:rsidP="00821B6B">
            <w:pPr>
              <w:pStyle w:val="Tabletext"/>
            </w:pPr>
            <w:bookmarkStart w:id="55" w:name="lt_pId2648"/>
            <w:r w:rsidRPr="00B70753">
              <w:t>J</w:t>
            </w:r>
            <w:bookmarkEnd w:id="55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8773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7</w:t>
            </w:r>
          </w:p>
        </w:tc>
      </w:tr>
      <w:tr w:rsidR="00B42F5B" w:rsidRPr="00B70753" w14:paraId="6BB02F82" w14:textId="77777777" w:rsidTr="000C466F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2A73" w14:textId="77777777" w:rsidR="00B42F5B" w:rsidRPr="00B70753" w:rsidRDefault="00B42F5B" w:rsidP="00821B6B">
            <w:pPr>
              <w:pStyle w:val="Tabletext"/>
            </w:pPr>
            <w:bookmarkStart w:id="56" w:name="lt_pId2650"/>
            <w:r w:rsidRPr="00B70753">
              <w:t>BUL</w:t>
            </w:r>
            <w:bookmarkEnd w:id="56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9B1688E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BCD8" w14:textId="77777777" w:rsidR="00B42F5B" w:rsidRPr="00B70753" w:rsidRDefault="00B42F5B" w:rsidP="00821B6B">
            <w:pPr>
              <w:pStyle w:val="Tabletext"/>
            </w:pPr>
            <w:bookmarkStart w:id="57" w:name="lt_pId2652"/>
            <w:r w:rsidRPr="00B70753">
              <w:t>KOR</w:t>
            </w:r>
            <w:bookmarkEnd w:id="57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7938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2</w:t>
            </w:r>
          </w:p>
        </w:tc>
      </w:tr>
      <w:tr w:rsidR="00B42F5B" w:rsidRPr="00B70753" w14:paraId="55BD5D4D" w14:textId="77777777" w:rsidTr="000C466F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8A15" w14:textId="77777777" w:rsidR="00B42F5B" w:rsidRPr="00B70753" w:rsidRDefault="00B42F5B" w:rsidP="00821B6B">
            <w:pPr>
              <w:pStyle w:val="Tabletext"/>
            </w:pPr>
            <w:bookmarkStart w:id="58" w:name="lt_pId2654"/>
            <w:r w:rsidRPr="00B70753">
              <w:t>CHN</w:t>
            </w:r>
            <w:bookmarkEnd w:id="58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88D2B35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7974" w14:textId="77777777" w:rsidR="00B42F5B" w:rsidRPr="00B70753" w:rsidRDefault="00B42F5B" w:rsidP="00821B6B">
            <w:pPr>
              <w:pStyle w:val="Tabletext"/>
            </w:pPr>
            <w:bookmarkStart w:id="59" w:name="lt_pId2656"/>
            <w:r w:rsidRPr="00B70753">
              <w:t>LUX</w:t>
            </w:r>
            <w:bookmarkEnd w:id="59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31E0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12</w:t>
            </w:r>
          </w:p>
        </w:tc>
      </w:tr>
      <w:tr w:rsidR="00B42F5B" w:rsidRPr="00B70753" w14:paraId="6A307159" w14:textId="77777777" w:rsidTr="000C466F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47C9" w14:textId="77777777" w:rsidR="00B42F5B" w:rsidRPr="00B70753" w:rsidRDefault="00B42F5B" w:rsidP="00821B6B">
            <w:pPr>
              <w:pStyle w:val="Tabletext"/>
            </w:pPr>
            <w:bookmarkStart w:id="60" w:name="lt_pId2658"/>
            <w:r w:rsidRPr="00B70753">
              <w:t>CYP</w:t>
            </w:r>
            <w:bookmarkEnd w:id="60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81BCAAE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34D2" w14:textId="77777777" w:rsidR="00B42F5B" w:rsidRPr="00B70753" w:rsidRDefault="00B42F5B" w:rsidP="00821B6B">
            <w:pPr>
              <w:pStyle w:val="Tabletext"/>
            </w:pPr>
            <w:bookmarkStart w:id="61" w:name="lt_pId2660"/>
            <w:r w:rsidRPr="00B70753">
              <w:t>MCO</w:t>
            </w:r>
            <w:bookmarkEnd w:id="61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64A8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3</w:t>
            </w:r>
          </w:p>
        </w:tc>
      </w:tr>
      <w:tr w:rsidR="00B42F5B" w:rsidRPr="00B70753" w14:paraId="69444162" w14:textId="77777777" w:rsidTr="000C466F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47E2" w14:textId="77777777" w:rsidR="00B42F5B" w:rsidRPr="00B70753" w:rsidRDefault="00B42F5B" w:rsidP="00821B6B">
            <w:pPr>
              <w:pStyle w:val="Tabletext"/>
            </w:pPr>
            <w:bookmarkStart w:id="62" w:name="lt_pId2662"/>
            <w:r w:rsidRPr="00B70753">
              <w:t>D</w:t>
            </w:r>
            <w:bookmarkEnd w:id="62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AC7A02A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36C9" w14:textId="77777777" w:rsidR="00B42F5B" w:rsidRPr="00B70753" w:rsidRDefault="00B42F5B" w:rsidP="00821B6B">
            <w:pPr>
              <w:pStyle w:val="Tabletext"/>
            </w:pPr>
            <w:bookmarkStart w:id="63" w:name="lt_pId2664"/>
            <w:r w:rsidRPr="00B70753">
              <w:t>MLA</w:t>
            </w:r>
            <w:bookmarkEnd w:id="63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9A75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1</w:t>
            </w:r>
          </w:p>
        </w:tc>
      </w:tr>
      <w:tr w:rsidR="00B42F5B" w:rsidRPr="00B70753" w14:paraId="1E4E8B25" w14:textId="77777777" w:rsidTr="000C466F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465B" w14:textId="77777777" w:rsidR="00B42F5B" w:rsidRPr="00B70753" w:rsidRDefault="00B42F5B" w:rsidP="00821B6B">
            <w:pPr>
              <w:pStyle w:val="Tabletext"/>
            </w:pPr>
            <w:bookmarkStart w:id="64" w:name="lt_pId2666"/>
            <w:r w:rsidRPr="00B70753">
              <w:t>E</w:t>
            </w:r>
            <w:bookmarkEnd w:id="64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8D117A2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5E05" w14:textId="77777777" w:rsidR="00B42F5B" w:rsidRPr="00B70753" w:rsidRDefault="00B42F5B" w:rsidP="00821B6B">
            <w:pPr>
              <w:pStyle w:val="Tabletext"/>
            </w:pPr>
            <w:bookmarkStart w:id="65" w:name="lt_pId2668"/>
            <w:r w:rsidRPr="00B70753">
              <w:t>NOR</w:t>
            </w:r>
            <w:bookmarkEnd w:id="65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BA2F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3</w:t>
            </w:r>
          </w:p>
        </w:tc>
      </w:tr>
      <w:tr w:rsidR="00B42F5B" w:rsidRPr="00B70753" w14:paraId="2ADB4BBF" w14:textId="77777777" w:rsidTr="000C466F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DDD6" w14:textId="77777777" w:rsidR="00B42F5B" w:rsidRPr="00B70753" w:rsidRDefault="00B42F5B" w:rsidP="00821B6B">
            <w:pPr>
              <w:pStyle w:val="Tabletext"/>
            </w:pPr>
            <w:bookmarkStart w:id="66" w:name="lt_pId2670"/>
            <w:r w:rsidRPr="00B70753">
              <w:t>EGY</w:t>
            </w:r>
            <w:bookmarkEnd w:id="66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8173AF4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5ECF" w14:textId="77777777" w:rsidR="00B42F5B" w:rsidRPr="00B70753" w:rsidRDefault="00B42F5B" w:rsidP="00821B6B">
            <w:pPr>
              <w:pStyle w:val="Tabletext"/>
            </w:pPr>
            <w:bookmarkStart w:id="67" w:name="lt_pId2672"/>
            <w:r w:rsidRPr="00B70753">
              <w:t>PNG</w:t>
            </w:r>
            <w:bookmarkEnd w:id="67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FF92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4</w:t>
            </w:r>
          </w:p>
        </w:tc>
      </w:tr>
      <w:tr w:rsidR="00B42F5B" w:rsidRPr="00B70753" w14:paraId="22A5DAF3" w14:textId="77777777" w:rsidTr="000C466F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B1B5" w14:textId="77777777" w:rsidR="00B42F5B" w:rsidRPr="00B70753" w:rsidRDefault="00B42F5B" w:rsidP="00821B6B">
            <w:pPr>
              <w:pStyle w:val="Tabletext"/>
            </w:pPr>
            <w:bookmarkStart w:id="68" w:name="lt_pId2674"/>
            <w:r w:rsidRPr="00B70753">
              <w:t>F</w:t>
            </w:r>
            <w:bookmarkEnd w:id="68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1AF45FF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07EC" w14:textId="77777777" w:rsidR="00B42F5B" w:rsidRPr="00B70753" w:rsidRDefault="00B42F5B" w:rsidP="00821B6B">
            <w:pPr>
              <w:pStyle w:val="Tabletext"/>
            </w:pPr>
            <w:bookmarkStart w:id="69" w:name="lt_pId2676"/>
            <w:r w:rsidRPr="00B70753">
              <w:t>RUS</w:t>
            </w:r>
            <w:bookmarkEnd w:id="69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E317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4</w:t>
            </w:r>
          </w:p>
        </w:tc>
      </w:tr>
      <w:tr w:rsidR="00B42F5B" w:rsidRPr="00B70753" w14:paraId="30C73BA3" w14:textId="77777777" w:rsidTr="000C466F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5DD7" w14:textId="77777777" w:rsidR="00B42F5B" w:rsidRPr="00B70753" w:rsidRDefault="00B42F5B" w:rsidP="00821B6B">
            <w:pPr>
              <w:pStyle w:val="Tabletext"/>
            </w:pPr>
            <w:bookmarkStart w:id="70" w:name="lt_pId2678"/>
            <w:r w:rsidRPr="00B70753">
              <w:t>F/EUT</w:t>
            </w:r>
            <w:bookmarkEnd w:id="70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495D87A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6BDA" w14:textId="77777777" w:rsidR="00B42F5B" w:rsidRPr="00B70753" w:rsidRDefault="00B42F5B" w:rsidP="00821B6B">
            <w:pPr>
              <w:pStyle w:val="Tabletext"/>
            </w:pPr>
            <w:bookmarkStart w:id="71" w:name="lt_pId2680"/>
            <w:r w:rsidRPr="00B70753">
              <w:t>RUS/IK</w:t>
            </w:r>
            <w:bookmarkEnd w:id="71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C787C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4</w:t>
            </w:r>
          </w:p>
        </w:tc>
      </w:tr>
      <w:tr w:rsidR="00B42F5B" w:rsidRPr="00B70753" w14:paraId="1FCEDEAA" w14:textId="77777777" w:rsidTr="000C466F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A92A" w14:textId="77777777" w:rsidR="00B42F5B" w:rsidRPr="00B70753" w:rsidRDefault="00B42F5B" w:rsidP="00821B6B">
            <w:pPr>
              <w:pStyle w:val="Tabletext"/>
            </w:pPr>
            <w:bookmarkStart w:id="72" w:name="lt_pId2682"/>
            <w:r w:rsidRPr="00B70753">
              <w:t>G</w:t>
            </w:r>
            <w:bookmarkEnd w:id="72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6319F00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AEAD" w14:textId="77777777" w:rsidR="00B42F5B" w:rsidRPr="00B70753" w:rsidRDefault="00B42F5B" w:rsidP="00821B6B">
            <w:pPr>
              <w:pStyle w:val="Tabletext"/>
            </w:pPr>
            <w:bookmarkStart w:id="73" w:name="lt_pId2684"/>
            <w:r w:rsidRPr="00B70753">
              <w:t>S</w:t>
            </w:r>
            <w:bookmarkEnd w:id="73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D6FF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4</w:t>
            </w:r>
          </w:p>
        </w:tc>
      </w:tr>
      <w:tr w:rsidR="00B42F5B" w:rsidRPr="00B70753" w14:paraId="16A727BE" w14:textId="77777777" w:rsidTr="000C466F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D40E" w14:textId="77777777" w:rsidR="00B42F5B" w:rsidRPr="00B70753" w:rsidRDefault="00B42F5B" w:rsidP="00821B6B">
            <w:pPr>
              <w:pStyle w:val="Tabletext"/>
            </w:pPr>
            <w:bookmarkStart w:id="74" w:name="lt_pId2686"/>
            <w:r w:rsidRPr="00B70753">
              <w:t>GRC</w:t>
            </w:r>
            <w:bookmarkEnd w:id="74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814150B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3FC8" w14:textId="77777777" w:rsidR="00B42F5B" w:rsidRPr="00B70753" w:rsidRDefault="00B42F5B" w:rsidP="00821B6B">
            <w:pPr>
              <w:pStyle w:val="Tabletext"/>
            </w:pPr>
            <w:bookmarkStart w:id="75" w:name="lt_pId2688"/>
            <w:r w:rsidRPr="00B70753">
              <w:t>TUR</w:t>
            </w:r>
            <w:bookmarkEnd w:id="75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AE00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2</w:t>
            </w:r>
          </w:p>
        </w:tc>
      </w:tr>
      <w:tr w:rsidR="00B42F5B" w:rsidRPr="00B70753" w14:paraId="1836E234" w14:textId="77777777" w:rsidTr="000C466F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7386" w14:textId="77777777" w:rsidR="00B42F5B" w:rsidRPr="00B70753" w:rsidRDefault="00B42F5B" w:rsidP="00821B6B">
            <w:pPr>
              <w:pStyle w:val="Tabletext"/>
            </w:pPr>
            <w:bookmarkStart w:id="76" w:name="lt_pId2690"/>
            <w:r w:rsidRPr="00B70753">
              <w:t>HOL</w:t>
            </w:r>
            <w:bookmarkEnd w:id="76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3D8AACD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737C" w14:textId="77777777" w:rsidR="00B42F5B" w:rsidRPr="00B70753" w:rsidRDefault="00B42F5B" w:rsidP="00821B6B">
            <w:pPr>
              <w:pStyle w:val="Tabletext"/>
            </w:pPr>
            <w:bookmarkStart w:id="77" w:name="lt_pId2692"/>
            <w:r w:rsidRPr="00B70753">
              <w:t>UAE</w:t>
            </w:r>
            <w:bookmarkEnd w:id="77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1CF0" w14:textId="77777777" w:rsidR="00B42F5B" w:rsidRPr="00B70753" w:rsidRDefault="00B42F5B" w:rsidP="00B70753">
            <w:pPr>
              <w:pStyle w:val="Tabletext"/>
              <w:jc w:val="center"/>
            </w:pPr>
            <w:r w:rsidRPr="00B70753">
              <w:t>5</w:t>
            </w:r>
          </w:p>
        </w:tc>
      </w:tr>
    </w:tbl>
    <w:p w14:paraId="0C90B584" w14:textId="77777777" w:rsidR="00B42F5B" w:rsidRPr="002C6523" w:rsidRDefault="00B42F5B" w:rsidP="00B42F5B">
      <w:pPr>
        <w:pStyle w:val="Heading2"/>
        <w:rPr>
          <w:lang w:val="ru-RU"/>
        </w:rPr>
      </w:pPr>
      <w:r w:rsidRPr="002C6523">
        <w:rPr>
          <w:lang w:val="ru-RU"/>
        </w:rPr>
        <w:lastRenderedPageBreak/>
        <w:t>1.5</w:t>
      </w:r>
      <w:r w:rsidRPr="002C6523">
        <w:rPr>
          <w:lang w:val="ru-RU"/>
        </w:rPr>
        <w:tab/>
      </w:r>
      <w:bookmarkStart w:id="78" w:name="lt_pId2695"/>
      <w:r w:rsidRPr="002C6523">
        <w:rPr>
          <w:lang w:val="ru-RU"/>
        </w:rPr>
        <w:t>Администрации, не имеющие национальных присвоений в Планах</w:t>
      </w:r>
    </w:p>
    <w:p w14:paraId="26904D84" w14:textId="77777777" w:rsidR="00B42F5B" w:rsidRPr="002C6523" w:rsidRDefault="00B42F5B" w:rsidP="00B42F5B">
      <w:pPr>
        <w:rPr>
          <w:lang w:val="ru-RU"/>
        </w:rPr>
      </w:pPr>
      <w:bookmarkStart w:id="79" w:name="lt_pId2696"/>
      <w:bookmarkEnd w:id="78"/>
      <w:r w:rsidRPr="002C6523">
        <w:rPr>
          <w:lang w:val="ru-RU"/>
        </w:rPr>
        <w:t>В Районах 1 и 3 только администрация Черногории (MNE) не имеет присвоений в Планах Приложений</w:t>
      </w:r>
      <w:r w:rsidRPr="002C6523">
        <w:rPr>
          <w:b/>
          <w:lang w:val="ru-RU"/>
        </w:rPr>
        <w:t xml:space="preserve"> 30</w:t>
      </w:r>
      <w:r w:rsidRPr="002C6523">
        <w:rPr>
          <w:lang w:val="ru-RU"/>
        </w:rPr>
        <w:t xml:space="preserve"> и </w:t>
      </w:r>
      <w:r w:rsidRPr="002C6523">
        <w:rPr>
          <w:b/>
          <w:lang w:val="ru-RU"/>
        </w:rPr>
        <w:t>30A</w:t>
      </w:r>
      <w:r w:rsidRPr="002C6523">
        <w:rPr>
          <w:lang w:val="ru-RU"/>
        </w:rPr>
        <w:t>.</w:t>
      </w:r>
    </w:p>
    <w:bookmarkEnd w:id="79"/>
    <w:p w14:paraId="08FA7C26" w14:textId="77777777" w:rsidR="00B42F5B" w:rsidRPr="00D61BF2" w:rsidRDefault="00B42F5B" w:rsidP="00B42F5B">
      <w:pPr>
        <w:rPr>
          <w:lang w:val="ru-RU"/>
        </w:rPr>
      </w:pPr>
      <w:r w:rsidRPr="002C6523">
        <w:rPr>
          <w:lang w:val="ru-RU"/>
        </w:rPr>
        <w:t>Если администрация Черногории направит запрос на присвоение в Планах, Бюро посоветует ей применить процедуру согласно Статье 4 Приложений </w:t>
      </w:r>
      <w:r w:rsidRPr="002C6523">
        <w:rPr>
          <w:b/>
          <w:lang w:val="ru-RU"/>
        </w:rPr>
        <w:t>30</w:t>
      </w:r>
      <w:r w:rsidRPr="002C6523">
        <w:rPr>
          <w:lang w:val="ru-RU"/>
        </w:rPr>
        <w:t xml:space="preserve"> и </w:t>
      </w:r>
      <w:r w:rsidRPr="002C6523">
        <w:rPr>
          <w:b/>
          <w:lang w:val="ru-RU"/>
        </w:rPr>
        <w:t>30А</w:t>
      </w:r>
      <w:r w:rsidRPr="002C6523">
        <w:rPr>
          <w:lang w:val="ru-RU"/>
        </w:rPr>
        <w:t xml:space="preserve"> для получения новых частотных присвоений в Списках для дополнительных видов использования на территории своей страны. Впоследствии администрация Черногории может применить § 4.1.26 Статьи 4, чтобы направить запрос следующей Конференции с просьбой включить ее присвоения в Планы Приложений </w:t>
      </w:r>
      <w:r w:rsidRPr="002C6523">
        <w:rPr>
          <w:b/>
          <w:lang w:val="ru-RU"/>
        </w:rPr>
        <w:t>30</w:t>
      </w:r>
      <w:r w:rsidRPr="002C6523">
        <w:rPr>
          <w:lang w:val="ru-RU"/>
        </w:rPr>
        <w:t xml:space="preserve"> и </w:t>
      </w:r>
      <w:r w:rsidRPr="002C6523">
        <w:rPr>
          <w:b/>
          <w:lang w:val="ru-RU"/>
        </w:rPr>
        <w:t>30A</w:t>
      </w:r>
      <w:r w:rsidRPr="002C6523">
        <w:rPr>
          <w:lang w:val="ru-RU"/>
        </w:rPr>
        <w:t xml:space="preserve">. В соответствии с решением ВКР-23 администрация Черногории может применить все меры, одобренные ВКР-23 в отношении Резолюции </w:t>
      </w:r>
      <w:r w:rsidRPr="002C6523">
        <w:rPr>
          <w:b/>
          <w:bCs/>
          <w:lang w:val="ru-RU"/>
        </w:rPr>
        <w:t>559 (ВКР-19)</w:t>
      </w:r>
      <w:r w:rsidRPr="002C6523">
        <w:rPr>
          <w:lang w:val="ru-RU"/>
        </w:rPr>
        <w:t xml:space="preserve">, к своему запросу на новые присвоения в Планах для Районов 1 и 3. </w:t>
      </w:r>
    </w:p>
    <w:p w14:paraId="0C798451" w14:textId="77777777" w:rsidR="00B42F5B" w:rsidRPr="002C6523" w:rsidRDefault="00B42F5B" w:rsidP="00B42F5B">
      <w:pPr>
        <w:pStyle w:val="Heading1"/>
        <w:rPr>
          <w:lang w:val="ru-RU"/>
        </w:rPr>
      </w:pPr>
      <w:r w:rsidRPr="002C6523">
        <w:rPr>
          <w:lang w:val="ru-RU"/>
        </w:rPr>
        <w:t>2</w:t>
      </w:r>
      <w:r w:rsidRPr="002C6523">
        <w:rPr>
          <w:lang w:val="ru-RU"/>
        </w:rPr>
        <w:tab/>
      </w:r>
      <w:bookmarkStart w:id="80" w:name="lt_pId2702"/>
      <w:r w:rsidRPr="002C6523">
        <w:rPr>
          <w:lang w:val="ru-RU"/>
        </w:rPr>
        <w:t xml:space="preserve">Состояние </w:t>
      </w:r>
      <w:r w:rsidRPr="002C6523">
        <w:rPr>
          <w:bCs/>
          <w:lang w:val="ru-RU"/>
        </w:rPr>
        <w:t>Планов, регулируемых Приложениями 30 и 30А в Районе 2</w:t>
      </w:r>
    </w:p>
    <w:bookmarkEnd w:id="80"/>
    <w:p w14:paraId="2CD5C7FB" w14:textId="77777777" w:rsidR="00B42F5B" w:rsidRPr="002C6523" w:rsidRDefault="00B42F5B" w:rsidP="00B42F5B">
      <w:pPr>
        <w:pStyle w:val="Heading2"/>
        <w:rPr>
          <w:lang w:val="ru-RU"/>
        </w:rPr>
      </w:pPr>
      <w:r w:rsidRPr="002C6523">
        <w:rPr>
          <w:lang w:val="ru-RU"/>
        </w:rPr>
        <w:t>2.1</w:t>
      </w:r>
      <w:r w:rsidRPr="002C6523">
        <w:rPr>
          <w:lang w:val="ru-RU"/>
        </w:rPr>
        <w:tab/>
      </w:r>
      <w:bookmarkStart w:id="81" w:name="lt_pId2704"/>
      <w:r w:rsidRPr="002C6523">
        <w:rPr>
          <w:lang w:val="ru-RU"/>
        </w:rPr>
        <w:t>Обзор</w:t>
      </w:r>
      <w:bookmarkEnd w:id="81"/>
    </w:p>
    <w:p w14:paraId="2065B6A3" w14:textId="60C3AAE1" w:rsidR="00B42F5B" w:rsidRPr="002C6523" w:rsidRDefault="00B42F5B" w:rsidP="00B42F5B">
      <w:pPr>
        <w:rPr>
          <w:rFonts w:eastAsiaTheme="minorEastAsia"/>
          <w:lang w:val="ru-RU"/>
        </w:rPr>
      </w:pPr>
      <w:bookmarkStart w:id="82" w:name="lt_pId2705"/>
      <w:r w:rsidRPr="002C6523">
        <w:rPr>
          <w:rFonts w:eastAsiaTheme="minorEastAsia"/>
          <w:lang w:val="ru-RU"/>
        </w:rPr>
        <w:t xml:space="preserve">План для Района 2, содержащийся в Приложении 30 </w:t>
      </w:r>
      <w:r w:rsidR="00B70753" w:rsidRPr="00B70753">
        <w:rPr>
          <w:szCs w:val="24"/>
          <w:lang w:val="ru-RU"/>
        </w:rPr>
        <w:t>−</w:t>
      </w:r>
      <w:r w:rsidRPr="002C6523">
        <w:rPr>
          <w:rFonts w:eastAsiaTheme="minorEastAsia"/>
          <w:lang w:val="ru-RU"/>
        </w:rPr>
        <w:t xml:space="preserve"> это План РСС (линия вниз) в полосе частот 12,2</w:t>
      </w:r>
      <w:r w:rsidR="00B70753" w:rsidRPr="00B70753">
        <w:rPr>
          <w:rFonts w:eastAsiaTheme="minorEastAsia"/>
          <w:lang w:val="ru-RU"/>
        </w:rPr>
        <w:t>−</w:t>
      </w:r>
      <w:r w:rsidRPr="002C6523">
        <w:rPr>
          <w:rFonts w:eastAsiaTheme="minorEastAsia"/>
          <w:lang w:val="ru-RU"/>
        </w:rPr>
        <w:t>12,7 ГГц в Районе 2, вместе с изменениями, возникшими в результате успешного применения процедур согласно Статье 4 этого Приложения. План для Района 2, содержащийся в Приложении </w:t>
      </w:r>
      <w:r w:rsidRPr="002C6523">
        <w:rPr>
          <w:rFonts w:eastAsiaTheme="minorEastAsia"/>
          <w:b/>
          <w:bCs/>
          <w:lang w:val="ru-RU"/>
        </w:rPr>
        <w:t>30А</w:t>
      </w:r>
      <w:r w:rsidRPr="002C6523">
        <w:rPr>
          <w:rFonts w:eastAsiaTheme="minorEastAsia"/>
          <w:lang w:val="ru-RU"/>
        </w:rPr>
        <w:t xml:space="preserve"> </w:t>
      </w:r>
      <w:r w:rsidR="00B70753" w:rsidRPr="00B70753">
        <w:rPr>
          <w:szCs w:val="24"/>
          <w:lang w:val="ru-RU"/>
        </w:rPr>
        <w:t>−</w:t>
      </w:r>
      <w:r w:rsidRPr="002C6523">
        <w:rPr>
          <w:rFonts w:eastAsiaTheme="minorEastAsia"/>
          <w:lang w:val="ru-RU"/>
        </w:rPr>
        <w:t xml:space="preserve"> это План</w:t>
      </w:r>
      <w:r w:rsidRPr="002C6523">
        <w:rPr>
          <w:lang w:val="ru-RU"/>
        </w:rPr>
        <w:t xml:space="preserve"> </w:t>
      </w:r>
      <w:r w:rsidRPr="002C6523">
        <w:rPr>
          <w:rFonts w:eastAsiaTheme="minorEastAsia"/>
          <w:lang w:val="ru-RU"/>
        </w:rPr>
        <w:t>фидерных линий РСС в полосе частот 17,3</w:t>
      </w:r>
      <w:r w:rsidR="00B70753" w:rsidRPr="00B70753">
        <w:rPr>
          <w:rFonts w:eastAsiaTheme="minorEastAsia"/>
          <w:lang w:val="ru-RU"/>
        </w:rPr>
        <w:t>−</w:t>
      </w:r>
      <w:r w:rsidRPr="002C6523">
        <w:rPr>
          <w:rFonts w:eastAsiaTheme="minorEastAsia"/>
          <w:lang w:val="ru-RU"/>
        </w:rPr>
        <w:t>17,8 ГГц в Районе 2.</w:t>
      </w:r>
    </w:p>
    <w:bookmarkEnd w:id="82"/>
    <w:p w14:paraId="791C4582" w14:textId="694E02A6" w:rsidR="00B42F5B" w:rsidRPr="002C6523" w:rsidRDefault="00B42F5B" w:rsidP="00B42F5B">
      <w:pPr>
        <w:rPr>
          <w:szCs w:val="24"/>
          <w:lang w:val="ru-RU"/>
        </w:rPr>
      </w:pPr>
      <w:r w:rsidRPr="002C6523">
        <w:rPr>
          <w:szCs w:val="24"/>
          <w:lang w:val="ru-RU"/>
        </w:rPr>
        <w:t xml:space="preserve">В Планах для </w:t>
      </w:r>
      <w:r w:rsidRPr="00447D6D">
        <w:rPr>
          <w:szCs w:val="24"/>
          <w:lang w:val="ru-RU"/>
        </w:rPr>
        <w:t>Района</w:t>
      </w:r>
      <w:r w:rsidR="00447D6D" w:rsidRPr="00447D6D">
        <w:rPr>
          <w:szCs w:val="24"/>
          <w:lang w:val="ru-RU"/>
        </w:rPr>
        <w:t> </w:t>
      </w:r>
      <w:r w:rsidRPr="002C6523">
        <w:rPr>
          <w:szCs w:val="24"/>
          <w:lang w:val="ru-RU"/>
        </w:rPr>
        <w:t>2 не используются концепции дополнительных видов использования и Списков. Однако администрации Района 2 могут применять процедуры согласно Статье 4 Приложений </w:t>
      </w:r>
      <w:r w:rsidRPr="002C6523">
        <w:rPr>
          <w:b/>
          <w:bCs/>
          <w:szCs w:val="24"/>
          <w:lang w:val="ru-RU"/>
        </w:rPr>
        <w:t>30</w:t>
      </w:r>
      <w:r w:rsidRPr="002C6523">
        <w:rPr>
          <w:szCs w:val="24"/>
          <w:lang w:val="ru-RU"/>
        </w:rPr>
        <w:t xml:space="preserve"> и </w:t>
      </w:r>
      <w:r w:rsidRPr="002C6523">
        <w:rPr>
          <w:b/>
          <w:bCs/>
          <w:szCs w:val="24"/>
          <w:lang w:val="ru-RU"/>
        </w:rPr>
        <w:t>30А</w:t>
      </w:r>
      <w:r w:rsidRPr="002C6523">
        <w:rPr>
          <w:szCs w:val="24"/>
          <w:lang w:val="ru-RU"/>
        </w:rPr>
        <w:t xml:space="preserve"> для включения нового присвоения в Планы для Района 2 даже в других орбитальных позициях и/или с более широкой областью покрытия и зоной обслуживания, чем национальная территория запрашивающей администрации.</w:t>
      </w:r>
    </w:p>
    <w:p w14:paraId="4CA37234" w14:textId="18BFC54D" w:rsidR="00B42F5B" w:rsidRPr="002C6523" w:rsidRDefault="00B42F5B" w:rsidP="00B42F5B">
      <w:pPr>
        <w:rPr>
          <w:rFonts w:eastAsiaTheme="minorEastAsia"/>
          <w:lang w:val="ru-RU"/>
        </w:rPr>
      </w:pPr>
      <w:r w:rsidRPr="002C6523">
        <w:rPr>
          <w:rFonts w:eastAsiaTheme="minorEastAsia"/>
          <w:lang w:val="ru-RU"/>
        </w:rPr>
        <w:t xml:space="preserve">Все администрации Района 2 имеют как минимум одну запись в Планах </w:t>
      </w:r>
      <w:r w:rsidRPr="002C6523">
        <w:rPr>
          <w:szCs w:val="24"/>
          <w:lang w:val="ru-RU"/>
        </w:rPr>
        <w:t xml:space="preserve">для </w:t>
      </w:r>
      <w:r w:rsidRPr="00FD1155">
        <w:rPr>
          <w:szCs w:val="24"/>
          <w:lang w:val="ru-RU"/>
        </w:rPr>
        <w:t xml:space="preserve">Района </w:t>
      </w:r>
      <w:r w:rsidRPr="002C6523">
        <w:rPr>
          <w:szCs w:val="24"/>
          <w:lang w:val="ru-RU"/>
        </w:rPr>
        <w:t>2.</w:t>
      </w:r>
    </w:p>
    <w:p w14:paraId="356116F9" w14:textId="77777777" w:rsidR="00B42F5B" w:rsidRPr="002C6523" w:rsidRDefault="00B42F5B" w:rsidP="00B42F5B">
      <w:pPr>
        <w:rPr>
          <w:rFonts w:eastAsiaTheme="minorEastAsia"/>
          <w:lang w:val="ru-RU"/>
        </w:rPr>
      </w:pPr>
      <w:r w:rsidRPr="002C6523">
        <w:rPr>
          <w:rFonts w:eastAsiaTheme="minorEastAsia"/>
          <w:lang w:val="ru-RU"/>
        </w:rPr>
        <w:t xml:space="preserve">Эталонная ситуация присвоения в Планах </w:t>
      </w:r>
      <w:r w:rsidRPr="002C6523">
        <w:rPr>
          <w:szCs w:val="24"/>
          <w:lang w:val="ru-RU"/>
        </w:rPr>
        <w:t xml:space="preserve">для </w:t>
      </w:r>
      <w:r w:rsidRPr="00447D6D">
        <w:rPr>
          <w:szCs w:val="24"/>
          <w:lang w:val="ru-RU"/>
        </w:rPr>
        <w:t>Района </w:t>
      </w:r>
      <w:r w:rsidRPr="002C6523">
        <w:rPr>
          <w:szCs w:val="24"/>
          <w:lang w:val="ru-RU"/>
        </w:rPr>
        <w:t>2</w:t>
      </w:r>
      <w:r w:rsidRPr="002C6523">
        <w:rPr>
          <w:rFonts w:eastAsiaTheme="minorEastAsia"/>
          <w:lang w:val="ru-RU"/>
        </w:rPr>
        <w:t xml:space="preserve"> определяется на основе общего эквивалентного запаса по защите (OEPM), который объединяет значения EPM как на линии вниз, так и на фидерной линии вверх.</w:t>
      </w:r>
    </w:p>
    <w:p w14:paraId="68BB1F61" w14:textId="77777777" w:rsidR="00B42F5B" w:rsidRPr="002C6523" w:rsidRDefault="00B42F5B" w:rsidP="00B42F5B">
      <w:pPr>
        <w:pStyle w:val="Heading2"/>
        <w:rPr>
          <w:lang w:val="ru-RU"/>
        </w:rPr>
      </w:pPr>
      <w:r w:rsidRPr="002C6523">
        <w:rPr>
          <w:lang w:val="ru-RU"/>
        </w:rPr>
        <w:t>2.2</w:t>
      </w:r>
      <w:r w:rsidRPr="002C6523">
        <w:rPr>
          <w:lang w:val="ru-RU"/>
        </w:rPr>
        <w:tab/>
      </w:r>
      <w:bookmarkStart w:id="83" w:name="lt_pId2712"/>
      <w:r w:rsidRPr="002C6523">
        <w:rPr>
          <w:lang w:val="ru-RU"/>
        </w:rPr>
        <w:t>Эталонная ситуация планируемых национальных присвоений</w:t>
      </w:r>
    </w:p>
    <w:p w14:paraId="6DAFACAB" w14:textId="77777777" w:rsidR="00B42F5B" w:rsidRPr="002C6523" w:rsidRDefault="00B42F5B" w:rsidP="00B42F5B">
      <w:pPr>
        <w:rPr>
          <w:lang w:val="ru-RU"/>
        </w:rPr>
      </w:pPr>
      <w:bookmarkStart w:id="84" w:name="lt_pId2713"/>
      <w:bookmarkEnd w:id="83"/>
      <w:r w:rsidRPr="002C6523">
        <w:rPr>
          <w:lang w:val="ru-RU"/>
        </w:rPr>
        <w:t>В таблице 6 ниже показана эталонная ситуация присвоений в Планах для Района 2 на основе минимальных и максимальных значений</w:t>
      </w:r>
      <w:r w:rsidRPr="002C6523">
        <w:rPr>
          <w:rFonts w:eastAsiaTheme="minorEastAsia"/>
          <w:lang w:val="ru-RU"/>
        </w:rPr>
        <w:t xml:space="preserve"> OEPM в соответствии с информацией, опубликованной </w:t>
      </w:r>
      <w:r w:rsidRPr="002C6523">
        <w:rPr>
          <w:lang w:val="ru-RU"/>
        </w:rPr>
        <w:t>в ИФИК БР № 3015 от 20 февраля 2024 года.</w:t>
      </w:r>
    </w:p>
    <w:p w14:paraId="07801390" w14:textId="77777777" w:rsidR="00B42F5B" w:rsidRPr="002C6523" w:rsidRDefault="00B42F5B" w:rsidP="00B42F5B">
      <w:pPr>
        <w:pStyle w:val="TableNo"/>
        <w:rPr>
          <w:lang w:val="ru-RU"/>
        </w:rPr>
      </w:pPr>
      <w:bookmarkStart w:id="85" w:name="lt_pId2714"/>
      <w:bookmarkEnd w:id="84"/>
      <w:r w:rsidRPr="002C6523">
        <w:rPr>
          <w:lang w:val="ru-RU"/>
        </w:rPr>
        <w:t>ТАБЛИЦА 6</w:t>
      </w:r>
      <w:bookmarkEnd w:id="85"/>
    </w:p>
    <w:p w14:paraId="577B1D1B" w14:textId="77777777" w:rsidR="00B42F5B" w:rsidRPr="005B2BBD" w:rsidRDefault="00B42F5B" w:rsidP="00B70753">
      <w:pPr>
        <w:pStyle w:val="Tabletitle"/>
        <w:rPr>
          <w:lang w:val="ru-RU"/>
        </w:rPr>
      </w:pPr>
      <w:bookmarkStart w:id="86" w:name="lt_pId2715"/>
      <w:r w:rsidRPr="005B2BBD">
        <w:rPr>
          <w:lang w:val="ru-RU"/>
        </w:rPr>
        <w:t>Эталонная ситуация присвоений в Планах для Района</w:t>
      </w:r>
      <w:r w:rsidRPr="00B70753">
        <w:t> </w:t>
      </w:r>
      <w:r w:rsidRPr="005B2BBD">
        <w:rPr>
          <w:lang w:val="ru-RU"/>
        </w:rPr>
        <w:t xml:space="preserve">2 </w:t>
      </w:r>
    </w:p>
    <w:p w14:paraId="29186B94" w14:textId="77777777" w:rsidR="00B42F5B" w:rsidRPr="00FD1155" w:rsidRDefault="00433C30" w:rsidP="00FD1155">
      <w:pPr>
        <w:jc w:val="center"/>
        <w:rPr>
          <w:lang w:val="ru-RU"/>
        </w:rPr>
      </w:pPr>
      <w:hyperlink r:id="rId17" w:history="1">
        <w:r w:rsidR="00B42F5B" w:rsidRPr="005B2BBD">
          <w:rPr>
            <w:rStyle w:val="Hyperlink"/>
            <w:b/>
            <w:bCs/>
            <w:lang w:val="ru-RU"/>
          </w:rPr>
          <w:t>См. таб</w:t>
        </w:r>
        <w:r w:rsidR="00B42F5B" w:rsidRPr="005B2BBD">
          <w:rPr>
            <w:rStyle w:val="Hyperlink"/>
            <w:b/>
            <w:bCs/>
            <w:lang w:val="ru-RU"/>
          </w:rPr>
          <w:t>л</w:t>
        </w:r>
        <w:r w:rsidR="00B42F5B" w:rsidRPr="005B2BBD">
          <w:rPr>
            <w:rStyle w:val="Hyperlink"/>
            <w:b/>
            <w:bCs/>
            <w:lang w:val="ru-RU"/>
          </w:rPr>
          <w:t>ицу 6</w:t>
        </w:r>
        <w:r w:rsidR="00B42F5B" w:rsidRPr="005B2BBD">
          <w:rPr>
            <w:lang w:val="ru-RU"/>
          </w:rPr>
          <w:t>.</w:t>
        </w:r>
      </w:hyperlink>
    </w:p>
    <w:p w14:paraId="28E3CD48" w14:textId="77777777" w:rsidR="00B42F5B" w:rsidRPr="002C6523" w:rsidRDefault="00B42F5B" w:rsidP="00B42F5B">
      <w:pPr>
        <w:pStyle w:val="Parttitle"/>
        <w:rPr>
          <w:lang w:val="ru-RU"/>
        </w:rPr>
      </w:pPr>
      <w:bookmarkStart w:id="87" w:name="lt_pId3074"/>
      <w:bookmarkEnd w:id="86"/>
      <w:r w:rsidRPr="002C6523">
        <w:rPr>
          <w:lang w:val="ru-RU"/>
        </w:rPr>
        <w:t>Часть II − План для фиксированной спутниковой службы Приложения 30B</w:t>
      </w:r>
    </w:p>
    <w:bookmarkEnd w:id="87"/>
    <w:p w14:paraId="464705B1" w14:textId="77777777" w:rsidR="00B42F5B" w:rsidRPr="002C6523" w:rsidRDefault="00B42F5B" w:rsidP="00B42F5B">
      <w:pPr>
        <w:pStyle w:val="Heading1"/>
        <w:rPr>
          <w:lang w:val="ru-RU"/>
        </w:rPr>
      </w:pPr>
      <w:r w:rsidRPr="002C6523">
        <w:rPr>
          <w:lang w:val="ru-RU"/>
        </w:rPr>
        <w:t>1</w:t>
      </w:r>
      <w:r w:rsidRPr="002C6523">
        <w:rPr>
          <w:lang w:val="ru-RU"/>
        </w:rPr>
        <w:tab/>
      </w:r>
      <w:bookmarkStart w:id="88" w:name="lt_pId3076"/>
      <w:r w:rsidRPr="002C6523">
        <w:rPr>
          <w:lang w:val="ru-RU"/>
        </w:rPr>
        <w:t>Обзор</w:t>
      </w:r>
      <w:bookmarkEnd w:id="88"/>
    </w:p>
    <w:p w14:paraId="2DB23C88" w14:textId="04BB4A02" w:rsidR="00B42F5B" w:rsidRPr="002C6523" w:rsidRDefault="00B42F5B" w:rsidP="00B42F5B">
      <w:pPr>
        <w:rPr>
          <w:lang w:val="ru-RU"/>
        </w:rPr>
      </w:pPr>
      <w:bookmarkStart w:id="89" w:name="lt_pId3077"/>
      <w:r w:rsidRPr="002C6523">
        <w:rPr>
          <w:lang w:val="ru-RU"/>
        </w:rPr>
        <w:t>План для фиксированной спутниковой службы (ФСС) Приложения </w:t>
      </w:r>
      <w:r w:rsidRPr="002C6523">
        <w:rPr>
          <w:b/>
          <w:lang w:val="ru-RU"/>
        </w:rPr>
        <w:t>30B</w:t>
      </w:r>
      <w:r w:rsidRPr="002C6523">
        <w:rPr>
          <w:lang w:val="ru-RU"/>
        </w:rPr>
        <w:t xml:space="preserve"> является планом выделений. Он был принят на Всемирной административной радиоконференции 1988 года (ВАРК Орб-88) для полос частот 4500</w:t>
      </w:r>
      <w:r w:rsidR="00B70753" w:rsidRPr="00B70753">
        <w:rPr>
          <w:lang w:val="ru-RU"/>
        </w:rPr>
        <w:t>−</w:t>
      </w:r>
      <w:r w:rsidRPr="002C6523">
        <w:rPr>
          <w:lang w:val="ru-RU"/>
        </w:rPr>
        <w:t>4800 МГц (космос-Земля), 6725</w:t>
      </w:r>
      <w:r w:rsidR="00B70753" w:rsidRPr="00B70753">
        <w:rPr>
          <w:lang w:val="ru-RU"/>
        </w:rPr>
        <w:t>−</w:t>
      </w:r>
      <w:r w:rsidRPr="002C6523">
        <w:rPr>
          <w:lang w:val="ru-RU"/>
        </w:rPr>
        <w:t xml:space="preserve">7025 МГц </w:t>
      </w:r>
      <w:r w:rsidRPr="002C6523">
        <w:rPr>
          <w:lang w:val="ru-RU"/>
        </w:rPr>
        <w:lastRenderedPageBreak/>
        <w:t>(Земля</w:t>
      </w:r>
      <w:r w:rsidRPr="002C6523">
        <w:rPr>
          <w:lang w:val="ru-RU"/>
        </w:rPr>
        <w:noBreakHyphen/>
        <w:t>космос), 10,70</w:t>
      </w:r>
      <w:r w:rsidR="00B70753" w:rsidRPr="00B70753">
        <w:rPr>
          <w:lang w:val="ru-RU"/>
        </w:rPr>
        <w:t>−</w:t>
      </w:r>
      <w:r w:rsidRPr="002C6523">
        <w:rPr>
          <w:lang w:val="ru-RU"/>
        </w:rPr>
        <w:t>10,95 ГГц (космос-Земля), 11,20</w:t>
      </w:r>
      <w:r w:rsidR="00B70753" w:rsidRPr="00B70753">
        <w:rPr>
          <w:lang w:val="ru-RU"/>
        </w:rPr>
        <w:t>−</w:t>
      </w:r>
      <w:r w:rsidRPr="002C6523">
        <w:rPr>
          <w:lang w:val="ru-RU"/>
        </w:rPr>
        <w:t>11,45 ГГц (космос-Земля) и 12,75</w:t>
      </w:r>
      <w:r w:rsidR="00B70753" w:rsidRPr="00B70753">
        <w:rPr>
          <w:lang w:val="ru-RU"/>
        </w:rPr>
        <w:t>−</w:t>
      </w:r>
      <w:r w:rsidRPr="002C6523">
        <w:rPr>
          <w:lang w:val="ru-RU"/>
        </w:rPr>
        <w:t>13,25 ГГц (Земля-космос).</w:t>
      </w:r>
    </w:p>
    <w:p w14:paraId="29C8F018" w14:textId="77777777" w:rsidR="00B42F5B" w:rsidRPr="002C6523" w:rsidRDefault="00B42F5B" w:rsidP="00B42F5B">
      <w:pPr>
        <w:rPr>
          <w:lang w:val="ru-RU"/>
        </w:rPr>
      </w:pPr>
      <w:bookmarkStart w:id="90" w:name="lt_pId3079"/>
      <w:bookmarkEnd w:id="89"/>
      <w:r w:rsidRPr="002C6523">
        <w:rPr>
          <w:lang w:val="ru-RU"/>
        </w:rPr>
        <w:t>Каждое национальное выделение в Плане включает:</w:t>
      </w:r>
    </w:p>
    <w:p w14:paraId="1CAF9586" w14:textId="77777777" w:rsidR="00B42F5B" w:rsidRPr="002C6523" w:rsidRDefault="00B42F5B" w:rsidP="00B42F5B">
      <w:pPr>
        <w:pStyle w:val="enumlev1"/>
        <w:rPr>
          <w:lang w:val="ru-RU"/>
        </w:rPr>
      </w:pPr>
      <w:bookmarkStart w:id="91" w:name="lt_pId3080"/>
      <w:bookmarkEnd w:id="90"/>
      <w:r w:rsidRPr="002C6523">
        <w:rPr>
          <w:lang w:val="ru-RU"/>
        </w:rPr>
        <w:tab/>
        <w:t>номинальную орбитальную позицию;</w:t>
      </w:r>
      <w:bookmarkEnd w:id="91"/>
    </w:p>
    <w:p w14:paraId="1707F020" w14:textId="77777777" w:rsidR="00B42F5B" w:rsidRPr="002C6523" w:rsidRDefault="00B42F5B" w:rsidP="00B42F5B">
      <w:pPr>
        <w:pStyle w:val="enumlev1"/>
        <w:rPr>
          <w:lang w:val="ru-RU"/>
        </w:rPr>
      </w:pPr>
      <w:bookmarkStart w:id="92" w:name="lt_pId3081"/>
      <w:r w:rsidRPr="002C6523">
        <w:rPr>
          <w:lang w:val="ru-RU"/>
        </w:rPr>
        <w:tab/>
        <w:t>полосу шириной 800 МГц (линия вверх и линия вниз);</w:t>
      </w:r>
    </w:p>
    <w:p w14:paraId="2693C92D" w14:textId="77777777" w:rsidR="00B42F5B" w:rsidRPr="002C6523" w:rsidRDefault="00B42F5B" w:rsidP="00B42F5B">
      <w:pPr>
        <w:pStyle w:val="enumlev1"/>
        <w:rPr>
          <w:lang w:val="ru-RU"/>
        </w:rPr>
      </w:pPr>
      <w:bookmarkStart w:id="93" w:name="lt_pId3082"/>
      <w:bookmarkEnd w:id="92"/>
      <w:r w:rsidRPr="002C6523">
        <w:rPr>
          <w:lang w:val="ru-RU"/>
        </w:rPr>
        <w:tab/>
        <w:t>зону обслуживания, ограниченную национальной территорией администрации.</w:t>
      </w:r>
    </w:p>
    <w:p w14:paraId="0E999D1D" w14:textId="77777777" w:rsidR="00B42F5B" w:rsidRPr="002C6523" w:rsidRDefault="00B42F5B" w:rsidP="00B42F5B">
      <w:pPr>
        <w:rPr>
          <w:lang w:val="ru-RU"/>
        </w:rPr>
      </w:pPr>
      <w:bookmarkStart w:id="94" w:name="lt_pId3083"/>
      <w:bookmarkEnd w:id="93"/>
      <w:r w:rsidRPr="002C6523">
        <w:rPr>
          <w:lang w:val="ru-RU"/>
        </w:rPr>
        <w:t>На Всемирной конференции радиосвязи 2007 года (ВКР-07) были внесены существенные изменения в процедуры и обновлены некоторые технические критерии Приложения </w:t>
      </w:r>
      <w:r w:rsidRPr="00447D6D">
        <w:rPr>
          <w:b/>
          <w:bCs/>
          <w:lang w:val="ru-RU"/>
        </w:rPr>
        <w:t>30B</w:t>
      </w:r>
      <w:r w:rsidRPr="002C6523">
        <w:rPr>
          <w:lang w:val="ru-RU"/>
        </w:rPr>
        <w:t>.</w:t>
      </w:r>
    </w:p>
    <w:p w14:paraId="362D2C3D" w14:textId="77777777" w:rsidR="00B42F5B" w:rsidRPr="00447D6D" w:rsidRDefault="00B42F5B" w:rsidP="00447D6D">
      <w:pPr>
        <w:rPr>
          <w:lang w:val="ru-RU"/>
        </w:rPr>
      </w:pPr>
      <w:bookmarkStart w:id="95" w:name="lt_pId308"/>
      <w:r w:rsidRPr="00447D6D">
        <w:rPr>
          <w:lang w:val="ru-RU"/>
        </w:rPr>
        <w:t xml:space="preserve">Всемирная конференция радиосвязи 2019 года (ВКР-19) внесла некоторые дополнительные изменения в регламентарные положения и технические критерии Приложения </w:t>
      </w:r>
      <w:r w:rsidRPr="00447D6D">
        <w:rPr>
          <w:b/>
          <w:bCs/>
          <w:lang w:val="ru-RU"/>
        </w:rPr>
        <w:t>30B</w:t>
      </w:r>
      <w:r w:rsidRPr="00447D6D">
        <w:rPr>
          <w:lang w:val="ru-RU"/>
        </w:rPr>
        <w:t xml:space="preserve"> и представила Резолюцию 170 с целью расширения справедливого доступа к этим полосам частот.</w:t>
      </w:r>
    </w:p>
    <w:p w14:paraId="7E06FDAB" w14:textId="77777777" w:rsidR="00B42F5B" w:rsidRPr="00447D6D" w:rsidRDefault="00B42F5B" w:rsidP="00447D6D">
      <w:pPr>
        <w:rPr>
          <w:lang w:val="ru-RU"/>
        </w:rPr>
      </w:pPr>
      <w:r w:rsidRPr="00447D6D">
        <w:rPr>
          <w:lang w:val="ru-RU"/>
        </w:rPr>
        <w:t xml:space="preserve">ВКР-23 внесла существенные изменения в понятие неявного согласия, чтобы обеспечить бóльшую защиту эталонной ситуации для выделений в Плане Приложения </w:t>
      </w:r>
      <w:r w:rsidRPr="00447D6D">
        <w:rPr>
          <w:b/>
          <w:bCs/>
          <w:lang w:val="ru-RU"/>
        </w:rPr>
        <w:t>30B</w:t>
      </w:r>
      <w:r w:rsidRPr="00447D6D">
        <w:rPr>
          <w:lang w:val="ru-RU"/>
        </w:rPr>
        <w:t xml:space="preserve">. Кроме того, ВКР-23 утвердила Резолюцию </w:t>
      </w:r>
      <w:r w:rsidRPr="00447D6D">
        <w:rPr>
          <w:b/>
          <w:bCs/>
          <w:lang w:val="ru-RU"/>
        </w:rPr>
        <w:t xml:space="preserve">126 </w:t>
      </w:r>
      <w:r w:rsidRPr="00447D6D">
        <w:rPr>
          <w:lang w:val="ru-RU"/>
        </w:rPr>
        <w:t>(ВКР-23), в которой предоставляет администрациям возможность восстановить ухудшившуюся эталонную ситуацию для своих выделений.</w:t>
      </w:r>
    </w:p>
    <w:bookmarkEnd w:id="94"/>
    <w:bookmarkEnd w:id="95"/>
    <w:p w14:paraId="6D3E7D55" w14:textId="77777777" w:rsidR="00B42F5B" w:rsidRPr="002C6523" w:rsidRDefault="00B42F5B" w:rsidP="00B42F5B">
      <w:pPr>
        <w:pStyle w:val="Heading1"/>
        <w:rPr>
          <w:lang w:val="ru-RU"/>
        </w:rPr>
      </w:pPr>
      <w:r w:rsidRPr="002C6523">
        <w:rPr>
          <w:lang w:val="ru-RU"/>
        </w:rPr>
        <w:t>2</w:t>
      </w:r>
      <w:r w:rsidRPr="002C6523">
        <w:rPr>
          <w:lang w:val="ru-RU"/>
        </w:rPr>
        <w:tab/>
      </w:r>
      <w:bookmarkStart w:id="96" w:name="lt_pId3085"/>
      <w:r w:rsidRPr="002C6523">
        <w:rPr>
          <w:lang w:val="ru-RU"/>
        </w:rPr>
        <w:t>Эталонная ситуация планируемых национальных выделений</w:t>
      </w:r>
    </w:p>
    <w:p w14:paraId="115B1B98" w14:textId="77777777" w:rsidR="00B42F5B" w:rsidRPr="002C6523" w:rsidRDefault="00B42F5B" w:rsidP="00B42F5B">
      <w:pPr>
        <w:rPr>
          <w:lang w:val="ru-RU"/>
        </w:rPr>
      </w:pPr>
      <w:bookmarkStart w:id="97" w:name="lt_pId3086"/>
      <w:bookmarkEnd w:id="96"/>
      <w:r w:rsidRPr="002C6523">
        <w:rPr>
          <w:lang w:val="ru-RU"/>
        </w:rPr>
        <w:t>Эталонная ситуация национальных выделений в Плане Приложения </w:t>
      </w:r>
      <w:r w:rsidRPr="002C6523">
        <w:rPr>
          <w:b/>
          <w:lang w:val="ru-RU"/>
        </w:rPr>
        <w:t>30B</w:t>
      </w:r>
      <w:r w:rsidRPr="002C6523">
        <w:rPr>
          <w:lang w:val="ru-RU"/>
        </w:rPr>
        <w:t xml:space="preserve"> определяется значением отношения несущей к суммарной помехе </w:t>
      </w:r>
      <w:r w:rsidRPr="002C6523">
        <w:rPr>
          <w:i/>
          <w:iCs/>
          <w:lang w:val="ru-RU"/>
        </w:rPr>
        <w:t>C/I</w:t>
      </w:r>
      <w:r w:rsidRPr="002C6523">
        <w:rPr>
          <w:lang w:val="ru-RU"/>
        </w:rPr>
        <w:t xml:space="preserve"> в каждой контрольной точке.</w:t>
      </w:r>
    </w:p>
    <w:p w14:paraId="6F3E577B" w14:textId="77777777" w:rsidR="00B42F5B" w:rsidRPr="002C6523" w:rsidRDefault="00B42F5B" w:rsidP="00B42F5B">
      <w:pPr>
        <w:rPr>
          <w:lang w:val="ru-RU"/>
        </w:rPr>
      </w:pPr>
      <w:bookmarkStart w:id="98" w:name="lt_pId3087"/>
      <w:bookmarkEnd w:id="97"/>
      <w:r w:rsidRPr="002C6523">
        <w:rPr>
          <w:lang w:val="ru-RU"/>
        </w:rPr>
        <w:t xml:space="preserve">В таблицах 7 и 8 ниже показана эталонная ситуация национальных выделений в соответствии с публикацией ИФИК БР № 3015 от 20 февраля 2024 года. Поскольку значения эталонной ситуации для большинства выделений не сильно ухудшились по сравнению с критерием 21 дБ, установленным в Приложении 30B, для каждого выделения показано только минимальное значение </w:t>
      </w:r>
      <w:r w:rsidRPr="002C6523">
        <w:rPr>
          <w:i/>
          <w:iCs/>
          <w:lang w:val="ru-RU"/>
        </w:rPr>
        <w:t>C/I</w:t>
      </w:r>
      <w:r w:rsidRPr="002C6523">
        <w:rPr>
          <w:lang w:val="ru-RU"/>
        </w:rPr>
        <w:t xml:space="preserve"> для суммарных помех.</w:t>
      </w:r>
    </w:p>
    <w:p w14:paraId="45AEEB8A" w14:textId="77777777" w:rsidR="00B42F5B" w:rsidRPr="002C6523" w:rsidRDefault="00B42F5B" w:rsidP="00B42F5B">
      <w:pPr>
        <w:pStyle w:val="TableNo"/>
        <w:rPr>
          <w:lang w:val="ru-RU"/>
        </w:rPr>
      </w:pPr>
      <w:bookmarkStart w:id="99" w:name="lt_pId3089"/>
      <w:bookmarkEnd w:id="98"/>
      <w:r w:rsidRPr="002C6523">
        <w:rPr>
          <w:lang w:val="ru-RU"/>
        </w:rPr>
        <w:t>ТАБЛИЦА 7</w:t>
      </w:r>
      <w:bookmarkEnd w:id="99"/>
    </w:p>
    <w:p w14:paraId="628EEFA9" w14:textId="257CC018" w:rsidR="00B42F5B" w:rsidRPr="002C6523" w:rsidRDefault="00B42F5B" w:rsidP="00B42F5B">
      <w:pPr>
        <w:pStyle w:val="Tabletitle"/>
        <w:rPr>
          <w:lang w:val="ru-RU"/>
        </w:rPr>
      </w:pPr>
      <w:bookmarkStart w:id="100" w:name="lt_pId3090"/>
      <w:r w:rsidRPr="002C6523">
        <w:rPr>
          <w:lang w:val="ru-RU"/>
        </w:rPr>
        <w:t>Эталонная ситуация национальных выделений в Плане ФСС</w:t>
      </w:r>
      <w:r w:rsidRPr="002C6523">
        <w:rPr>
          <w:lang w:val="ru-RU"/>
        </w:rPr>
        <w:br/>
      </w:r>
      <w:bookmarkStart w:id="101" w:name="lt_pId3091"/>
      <w:bookmarkEnd w:id="100"/>
      <w:r w:rsidRPr="002C6523">
        <w:rPr>
          <w:lang w:val="ru-RU"/>
        </w:rPr>
        <w:t>(полосы 4500</w:t>
      </w:r>
      <w:r w:rsidR="00B70753" w:rsidRPr="00B70753">
        <w:rPr>
          <w:lang w:val="ru-RU"/>
        </w:rPr>
        <w:t>−</w:t>
      </w:r>
      <w:r w:rsidRPr="002C6523">
        <w:rPr>
          <w:lang w:val="ru-RU"/>
        </w:rPr>
        <w:t>4800 МГц и 6725</w:t>
      </w:r>
      <w:r w:rsidR="00B70753" w:rsidRPr="00B70753">
        <w:rPr>
          <w:lang w:val="ru-RU"/>
        </w:rPr>
        <w:t>−</w:t>
      </w:r>
      <w:r w:rsidRPr="002C6523">
        <w:rPr>
          <w:lang w:val="ru-RU"/>
        </w:rPr>
        <w:t>7025 МГц)</w:t>
      </w:r>
      <w:bookmarkEnd w:id="101"/>
    </w:p>
    <w:bookmarkStart w:id="102" w:name="lt_pId4056"/>
    <w:p w14:paraId="208D2121" w14:textId="77777777" w:rsidR="00B42F5B" w:rsidRPr="002C6523" w:rsidRDefault="00B42F5B" w:rsidP="00FD1155">
      <w:pPr>
        <w:jc w:val="center"/>
        <w:rPr>
          <w:rFonts w:asciiTheme="minorHAnsi" w:hAnsiTheme="minorHAnsi" w:cstheme="minorHAnsi"/>
          <w:sz w:val="20"/>
          <w:szCs w:val="22"/>
          <w:lang w:val="ru-RU"/>
        </w:rPr>
      </w:pPr>
      <w:r w:rsidRPr="00FD1155">
        <w:rPr>
          <w:rStyle w:val="Hyperlink"/>
          <w:b/>
          <w:bCs/>
        </w:rPr>
        <w:fldChar w:fldCharType="begin"/>
      </w:r>
      <w:r w:rsidRPr="00FD1155">
        <w:rPr>
          <w:rStyle w:val="Hyperlink"/>
          <w:b/>
          <w:bCs/>
        </w:rPr>
        <w:instrText>HYPERLINK</w:instrText>
      </w:r>
      <w:r w:rsidRPr="005B2BBD">
        <w:rPr>
          <w:rStyle w:val="Hyperlink"/>
          <w:b/>
          <w:bCs/>
          <w:lang w:val="ru-RU"/>
        </w:rPr>
        <w:instrText xml:space="preserve"> "</w:instrText>
      </w:r>
      <w:r w:rsidRPr="00FD1155">
        <w:rPr>
          <w:rStyle w:val="Hyperlink"/>
          <w:b/>
          <w:bCs/>
        </w:rPr>
        <w:instrText>https</w:instrText>
      </w:r>
      <w:r w:rsidRPr="005B2BBD">
        <w:rPr>
          <w:rStyle w:val="Hyperlink"/>
          <w:b/>
          <w:bCs/>
          <w:lang w:val="ru-RU"/>
        </w:rPr>
        <w:instrText>://</w:instrText>
      </w:r>
      <w:r w:rsidRPr="00FD1155">
        <w:rPr>
          <w:rStyle w:val="Hyperlink"/>
          <w:b/>
          <w:bCs/>
        </w:rPr>
        <w:instrText>www</w:instrText>
      </w:r>
      <w:r w:rsidRPr="005B2BBD">
        <w:rPr>
          <w:rStyle w:val="Hyperlink"/>
          <w:b/>
          <w:bCs/>
          <w:lang w:val="ru-RU"/>
        </w:rPr>
        <w:instrText>.</w:instrText>
      </w:r>
      <w:r w:rsidRPr="00FD1155">
        <w:rPr>
          <w:rStyle w:val="Hyperlink"/>
          <w:b/>
          <w:bCs/>
        </w:rPr>
        <w:instrText>itu</w:instrText>
      </w:r>
      <w:r w:rsidRPr="005B2BBD">
        <w:rPr>
          <w:rStyle w:val="Hyperlink"/>
          <w:b/>
          <w:bCs/>
          <w:lang w:val="ru-RU"/>
        </w:rPr>
        <w:instrText>.</w:instrText>
      </w:r>
      <w:r w:rsidRPr="00FD1155">
        <w:rPr>
          <w:rStyle w:val="Hyperlink"/>
          <w:b/>
          <w:bCs/>
        </w:rPr>
        <w:instrText>int</w:instrText>
      </w:r>
      <w:r w:rsidRPr="005B2BBD">
        <w:rPr>
          <w:rStyle w:val="Hyperlink"/>
          <w:b/>
          <w:bCs/>
          <w:lang w:val="ru-RU"/>
        </w:rPr>
        <w:instrText>/</w:instrText>
      </w:r>
      <w:r w:rsidRPr="00FD1155">
        <w:rPr>
          <w:rStyle w:val="Hyperlink"/>
          <w:b/>
          <w:bCs/>
        </w:rPr>
        <w:instrText>en</w:instrText>
      </w:r>
      <w:r w:rsidRPr="005B2BBD">
        <w:rPr>
          <w:rStyle w:val="Hyperlink"/>
          <w:b/>
          <w:bCs/>
          <w:lang w:val="ru-RU"/>
        </w:rPr>
        <w:instrText>/</w:instrText>
      </w:r>
      <w:r w:rsidRPr="00FD1155">
        <w:rPr>
          <w:rStyle w:val="Hyperlink"/>
          <w:b/>
          <w:bCs/>
        </w:rPr>
        <w:instrText>council</w:instrText>
      </w:r>
      <w:r w:rsidRPr="005B2BBD">
        <w:rPr>
          <w:rStyle w:val="Hyperlink"/>
          <w:b/>
          <w:bCs/>
          <w:lang w:val="ru-RU"/>
        </w:rPr>
        <w:instrText>/</w:instrText>
      </w:r>
      <w:r w:rsidRPr="00FD1155">
        <w:rPr>
          <w:rStyle w:val="Hyperlink"/>
          <w:b/>
          <w:bCs/>
        </w:rPr>
        <w:instrText>Documents</w:instrText>
      </w:r>
      <w:r w:rsidRPr="005B2BBD">
        <w:rPr>
          <w:rStyle w:val="Hyperlink"/>
          <w:b/>
          <w:bCs/>
          <w:lang w:val="ru-RU"/>
        </w:rPr>
        <w:instrText>/2024/036</w:instrText>
      </w:r>
      <w:r w:rsidRPr="00FD1155">
        <w:rPr>
          <w:rStyle w:val="Hyperlink"/>
          <w:b/>
          <w:bCs/>
        </w:rPr>
        <w:instrText>e</w:instrText>
      </w:r>
      <w:r w:rsidRPr="005B2BBD">
        <w:rPr>
          <w:rStyle w:val="Hyperlink"/>
          <w:b/>
          <w:bCs/>
          <w:lang w:val="ru-RU"/>
        </w:rPr>
        <w:instrText>-</w:instrText>
      </w:r>
      <w:r w:rsidRPr="00FD1155">
        <w:rPr>
          <w:rStyle w:val="Hyperlink"/>
          <w:b/>
          <w:bCs/>
        </w:rPr>
        <w:instrText>Table</w:instrText>
      </w:r>
      <w:r w:rsidRPr="005B2BBD">
        <w:rPr>
          <w:rStyle w:val="Hyperlink"/>
          <w:b/>
          <w:bCs/>
          <w:lang w:val="ru-RU"/>
        </w:rPr>
        <w:instrText>7.</w:instrText>
      </w:r>
      <w:r w:rsidRPr="00FD1155">
        <w:rPr>
          <w:rStyle w:val="Hyperlink"/>
          <w:b/>
          <w:bCs/>
        </w:rPr>
        <w:instrText>pdf</w:instrText>
      </w:r>
      <w:r w:rsidRPr="005B2BBD">
        <w:rPr>
          <w:rStyle w:val="Hyperlink"/>
          <w:b/>
          <w:bCs/>
          <w:lang w:val="ru-RU"/>
        </w:rPr>
        <w:instrText>"</w:instrText>
      </w:r>
      <w:r w:rsidRPr="00FD1155">
        <w:rPr>
          <w:rStyle w:val="Hyperlink"/>
          <w:b/>
          <w:bCs/>
        </w:rPr>
      </w:r>
      <w:r w:rsidRPr="00FD1155">
        <w:rPr>
          <w:rStyle w:val="Hyperlink"/>
          <w:b/>
          <w:bCs/>
        </w:rPr>
        <w:fldChar w:fldCharType="separate"/>
      </w:r>
      <w:r w:rsidRPr="005B2BBD">
        <w:rPr>
          <w:rStyle w:val="Hyperlink"/>
          <w:b/>
          <w:bCs/>
          <w:lang w:val="ru-RU"/>
        </w:rPr>
        <w:t>См. табли</w:t>
      </w:r>
      <w:r w:rsidRPr="005B2BBD">
        <w:rPr>
          <w:rStyle w:val="Hyperlink"/>
          <w:b/>
          <w:bCs/>
          <w:lang w:val="ru-RU"/>
        </w:rPr>
        <w:t>ц</w:t>
      </w:r>
      <w:r w:rsidRPr="005B2BBD">
        <w:rPr>
          <w:rStyle w:val="Hyperlink"/>
          <w:b/>
          <w:bCs/>
          <w:lang w:val="ru-RU"/>
        </w:rPr>
        <w:t>у 7</w:t>
      </w:r>
      <w:r w:rsidRPr="00FD1155">
        <w:rPr>
          <w:rStyle w:val="Hyperlink"/>
          <w:b/>
          <w:bCs/>
        </w:rPr>
        <w:fldChar w:fldCharType="end"/>
      </w:r>
      <w:r w:rsidRPr="005B2BBD">
        <w:rPr>
          <w:lang w:val="ru-RU"/>
        </w:rPr>
        <w:t>.</w:t>
      </w:r>
    </w:p>
    <w:p w14:paraId="613CB6B1" w14:textId="4EE66566" w:rsidR="00B42F5B" w:rsidRPr="00B70753" w:rsidRDefault="00B42F5B" w:rsidP="00B70753">
      <w:pPr>
        <w:pStyle w:val="Note"/>
        <w:rPr>
          <w:lang w:val="ru-RU"/>
        </w:rPr>
      </w:pPr>
      <w:r w:rsidRPr="005B2BBD">
        <w:rPr>
          <w:lang w:val="ru-RU"/>
        </w:rPr>
        <w:t xml:space="preserve">Примечание 1. </w:t>
      </w:r>
      <w:r w:rsidR="00B70753" w:rsidRPr="00B70753">
        <w:rPr>
          <w:lang w:val="ru-RU"/>
        </w:rPr>
        <w:t>−</w:t>
      </w:r>
      <w:r w:rsidRPr="00B70753">
        <w:rPr>
          <w:lang w:val="ru-RU"/>
        </w:rPr>
        <w:t xml:space="preserve"> </w:t>
      </w:r>
      <w:bookmarkEnd w:id="102"/>
      <w:r w:rsidRPr="00B70753">
        <w:rPr>
          <w:lang w:val="ru-RU"/>
        </w:rPr>
        <w:t>Ухудшение вследствие применения неявного согласия.</w:t>
      </w:r>
    </w:p>
    <w:p w14:paraId="71399DFB" w14:textId="0914BC6B" w:rsidR="00B42F5B" w:rsidRPr="00B70753" w:rsidRDefault="00B42F5B" w:rsidP="00B70753">
      <w:pPr>
        <w:pStyle w:val="Note"/>
        <w:rPr>
          <w:lang w:val="ru-RU"/>
        </w:rPr>
      </w:pPr>
      <w:bookmarkStart w:id="103" w:name="lt_pId4057"/>
      <w:r w:rsidRPr="005B2BBD">
        <w:rPr>
          <w:lang w:val="ru-RU"/>
        </w:rPr>
        <w:t xml:space="preserve">Примечание 2. </w:t>
      </w:r>
      <w:r w:rsidR="00B70753" w:rsidRPr="00B70753">
        <w:rPr>
          <w:lang w:val="ru-RU"/>
        </w:rPr>
        <w:t>−</w:t>
      </w:r>
      <w:r w:rsidRPr="00B70753">
        <w:rPr>
          <w:lang w:val="ru-RU"/>
        </w:rPr>
        <w:t xml:space="preserve"> Данное выделение преобразовано в присвоения.</w:t>
      </w:r>
      <w:bookmarkEnd w:id="103"/>
    </w:p>
    <w:p w14:paraId="4A6EA5C9" w14:textId="6B7D9BE6" w:rsidR="00B42F5B" w:rsidRPr="00B70753" w:rsidRDefault="00B42F5B" w:rsidP="00B70753">
      <w:pPr>
        <w:pStyle w:val="Note"/>
        <w:rPr>
          <w:lang w:val="ru-RU"/>
        </w:rPr>
      </w:pPr>
      <w:bookmarkStart w:id="104" w:name="lt_pId4058"/>
      <w:r w:rsidRPr="005B2BBD">
        <w:rPr>
          <w:lang w:val="ru-RU"/>
        </w:rPr>
        <w:t xml:space="preserve">Примечание 3. </w:t>
      </w:r>
      <w:r w:rsidR="00B70753" w:rsidRPr="00B70753">
        <w:rPr>
          <w:lang w:val="ru-RU"/>
        </w:rPr>
        <w:t>−</w:t>
      </w:r>
      <w:r w:rsidRPr="00B70753">
        <w:rPr>
          <w:lang w:val="ru-RU"/>
        </w:rPr>
        <w:t xml:space="preserve"> Ухудшение вследствие явного принятия факта наличия помех от сети (сетей) другой администрации (администраций) в результате достижения взаимного соглашения.</w:t>
      </w:r>
    </w:p>
    <w:p w14:paraId="11DAF6C0" w14:textId="4C67DA80" w:rsidR="00B42F5B" w:rsidRPr="00B70753" w:rsidRDefault="00B42F5B" w:rsidP="00B70753">
      <w:pPr>
        <w:pStyle w:val="Note"/>
        <w:rPr>
          <w:lang w:val="ru-RU"/>
        </w:rPr>
      </w:pPr>
      <w:r w:rsidRPr="005B2BBD">
        <w:rPr>
          <w:lang w:val="ru-RU"/>
        </w:rPr>
        <w:t xml:space="preserve">Примечание 4. </w:t>
      </w:r>
      <w:r w:rsidR="00B70753" w:rsidRPr="00B70753">
        <w:rPr>
          <w:lang w:val="ru-RU"/>
        </w:rPr>
        <w:t>−</w:t>
      </w:r>
      <w:r w:rsidRPr="00B70753">
        <w:rPr>
          <w:lang w:val="ru-RU"/>
        </w:rPr>
        <w:t xml:space="preserve"> ВКР-23 утвердила включение в План этого нового выделения, соответствующая Специальная секция будет опубликована в марте 2024 года.</w:t>
      </w:r>
    </w:p>
    <w:bookmarkEnd w:id="104"/>
    <w:p w14:paraId="1838D85A" w14:textId="77777777" w:rsidR="00B42F5B" w:rsidRPr="002C6523" w:rsidRDefault="00B42F5B" w:rsidP="00B42F5B">
      <w:pPr>
        <w:pStyle w:val="TableNo"/>
        <w:rPr>
          <w:lang w:val="ru-RU"/>
        </w:rPr>
      </w:pPr>
      <w:r w:rsidRPr="002C6523">
        <w:rPr>
          <w:lang w:val="ru-RU"/>
        </w:rPr>
        <w:t>ТАБЛИЦА 8</w:t>
      </w:r>
    </w:p>
    <w:p w14:paraId="57D0BBCD" w14:textId="77777777" w:rsidR="00B42F5B" w:rsidRPr="002C6523" w:rsidRDefault="00B42F5B" w:rsidP="00B42F5B">
      <w:pPr>
        <w:pStyle w:val="Tabletitle"/>
        <w:rPr>
          <w:lang w:val="ru-RU"/>
        </w:rPr>
      </w:pPr>
      <w:bookmarkStart w:id="105" w:name="lt_pId4060"/>
      <w:r w:rsidRPr="002C6523">
        <w:rPr>
          <w:lang w:val="ru-RU"/>
        </w:rPr>
        <w:t xml:space="preserve">Эталонная ситуация национальных выделений в Плане ФСС </w:t>
      </w:r>
      <w:r w:rsidRPr="002C6523">
        <w:rPr>
          <w:lang w:val="ru-RU"/>
        </w:rPr>
        <w:br/>
      </w:r>
      <w:bookmarkStart w:id="106" w:name="lt_pId4061"/>
      <w:bookmarkEnd w:id="105"/>
      <w:r w:rsidRPr="002C6523">
        <w:rPr>
          <w:lang w:val="ru-RU"/>
        </w:rPr>
        <w:t>(полосы 10,70−10,95 ГГц, 11,20−11,45 ГГц и 12,75−13,25 ГГц)</w:t>
      </w:r>
      <w:bookmarkEnd w:id="106"/>
    </w:p>
    <w:bookmarkStart w:id="107" w:name="lt_pId5051"/>
    <w:p w14:paraId="7DC18FC5" w14:textId="3DCA151D" w:rsidR="00B42F5B" w:rsidRPr="002C6523" w:rsidRDefault="008A5BAE" w:rsidP="008A5BAE">
      <w:pPr>
        <w:jc w:val="center"/>
        <w:rPr>
          <w:sz w:val="20"/>
          <w:lang w:val="ru-RU"/>
        </w:rPr>
      </w:pPr>
      <w:r w:rsidRPr="008A5BAE">
        <w:rPr>
          <w:b/>
          <w:bCs/>
          <w:lang w:val="ru-RU"/>
        </w:rPr>
        <w:fldChar w:fldCharType="begin"/>
      </w:r>
      <w:r w:rsidRPr="008A5BAE">
        <w:rPr>
          <w:b/>
          <w:bCs/>
          <w:lang w:val="ru-RU"/>
        </w:rPr>
        <w:instrText>HYPERLINK "https://www.itu.int/en/council/Documents/2024/036e-Table8.pdf"</w:instrText>
      </w:r>
      <w:r w:rsidRPr="008A5BAE">
        <w:rPr>
          <w:b/>
          <w:bCs/>
          <w:lang w:val="ru-RU"/>
        </w:rPr>
      </w:r>
      <w:r w:rsidRPr="008A5BAE">
        <w:rPr>
          <w:b/>
          <w:bCs/>
          <w:lang w:val="ru-RU"/>
        </w:rPr>
        <w:fldChar w:fldCharType="separate"/>
      </w:r>
      <w:r w:rsidR="00B42F5B" w:rsidRPr="008A5BAE">
        <w:rPr>
          <w:rStyle w:val="Hyperlink"/>
          <w:b/>
          <w:bCs/>
          <w:lang w:val="ru-RU"/>
        </w:rPr>
        <w:t>См. та</w:t>
      </w:r>
      <w:r w:rsidR="00B42F5B" w:rsidRPr="008A5BAE">
        <w:rPr>
          <w:rStyle w:val="Hyperlink"/>
          <w:b/>
          <w:bCs/>
          <w:lang w:val="ru-RU"/>
        </w:rPr>
        <w:t>б</w:t>
      </w:r>
      <w:r w:rsidR="00B42F5B" w:rsidRPr="008A5BAE">
        <w:rPr>
          <w:rStyle w:val="Hyperlink"/>
          <w:b/>
          <w:bCs/>
          <w:lang w:val="ru-RU"/>
        </w:rPr>
        <w:t>лицу 8</w:t>
      </w:r>
      <w:r w:rsidRPr="008A5BAE">
        <w:rPr>
          <w:b/>
          <w:bCs/>
          <w:lang w:val="ru-RU"/>
        </w:rPr>
        <w:fldChar w:fldCharType="end"/>
      </w:r>
      <w:r w:rsidR="00B42F5B" w:rsidRPr="002C6523">
        <w:rPr>
          <w:lang w:val="ru-RU"/>
        </w:rPr>
        <w:t>.</w:t>
      </w:r>
    </w:p>
    <w:p w14:paraId="05B572C7" w14:textId="67EFA7D1" w:rsidR="00B42F5B" w:rsidRPr="00B70753" w:rsidRDefault="00B42F5B" w:rsidP="00B70753">
      <w:pPr>
        <w:pStyle w:val="Note"/>
        <w:rPr>
          <w:lang w:val="ru-RU"/>
        </w:rPr>
      </w:pPr>
      <w:r w:rsidRPr="005B2BBD">
        <w:rPr>
          <w:lang w:val="ru-RU"/>
        </w:rPr>
        <w:t xml:space="preserve">Примечание 1. </w:t>
      </w:r>
      <w:r w:rsidR="00B70753" w:rsidRPr="00B70753">
        <w:rPr>
          <w:lang w:val="ru-RU"/>
        </w:rPr>
        <w:t>−</w:t>
      </w:r>
      <w:r w:rsidRPr="00B70753">
        <w:rPr>
          <w:lang w:val="ru-RU"/>
        </w:rPr>
        <w:t xml:space="preserve"> Ухудшение вследствие применения неявного согласия.</w:t>
      </w:r>
    </w:p>
    <w:p w14:paraId="1D00F9A9" w14:textId="2E17EBD4" w:rsidR="00B42F5B" w:rsidRPr="00B70753" w:rsidRDefault="00B42F5B" w:rsidP="00B70753">
      <w:pPr>
        <w:pStyle w:val="Note"/>
        <w:rPr>
          <w:lang w:val="ru-RU"/>
        </w:rPr>
      </w:pPr>
      <w:r w:rsidRPr="005B2BBD">
        <w:rPr>
          <w:lang w:val="ru-RU"/>
        </w:rPr>
        <w:t xml:space="preserve">Примечание 2. </w:t>
      </w:r>
      <w:r w:rsidR="00B70753" w:rsidRPr="00B70753">
        <w:rPr>
          <w:lang w:val="ru-RU"/>
        </w:rPr>
        <w:t>−</w:t>
      </w:r>
      <w:r w:rsidRPr="00B70753">
        <w:rPr>
          <w:lang w:val="ru-RU"/>
        </w:rPr>
        <w:t xml:space="preserve"> Данное выделение преобразовано в присвоения.</w:t>
      </w:r>
    </w:p>
    <w:p w14:paraId="4976992B" w14:textId="476B5440" w:rsidR="00B42F5B" w:rsidRPr="00B70753" w:rsidRDefault="00B42F5B" w:rsidP="00B70753">
      <w:pPr>
        <w:pStyle w:val="Note"/>
        <w:rPr>
          <w:lang w:val="ru-RU"/>
        </w:rPr>
      </w:pPr>
      <w:r w:rsidRPr="005B2BBD">
        <w:rPr>
          <w:lang w:val="ru-RU"/>
        </w:rPr>
        <w:lastRenderedPageBreak/>
        <w:t xml:space="preserve">Примечание 3. </w:t>
      </w:r>
      <w:r w:rsidR="00B70753" w:rsidRPr="00B70753">
        <w:rPr>
          <w:lang w:val="ru-RU"/>
        </w:rPr>
        <w:t>−</w:t>
      </w:r>
      <w:r w:rsidRPr="00B70753">
        <w:rPr>
          <w:lang w:val="ru-RU"/>
        </w:rPr>
        <w:t xml:space="preserve"> Ухудшение вследствие помех со стороны собственной сети (сетей) администрации или вследствие явного принятия факта наличия помех от сети (сетей) другой администрации (администраций) в результате достижения взаимного соглашения.</w:t>
      </w:r>
    </w:p>
    <w:p w14:paraId="65DED91D" w14:textId="4140DC4E" w:rsidR="00B42F5B" w:rsidRPr="00B70753" w:rsidRDefault="00B42F5B" w:rsidP="00B70753">
      <w:pPr>
        <w:pStyle w:val="Note"/>
        <w:rPr>
          <w:lang w:val="ru-RU"/>
        </w:rPr>
      </w:pPr>
      <w:r w:rsidRPr="005B2BBD">
        <w:rPr>
          <w:lang w:val="ru-RU"/>
        </w:rPr>
        <w:t xml:space="preserve">Примечание 4. </w:t>
      </w:r>
      <w:r w:rsidR="00B70753" w:rsidRPr="00B70753">
        <w:rPr>
          <w:lang w:val="ru-RU"/>
        </w:rPr>
        <w:t>−</w:t>
      </w:r>
      <w:r w:rsidRPr="00B70753">
        <w:rPr>
          <w:lang w:val="ru-RU"/>
        </w:rPr>
        <w:t xml:space="preserve"> ВКР-23 утвердила включение в План этого нового выделения, соответствующая Специальная секция будет опубликована в марте 2024 года. </w:t>
      </w:r>
    </w:p>
    <w:bookmarkEnd w:id="107"/>
    <w:p w14:paraId="6C9F5E3C" w14:textId="77777777" w:rsidR="00B42F5B" w:rsidRPr="002C6523" w:rsidRDefault="00B42F5B" w:rsidP="00B42F5B">
      <w:pPr>
        <w:pStyle w:val="Heading1"/>
        <w:rPr>
          <w:lang w:val="ru-RU"/>
        </w:rPr>
      </w:pPr>
      <w:r w:rsidRPr="002C6523">
        <w:rPr>
          <w:lang w:val="ru-RU"/>
        </w:rPr>
        <w:t>3</w:t>
      </w:r>
      <w:r w:rsidRPr="002C6523">
        <w:rPr>
          <w:lang w:val="ru-RU"/>
        </w:rPr>
        <w:tab/>
      </w:r>
      <w:bookmarkStart w:id="108" w:name="lt_pId5054"/>
      <w:r w:rsidRPr="002C6523">
        <w:rPr>
          <w:lang w:val="ru-RU"/>
        </w:rPr>
        <w:t>Краткий обзор ситуации с дополнительными системами в Списке</w:t>
      </w:r>
    </w:p>
    <w:p w14:paraId="38EF1A09" w14:textId="77777777" w:rsidR="00B42F5B" w:rsidRPr="002C6523" w:rsidRDefault="00B42F5B" w:rsidP="00B42F5B">
      <w:pPr>
        <w:rPr>
          <w:lang w:val="ru-RU"/>
        </w:rPr>
      </w:pPr>
      <w:bookmarkStart w:id="109" w:name="lt_pId5055"/>
      <w:bookmarkEnd w:id="108"/>
      <w:r w:rsidRPr="002C6523">
        <w:rPr>
          <w:lang w:val="ru-RU"/>
        </w:rPr>
        <w:t>В таблице 9 ниже приведено количество сетей, включенных в Список Приложения </w:t>
      </w:r>
      <w:r w:rsidRPr="002C6523">
        <w:rPr>
          <w:b/>
          <w:bCs/>
          <w:lang w:val="ru-RU"/>
        </w:rPr>
        <w:t>30B</w:t>
      </w:r>
      <w:r w:rsidRPr="002C6523">
        <w:rPr>
          <w:lang w:val="ru-RU"/>
        </w:rPr>
        <w:t>. Они являются результатом преобразования выделения, "существующих" систем (см. Резолюцию </w:t>
      </w:r>
      <w:r w:rsidRPr="002C6523">
        <w:rPr>
          <w:b/>
          <w:bCs/>
          <w:lang w:val="ru-RU"/>
        </w:rPr>
        <w:t>148 (Пересм. ВКР-15)</w:t>
      </w:r>
      <w:r w:rsidRPr="002C6523">
        <w:rPr>
          <w:lang w:val="ru-RU"/>
        </w:rPr>
        <w:t xml:space="preserve">) или дополнительных систем. Цифры основаны на данных ИФИК БР № 3015 от 20 февраля 2024 </w:t>
      </w:r>
      <w:r w:rsidRPr="002C6523">
        <w:rPr>
          <w:rFonts w:asciiTheme="minorHAnsi" w:hAnsiTheme="minorHAnsi" w:cstheme="minorHAnsi"/>
          <w:szCs w:val="24"/>
          <w:lang w:val="ru-RU"/>
        </w:rPr>
        <w:t>года</w:t>
      </w:r>
      <w:r w:rsidRPr="002C6523">
        <w:rPr>
          <w:lang w:val="ru-RU"/>
        </w:rPr>
        <w:t>.</w:t>
      </w:r>
    </w:p>
    <w:p w14:paraId="47C69706" w14:textId="77777777" w:rsidR="00B42F5B" w:rsidRPr="002C6523" w:rsidRDefault="00B42F5B" w:rsidP="00B42F5B">
      <w:pPr>
        <w:pStyle w:val="TableNo"/>
        <w:rPr>
          <w:lang w:val="ru-RU"/>
        </w:rPr>
      </w:pPr>
      <w:bookmarkStart w:id="110" w:name="lt_pId5058"/>
      <w:bookmarkEnd w:id="109"/>
      <w:r w:rsidRPr="002C6523">
        <w:rPr>
          <w:lang w:val="ru-RU"/>
        </w:rPr>
        <w:t>ТАБЛИЦА 9</w:t>
      </w:r>
      <w:bookmarkEnd w:id="110"/>
    </w:p>
    <w:p w14:paraId="289C8D29" w14:textId="77777777" w:rsidR="00B42F5B" w:rsidRPr="002C6523" w:rsidRDefault="00B42F5B" w:rsidP="00B42F5B">
      <w:pPr>
        <w:pStyle w:val="Tabletitle"/>
        <w:rPr>
          <w:lang w:val="ru-RU"/>
        </w:rPr>
      </w:pPr>
      <w:bookmarkStart w:id="111" w:name="lt_pId5059"/>
      <w:r w:rsidRPr="002C6523">
        <w:rPr>
          <w:rFonts w:asciiTheme="minorHAnsi" w:hAnsiTheme="minorHAnsi" w:cstheme="minorHAnsi"/>
          <w:szCs w:val="24"/>
          <w:lang w:val="ru-RU"/>
        </w:rPr>
        <w:t xml:space="preserve">Количество сетей, </w:t>
      </w:r>
      <w:r w:rsidRPr="002C6523">
        <w:rPr>
          <w:lang w:val="ru-RU"/>
        </w:rPr>
        <w:t>включенных в Список Приложения 30B</w:t>
      </w:r>
    </w:p>
    <w:p w14:paraId="18E0186B" w14:textId="066F8EA9" w:rsidR="00B42F5B" w:rsidRPr="002C6523" w:rsidRDefault="00433C30" w:rsidP="00883252">
      <w:pPr>
        <w:jc w:val="center"/>
        <w:rPr>
          <w:lang w:val="ru-RU"/>
        </w:rPr>
      </w:pPr>
      <w:hyperlink r:id="rId18" w:history="1">
        <w:r w:rsidR="00B42F5B" w:rsidRPr="00883252">
          <w:rPr>
            <w:rStyle w:val="Hyperlink"/>
            <w:b/>
            <w:bCs/>
            <w:lang w:val="ru-RU"/>
          </w:rPr>
          <w:t>См. таб</w:t>
        </w:r>
        <w:r w:rsidR="00B42F5B" w:rsidRPr="00883252">
          <w:rPr>
            <w:rStyle w:val="Hyperlink"/>
            <w:b/>
            <w:bCs/>
            <w:lang w:val="ru-RU"/>
          </w:rPr>
          <w:t>л</w:t>
        </w:r>
        <w:r w:rsidR="00B42F5B" w:rsidRPr="00883252">
          <w:rPr>
            <w:rStyle w:val="Hyperlink"/>
            <w:b/>
            <w:bCs/>
            <w:lang w:val="ru-RU"/>
          </w:rPr>
          <w:t>ицу 9</w:t>
        </w:r>
      </w:hyperlink>
      <w:r w:rsidR="00B42F5B" w:rsidRPr="002C6523">
        <w:rPr>
          <w:lang w:val="ru-RU"/>
        </w:rPr>
        <w:t>.</w:t>
      </w:r>
    </w:p>
    <w:bookmarkEnd w:id="111"/>
    <w:p w14:paraId="68156F06" w14:textId="77777777" w:rsidR="00B42F5B" w:rsidRPr="002C6523" w:rsidRDefault="00B42F5B" w:rsidP="00B42F5B">
      <w:pPr>
        <w:pStyle w:val="Heading1"/>
        <w:rPr>
          <w:lang w:val="ru-RU"/>
        </w:rPr>
      </w:pPr>
      <w:r w:rsidRPr="002C6523">
        <w:rPr>
          <w:lang w:val="ru-RU"/>
        </w:rPr>
        <w:t>4</w:t>
      </w:r>
      <w:r w:rsidRPr="002C6523">
        <w:rPr>
          <w:lang w:val="ru-RU"/>
        </w:rPr>
        <w:tab/>
      </w:r>
      <w:bookmarkStart w:id="112" w:name="lt_pId5183"/>
      <w:r w:rsidRPr="002C6523">
        <w:rPr>
          <w:lang w:val="ru-RU"/>
        </w:rPr>
        <w:t>Администрации, не имеющие национальных выделений в Плане</w:t>
      </w:r>
    </w:p>
    <w:p w14:paraId="19513530" w14:textId="56A6EB65" w:rsidR="00B42F5B" w:rsidRPr="00D61BF2" w:rsidRDefault="00B42F5B" w:rsidP="00B70753">
      <w:pPr>
        <w:rPr>
          <w:lang w:val="ru-RU"/>
        </w:rPr>
      </w:pPr>
      <w:bookmarkStart w:id="113" w:name="lt_pId5184"/>
      <w:bookmarkEnd w:id="112"/>
      <w:r w:rsidRPr="002C6523">
        <w:rPr>
          <w:lang w:val="ru-RU"/>
        </w:rPr>
        <w:t>Ряд администраций не имеют выделений в Плане Приложения </w:t>
      </w:r>
      <w:r w:rsidRPr="002C6523">
        <w:rPr>
          <w:b/>
          <w:lang w:val="ru-RU"/>
        </w:rPr>
        <w:t>30</w:t>
      </w:r>
      <w:r w:rsidRPr="002C6523">
        <w:rPr>
          <w:b/>
          <w:bCs/>
          <w:lang w:val="ru-RU"/>
        </w:rPr>
        <w:t>В</w:t>
      </w:r>
      <w:r w:rsidRPr="002C6523">
        <w:rPr>
          <w:lang w:val="ru-RU"/>
        </w:rPr>
        <w:t xml:space="preserve"> или присвоений в Списке главным образом потому, что они вступили в Союз после 1988 года. Статья 7 Приложения </w:t>
      </w:r>
      <w:r w:rsidRPr="002C6523">
        <w:rPr>
          <w:b/>
          <w:bCs/>
          <w:lang w:val="ru-RU"/>
        </w:rPr>
        <w:t>30B</w:t>
      </w:r>
      <w:r w:rsidRPr="002C6523">
        <w:rPr>
          <w:lang w:val="ru-RU"/>
        </w:rPr>
        <w:t xml:space="preserve"> предоставляет этим новым Государствам-Членам возможность запросить национальные выделения. ВКР-23 утвердила конкретные меры, призванные помочь новым Государствам </w:t>
      </w:r>
      <w:r w:rsidR="00B70753" w:rsidRPr="00B70753">
        <w:rPr>
          <w:lang w:val="ru-RU"/>
        </w:rPr>
        <w:t>−</w:t>
      </w:r>
      <w:r w:rsidRPr="002C6523">
        <w:rPr>
          <w:lang w:val="ru-RU"/>
        </w:rPr>
        <w:t xml:space="preserve"> Членам МСЭ преодолеть трудности при применении этой статьи, чтобы получить национальные выделения. </w:t>
      </w:r>
    </w:p>
    <w:p w14:paraId="5B723D84" w14:textId="398870CE" w:rsidR="00B42F5B" w:rsidRPr="002C6523" w:rsidRDefault="00B42F5B" w:rsidP="00B70753">
      <w:pPr>
        <w:rPr>
          <w:szCs w:val="22"/>
          <w:lang w:val="ru-RU"/>
        </w:rPr>
      </w:pPr>
      <w:bookmarkStart w:id="114" w:name="lt_pId345"/>
      <w:bookmarkEnd w:id="113"/>
      <w:r w:rsidRPr="002C6523">
        <w:rPr>
          <w:szCs w:val="22"/>
          <w:lang w:val="ru-RU"/>
        </w:rPr>
        <w:t xml:space="preserve">В соответствии с решениями ВКР-23 девять (9) новых Государств </w:t>
      </w:r>
      <w:r w:rsidR="00B70753" w:rsidRPr="00B70753">
        <w:rPr>
          <w:szCs w:val="22"/>
          <w:lang w:val="ru-RU"/>
        </w:rPr>
        <w:t>−</w:t>
      </w:r>
      <w:r w:rsidRPr="002C6523">
        <w:rPr>
          <w:szCs w:val="22"/>
          <w:lang w:val="ru-RU"/>
        </w:rPr>
        <w:t xml:space="preserve"> Членов МСЭ, а именно Босния и Герцеговина, Хорватия (Республика), Грузия, Северная Македония (Республика), Молдова (Республика), Черногория, Сербия, Словения и Южный Судан (Республика), получили национальные выделения в Плане Приложения </w:t>
      </w:r>
      <w:r w:rsidRPr="002C6523">
        <w:rPr>
          <w:b/>
          <w:bCs/>
          <w:szCs w:val="22"/>
          <w:lang w:val="ru-RU"/>
        </w:rPr>
        <w:t>30B</w:t>
      </w:r>
      <w:r w:rsidRPr="002C6523">
        <w:rPr>
          <w:szCs w:val="22"/>
          <w:lang w:val="ru-RU"/>
        </w:rPr>
        <w:t>.</w:t>
      </w:r>
    </w:p>
    <w:p w14:paraId="48AECAF1" w14:textId="77777777" w:rsidR="00B42F5B" w:rsidRPr="002C6523" w:rsidRDefault="00B42F5B" w:rsidP="00B70753">
      <w:pPr>
        <w:rPr>
          <w:szCs w:val="22"/>
          <w:lang w:val="ru-RU"/>
        </w:rPr>
      </w:pPr>
      <w:bookmarkStart w:id="115" w:name="lt_pId346"/>
      <w:bookmarkEnd w:id="114"/>
      <w:r w:rsidRPr="002C6523">
        <w:rPr>
          <w:szCs w:val="22"/>
          <w:lang w:val="ru-RU"/>
        </w:rPr>
        <w:t xml:space="preserve">На момент подготовки настоящего отчета есть семь (7) администраций, которые не имеют выделений в Плане Приложения </w:t>
      </w:r>
      <w:r w:rsidRPr="002C6523">
        <w:rPr>
          <w:b/>
          <w:bCs/>
          <w:szCs w:val="22"/>
          <w:lang w:val="ru-RU"/>
        </w:rPr>
        <w:t>30</w:t>
      </w:r>
      <w:r w:rsidRPr="002C6523">
        <w:rPr>
          <w:b/>
          <w:bCs/>
          <w:szCs w:val="22"/>
          <w:lang w:val="en-US"/>
        </w:rPr>
        <w:t>B</w:t>
      </w:r>
      <w:r w:rsidRPr="002C6523">
        <w:rPr>
          <w:szCs w:val="22"/>
          <w:lang w:val="ru-RU"/>
        </w:rPr>
        <w:t xml:space="preserve">: Эритрея, Эстония, Латвия, Сент-Люсия, Таджикистан, Тимор-Лешти (Демократическая Республика) и Туркменистан. Кроме того, Государство Палестина не имеет выделения в Плане Приложения </w:t>
      </w:r>
      <w:r w:rsidRPr="002C6523">
        <w:rPr>
          <w:b/>
          <w:bCs/>
          <w:szCs w:val="22"/>
          <w:lang w:val="ru-RU"/>
        </w:rPr>
        <w:t>30B</w:t>
      </w:r>
      <w:r w:rsidRPr="002C6523">
        <w:rPr>
          <w:szCs w:val="22"/>
          <w:lang w:val="ru-RU"/>
        </w:rPr>
        <w:t xml:space="preserve">, при том что у него есть планируемые частотные присвоения в Планах Приложений </w:t>
      </w:r>
      <w:r w:rsidRPr="002C6523">
        <w:rPr>
          <w:b/>
          <w:bCs/>
          <w:szCs w:val="22"/>
          <w:lang w:val="ru-RU"/>
        </w:rPr>
        <w:t xml:space="preserve">30 </w:t>
      </w:r>
      <w:r w:rsidRPr="002C6523">
        <w:rPr>
          <w:szCs w:val="22"/>
          <w:lang w:val="ru-RU"/>
        </w:rPr>
        <w:t>и</w:t>
      </w:r>
      <w:r w:rsidRPr="002C6523">
        <w:rPr>
          <w:b/>
          <w:bCs/>
          <w:szCs w:val="22"/>
          <w:lang w:val="ru-RU"/>
        </w:rPr>
        <w:t xml:space="preserve"> 30A</w:t>
      </w:r>
      <w:r w:rsidRPr="002C6523">
        <w:rPr>
          <w:rStyle w:val="FootnoteReference"/>
          <w:szCs w:val="22"/>
          <w:lang w:val="ru-RU"/>
        </w:rPr>
        <w:footnoteReference w:id="1"/>
      </w:r>
      <w:r w:rsidRPr="002C6523">
        <w:rPr>
          <w:szCs w:val="22"/>
          <w:lang w:val="ru-RU"/>
        </w:rPr>
        <w:t xml:space="preserve">. По рекомендации Радиорегламентарного комитета ВКР-23 поручила Бюро связаться с этими семью администрациями и Государством Палестина с целью определения орбитальных ресурсов, если они пожелают инициировать процесс по Статье 7 Приложения </w:t>
      </w:r>
      <w:r w:rsidRPr="002C6523">
        <w:rPr>
          <w:b/>
          <w:bCs/>
          <w:szCs w:val="22"/>
          <w:lang w:val="ru-RU"/>
        </w:rPr>
        <w:t>30B</w:t>
      </w:r>
      <w:r w:rsidRPr="002C6523">
        <w:rPr>
          <w:szCs w:val="22"/>
          <w:lang w:val="ru-RU"/>
        </w:rPr>
        <w:t>.</w:t>
      </w:r>
    </w:p>
    <w:bookmarkEnd w:id="115"/>
    <w:p w14:paraId="74AC5F28" w14:textId="77777777" w:rsidR="00B42F5B" w:rsidRPr="002C6523" w:rsidRDefault="00B42F5B" w:rsidP="00B42F5B">
      <w:pPr>
        <w:pStyle w:val="Heading1"/>
        <w:rPr>
          <w:lang w:val="ru-RU"/>
        </w:rPr>
      </w:pPr>
      <w:r w:rsidRPr="002C6523">
        <w:rPr>
          <w:lang w:val="ru-RU"/>
        </w:rPr>
        <w:t>5</w:t>
      </w:r>
      <w:r w:rsidRPr="002C6523">
        <w:rPr>
          <w:lang w:val="ru-RU"/>
        </w:rPr>
        <w:tab/>
      </w:r>
      <w:bookmarkStart w:id="116" w:name="lt_pId5229"/>
      <w:r w:rsidRPr="002C6523">
        <w:rPr>
          <w:lang w:val="ru-RU"/>
        </w:rPr>
        <w:t>Трудности эксплуатации современной системы ФСС в соответствии с параметрами Приложения 30B</w:t>
      </w:r>
    </w:p>
    <w:p w14:paraId="13CB790B" w14:textId="77777777" w:rsidR="00B42F5B" w:rsidRPr="002C6523" w:rsidRDefault="00B42F5B" w:rsidP="00B42F5B">
      <w:pPr>
        <w:rPr>
          <w:lang w:val="ru-RU"/>
        </w:rPr>
      </w:pPr>
      <w:bookmarkStart w:id="117" w:name="lt_pId5230"/>
      <w:bookmarkEnd w:id="116"/>
      <w:r w:rsidRPr="002C6523">
        <w:rPr>
          <w:lang w:val="ru-RU"/>
        </w:rPr>
        <w:t xml:space="preserve">Несмотря на то, что на ВКР-07 были пересмотрены основные технические характеристики выделений Плана ФСС на основе доступных на тот момент технологий, некоторые из этих технических параметров устарели. </w:t>
      </w:r>
    </w:p>
    <w:p w14:paraId="7FEF6A0B" w14:textId="00C2E324" w:rsidR="00B42F5B" w:rsidRPr="002C6523" w:rsidRDefault="00B42F5B" w:rsidP="00B42F5B">
      <w:pPr>
        <w:rPr>
          <w:lang w:val="ru-RU"/>
        </w:rPr>
      </w:pPr>
      <w:r w:rsidRPr="002C6523">
        <w:rPr>
          <w:lang w:val="ru-RU"/>
        </w:rPr>
        <w:lastRenderedPageBreak/>
        <w:t>В частности, План предполагает, что будут использоваться земные станции с диаметром антенны 5,5 м в диапазонах 6/4 ГГц и 2,7 м в диапазонах 12</w:t>
      </w:r>
      <w:r w:rsidR="00B70753" w:rsidRPr="00B70753">
        <w:rPr>
          <w:lang w:val="ru-RU"/>
        </w:rPr>
        <w:t>−</w:t>
      </w:r>
      <w:r w:rsidRPr="002C6523">
        <w:rPr>
          <w:lang w:val="ru-RU"/>
        </w:rPr>
        <w:t>13/10</w:t>
      </w:r>
      <w:r w:rsidR="00B70753" w:rsidRPr="00B70753">
        <w:rPr>
          <w:lang w:val="ru-RU"/>
        </w:rPr>
        <w:t>−</w:t>
      </w:r>
      <w:r w:rsidRPr="002C6523">
        <w:rPr>
          <w:lang w:val="ru-RU"/>
        </w:rPr>
        <w:t>11 ГГц. Такие большие антенны не подходят для широко используемых станций VSAT и не могут удовлетворить потребности многих появляющихся спутниковых применений.</w:t>
      </w:r>
    </w:p>
    <w:p w14:paraId="1EC41A0A" w14:textId="77777777" w:rsidR="00B42F5B" w:rsidRPr="002C6523" w:rsidRDefault="00B42F5B" w:rsidP="00B42F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bookmarkStart w:id="118" w:name="lt_pId5233"/>
      <w:bookmarkEnd w:id="117"/>
      <w:r w:rsidRPr="002C6523">
        <w:rPr>
          <w:lang w:val="ru-RU"/>
        </w:rPr>
        <w:br w:type="page"/>
      </w:r>
    </w:p>
    <w:p w14:paraId="6427B6CA" w14:textId="77777777" w:rsidR="00B42F5B" w:rsidRPr="002C6523" w:rsidRDefault="00B42F5B" w:rsidP="00B42F5B">
      <w:pPr>
        <w:pStyle w:val="AnnexNo"/>
        <w:rPr>
          <w:lang w:val="ru-RU"/>
        </w:rPr>
      </w:pPr>
      <w:bookmarkStart w:id="119" w:name="Annex2"/>
      <w:r w:rsidRPr="002C6523">
        <w:rPr>
          <w:lang w:val="ru-RU"/>
        </w:rPr>
        <w:lastRenderedPageBreak/>
        <w:t>приложение 2</w:t>
      </w:r>
      <w:bookmarkEnd w:id="118"/>
      <w:bookmarkEnd w:id="119"/>
    </w:p>
    <w:p w14:paraId="629C5652" w14:textId="77777777" w:rsidR="00B42F5B" w:rsidRPr="002C6523" w:rsidRDefault="00B42F5B" w:rsidP="00B42F5B">
      <w:pPr>
        <w:pStyle w:val="Annextitle"/>
        <w:rPr>
          <w:lang w:val="ru-RU"/>
        </w:rPr>
      </w:pPr>
      <w:bookmarkStart w:id="120" w:name="lt_pId5234"/>
      <w:r w:rsidRPr="002C6523">
        <w:rPr>
          <w:lang w:val="ru-RU"/>
        </w:rPr>
        <w:t xml:space="preserve">Роль МСЭ в осуществлении Повестки дня </w:t>
      </w:r>
      <w:r w:rsidRPr="002C6523">
        <w:rPr>
          <w:b w:val="0"/>
          <w:bCs/>
          <w:lang w:val="ru-RU"/>
        </w:rPr>
        <w:t>"</w:t>
      </w:r>
      <w:r w:rsidRPr="002C6523">
        <w:rPr>
          <w:lang w:val="ru-RU"/>
        </w:rPr>
        <w:t>Космос-2030</w:t>
      </w:r>
      <w:r w:rsidRPr="002C6523">
        <w:rPr>
          <w:b w:val="0"/>
          <w:bCs/>
          <w:lang w:val="ru-RU"/>
        </w:rPr>
        <w:t>"</w:t>
      </w:r>
    </w:p>
    <w:bookmarkEnd w:id="120"/>
    <w:p w14:paraId="22A87A0F" w14:textId="77777777" w:rsidR="00B42F5B" w:rsidRPr="002C6523" w:rsidRDefault="00B42F5B" w:rsidP="00B42F5B">
      <w:pPr>
        <w:pStyle w:val="Heading1"/>
        <w:rPr>
          <w:lang w:val="ru-RU"/>
        </w:rPr>
      </w:pPr>
      <w:r w:rsidRPr="002C6523">
        <w:rPr>
          <w:lang w:val="ru-RU"/>
        </w:rPr>
        <w:t>1</w:t>
      </w:r>
      <w:r w:rsidRPr="002C6523">
        <w:rPr>
          <w:lang w:val="ru-RU"/>
        </w:rPr>
        <w:tab/>
        <w:t>Введение</w:t>
      </w:r>
    </w:p>
    <w:bookmarkStart w:id="121" w:name="lt_pId5237"/>
    <w:p w14:paraId="345F4500" w14:textId="37C1E49A" w:rsidR="00B42F5B" w:rsidRPr="002C6523" w:rsidRDefault="00B42F5B" w:rsidP="00B70753">
      <w:pPr>
        <w:rPr>
          <w:szCs w:val="24"/>
          <w:lang w:val="ru-RU"/>
        </w:rPr>
      </w:pPr>
      <w:r w:rsidRPr="00883252">
        <w:rPr>
          <w:rStyle w:val="Hyperlink"/>
          <w:b/>
          <w:bCs/>
        </w:rPr>
        <w:fldChar w:fldCharType="begin"/>
      </w:r>
      <w:r w:rsidRPr="00883252">
        <w:rPr>
          <w:rStyle w:val="Hyperlink"/>
          <w:b/>
          <w:bCs/>
        </w:rPr>
        <w:instrText>HYPERLINK</w:instrText>
      </w:r>
      <w:r w:rsidRPr="005B2BBD">
        <w:rPr>
          <w:rStyle w:val="Hyperlink"/>
          <w:b/>
          <w:bCs/>
          <w:lang w:val="ru-RU"/>
        </w:rPr>
        <w:instrText xml:space="preserve"> "</w:instrText>
      </w:r>
      <w:r w:rsidRPr="00883252">
        <w:rPr>
          <w:rStyle w:val="Hyperlink"/>
          <w:b/>
          <w:bCs/>
        </w:rPr>
        <w:instrText>https</w:instrText>
      </w:r>
      <w:r w:rsidRPr="005B2BBD">
        <w:rPr>
          <w:rStyle w:val="Hyperlink"/>
          <w:b/>
          <w:bCs/>
          <w:lang w:val="ru-RU"/>
        </w:rPr>
        <w:instrText>://</w:instrText>
      </w:r>
      <w:r w:rsidRPr="00883252">
        <w:rPr>
          <w:rStyle w:val="Hyperlink"/>
          <w:b/>
          <w:bCs/>
        </w:rPr>
        <w:instrText>www</w:instrText>
      </w:r>
      <w:r w:rsidRPr="005B2BBD">
        <w:rPr>
          <w:rStyle w:val="Hyperlink"/>
          <w:b/>
          <w:bCs/>
          <w:lang w:val="ru-RU"/>
        </w:rPr>
        <w:instrText>.</w:instrText>
      </w:r>
      <w:r w:rsidRPr="00883252">
        <w:rPr>
          <w:rStyle w:val="Hyperlink"/>
          <w:b/>
          <w:bCs/>
        </w:rPr>
        <w:instrText>unoosa</w:instrText>
      </w:r>
      <w:r w:rsidRPr="005B2BBD">
        <w:rPr>
          <w:rStyle w:val="Hyperlink"/>
          <w:b/>
          <w:bCs/>
          <w:lang w:val="ru-RU"/>
        </w:rPr>
        <w:instrText>.</w:instrText>
      </w:r>
      <w:r w:rsidRPr="00883252">
        <w:rPr>
          <w:rStyle w:val="Hyperlink"/>
          <w:b/>
          <w:bCs/>
        </w:rPr>
        <w:instrText>org</w:instrText>
      </w:r>
      <w:r w:rsidRPr="005B2BBD">
        <w:rPr>
          <w:rStyle w:val="Hyperlink"/>
          <w:b/>
          <w:bCs/>
          <w:lang w:val="ru-RU"/>
        </w:rPr>
        <w:instrText>/</w:instrText>
      </w:r>
      <w:r w:rsidRPr="00883252">
        <w:rPr>
          <w:rStyle w:val="Hyperlink"/>
          <w:b/>
          <w:bCs/>
        </w:rPr>
        <w:instrText>oosa</w:instrText>
      </w:r>
      <w:r w:rsidRPr="005B2BBD">
        <w:rPr>
          <w:rStyle w:val="Hyperlink"/>
          <w:b/>
          <w:bCs/>
          <w:lang w:val="ru-RU"/>
        </w:rPr>
        <w:instrText>/</w:instrText>
      </w:r>
      <w:r w:rsidRPr="00883252">
        <w:rPr>
          <w:rStyle w:val="Hyperlink"/>
          <w:b/>
          <w:bCs/>
        </w:rPr>
        <w:instrText>oosadoc</w:instrText>
      </w:r>
      <w:r w:rsidRPr="005B2BBD">
        <w:rPr>
          <w:rStyle w:val="Hyperlink"/>
          <w:b/>
          <w:bCs/>
          <w:lang w:val="ru-RU"/>
        </w:rPr>
        <w:instrText>/</w:instrText>
      </w:r>
      <w:r w:rsidRPr="00883252">
        <w:rPr>
          <w:rStyle w:val="Hyperlink"/>
          <w:b/>
          <w:bCs/>
        </w:rPr>
        <w:instrText>data</w:instrText>
      </w:r>
      <w:r w:rsidRPr="005B2BBD">
        <w:rPr>
          <w:rStyle w:val="Hyperlink"/>
          <w:b/>
          <w:bCs/>
          <w:lang w:val="ru-RU"/>
        </w:rPr>
        <w:instrText>/</w:instrText>
      </w:r>
      <w:r w:rsidRPr="00883252">
        <w:rPr>
          <w:rStyle w:val="Hyperlink"/>
          <w:b/>
          <w:bCs/>
        </w:rPr>
        <w:instrText>resolutions</w:instrText>
      </w:r>
      <w:r w:rsidRPr="005B2BBD">
        <w:rPr>
          <w:rStyle w:val="Hyperlink"/>
          <w:b/>
          <w:bCs/>
          <w:lang w:val="ru-RU"/>
        </w:rPr>
        <w:instrText>/2021/</w:instrText>
      </w:r>
      <w:r w:rsidRPr="00883252">
        <w:rPr>
          <w:rStyle w:val="Hyperlink"/>
          <w:b/>
          <w:bCs/>
        </w:rPr>
        <w:instrText>general</w:instrText>
      </w:r>
      <w:r w:rsidRPr="005B2BBD">
        <w:rPr>
          <w:rStyle w:val="Hyperlink"/>
          <w:b/>
          <w:bCs/>
          <w:lang w:val="ru-RU"/>
        </w:rPr>
        <w:instrText>_</w:instrText>
      </w:r>
      <w:r w:rsidRPr="00883252">
        <w:rPr>
          <w:rStyle w:val="Hyperlink"/>
          <w:b/>
          <w:bCs/>
        </w:rPr>
        <w:instrText>assembly</w:instrText>
      </w:r>
      <w:r w:rsidRPr="005B2BBD">
        <w:rPr>
          <w:rStyle w:val="Hyperlink"/>
          <w:b/>
          <w:bCs/>
          <w:lang w:val="ru-RU"/>
        </w:rPr>
        <w:instrText>_76</w:instrText>
      </w:r>
      <w:r w:rsidRPr="00883252">
        <w:rPr>
          <w:rStyle w:val="Hyperlink"/>
          <w:b/>
          <w:bCs/>
        </w:rPr>
        <w:instrText>th</w:instrText>
      </w:r>
      <w:r w:rsidRPr="005B2BBD">
        <w:rPr>
          <w:rStyle w:val="Hyperlink"/>
          <w:b/>
          <w:bCs/>
          <w:lang w:val="ru-RU"/>
        </w:rPr>
        <w:instrText>_</w:instrText>
      </w:r>
      <w:r w:rsidRPr="00883252">
        <w:rPr>
          <w:rStyle w:val="Hyperlink"/>
          <w:b/>
          <w:bCs/>
        </w:rPr>
        <w:instrText>session</w:instrText>
      </w:r>
      <w:r w:rsidRPr="005B2BBD">
        <w:rPr>
          <w:rStyle w:val="Hyperlink"/>
          <w:b/>
          <w:bCs/>
          <w:lang w:val="ru-RU"/>
        </w:rPr>
        <w:instrText>/</w:instrText>
      </w:r>
      <w:r w:rsidRPr="00883252">
        <w:rPr>
          <w:rStyle w:val="Hyperlink"/>
          <w:b/>
          <w:bCs/>
        </w:rPr>
        <w:instrText>ares</w:instrText>
      </w:r>
      <w:r w:rsidRPr="005B2BBD">
        <w:rPr>
          <w:rStyle w:val="Hyperlink"/>
          <w:b/>
          <w:bCs/>
          <w:lang w:val="ru-RU"/>
        </w:rPr>
        <w:instrText>763.</w:instrText>
      </w:r>
      <w:r w:rsidRPr="00883252">
        <w:rPr>
          <w:rStyle w:val="Hyperlink"/>
          <w:b/>
          <w:bCs/>
        </w:rPr>
        <w:instrText>html</w:instrText>
      </w:r>
      <w:r w:rsidRPr="005B2BBD">
        <w:rPr>
          <w:rStyle w:val="Hyperlink"/>
          <w:b/>
          <w:bCs/>
          <w:lang w:val="ru-RU"/>
        </w:rPr>
        <w:instrText>"</w:instrText>
      </w:r>
      <w:r w:rsidRPr="00883252">
        <w:rPr>
          <w:rStyle w:val="Hyperlink"/>
          <w:b/>
          <w:bCs/>
        </w:rPr>
      </w:r>
      <w:r w:rsidRPr="00883252">
        <w:rPr>
          <w:rStyle w:val="Hyperlink"/>
          <w:b/>
          <w:bCs/>
        </w:rPr>
        <w:fldChar w:fldCharType="separate"/>
      </w:r>
      <w:r w:rsidRPr="005B2BBD">
        <w:rPr>
          <w:rStyle w:val="Hyperlink"/>
          <w:b/>
          <w:bCs/>
          <w:lang w:val="ru-RU"/>
        </w:rPr>
        <w:t>Повестка д</w:t>
      </w:r>
      <w:r w:rsidRPr="005B2BBD">
        <w:rPr>
          <w:rStyle w:val="Hyperlink"/>
          <w:b/>
          <w:bCs/>
          <w:lang w:val="ru-RU"/>
        </w:rPr>
        <w:t>н</w:t>
      </w:r>
      <w:r w:rsidRPr="005B2BBD">
        <w:rPr>
          <w:rStyle w:val="Hyperlink"/>
          <w:b/>
          <w:bCs/>
          <w:lang w:val="ru-RU"/>
        </w:rPr>
        <w:t>я "Космос-2030"</w:t>
      </w:r>
      <w:r w:rsidRPr="00883252">
        <w:rPr>
          <w:rStyle w:val="Hyperlink"/>
          <w:b/>
          <w:bCs/>
        </w:rPr>
        <w:fldChar w:fldCharType="end"/>
      </w:r>
      <w:r w:rsidRPr="002C6523">
        <w:rPr>
          <w:szCs w:val="24"/>
          <w:lang w:val="ru-RU"/>
        </w:rPr>
        <w:t xml:space="preserve"> </w:t>
      </w:r>
      <w:r w:rsidR="00B70753" w:rsidRPr="00B70753">
        <w:rPr>
          <w:szCs w:val="24"/>
          <w:lang w:val="ru-RU"/>
        </w:rPr>
        <w:t>−</w:t>
      </w:r>
      <w:r w:rsidRPr="002C6523">
        <w:rPr>
          <w:szCs w:val="24"/>
          <w:lang w:val="ru-RU"/>
        </w:rPr>
        <w:t xml:space="preserve"> это "</w:t>
      </w:r>
      <w:r w:rsidRPr="002C6523">
        <w:rPr>
          <w:szCs w:val="22"/>
          <w:lang w:val="ru-RU"/>
        </w:rPr>
        <w:t>перспективная стратегия, направленная на закрепление и усиление вклада космической деятельности и космических технологий в осуществление глобальных программ</w:t>
      </w:r>
      <w:r w:rsidRPr="002C6523">
        <w:rPr>
          <w:rStyle w:val="FootnoteReference"/>
          <w:rFonts w:cstheme="minorHAnsi"/>
          <w:szCs w:val="24"/>
          <w:lang w:val="ru-RU"/>
        </w:rPr>
        <w:footnoteReference w:id="2"/>
      </w:r>
      <w:r w:rsidRPr="002C6523">
        <w:rPr>
          <w:szCs w:val="24"/>
          <w:lang w:val="ru-RU"/>
        </w:rPr>
        <w:t xml:space="preserve">, решение вопросов обеспечения </w:t>
      </w:r>
      <w:r w:rsidRPr="002C6523">
        <w:rPr>
          <w:szCs w:val="22"/>
          <w:lang w:val="ru-RU"/>
        </w:rPr>
        <w:t>долгосрочного устойчивого развития в интересах всего человечества"</w:t>
      </w:r>
      <w:r w:rsidRPr="00447D6D">
        <w:rPr>
          <w:szCs w:val="22"/>
          <w:lang w:val="ru-RU"/>
        </w:rPr>
        <w:t xml:space="preserve"> (</w:t>
      </w:r>
      <w:r w:rsidRPr="002C6523">
        <w:rPr>
          <w:szCs w:val="24"/>
          <w:lang w:val="ru-RU"/>
        </w:rPr>
        <w:t>см. § 6 Повестки дня).</w:t>
      </w:r>
      <w:bookmarkEnd w:id="121"/>
    </w:p>
    <w:p w14:paraId="45E6E9A4" w14:textId="77777777" w:rsidR="00B42F5B" w:rsidRPr="002C6523" w:rsidRDefault="00B42F5B" w:rsidP="00B70753">
      <w:pPr>
        <w:rPr>
          <w:lang w:val="ru-RU"/>
        </w:rPr>
      </w:pPr>
      <w:bookmarkStart w:id="123" w:name="lt_pId5238"/>
      <w:r w:rsidRPr="002C6523">
        <w:rPr>
          <w:lang w:val="ru-RU"/>
        </w:rPr>
        <w:t xml:space="preserve">Повестка дня "Космос-2030" включает в себя ряд задач и мер, которые государства </w:t>
      </w:r>
      <w:r w:rsidRPr="002C6523">
        <w:rPr>
          <w:rFonts w:cs="Calibri"/>
          <w:lang w:val="ru-RU"/>
        </w:rPr>
        <w:t>–</w:t>
      </w:r>
      <w:r w:rsidRPr="002C6523">
        <w:rPr>
          <w:lang w:val="ru-RU"/>
        </w:rPr>
        <w:t xml:space="preserve"> </w:t>
      </w:r>
      <w:r w:rsidRPr="002C6523">
        <w:rPr>
          <w:szCs w:val="24"/>
          <w:lang w:val="ru-RU"/>
        </w:rPr>
        <w:t>ч</w:t>
      </w:r>
      <w:r w:rsidRPr="002C6523">
        <w:rPr>
          <w:lang w:val="ru-RU"/>
        </w:rPr>
        <w:t xml:space="preserve">лены ООН договорились стремиться выполнять. </w:t>
      </w:r>
    </w:p>
    <w:p w14:paraId="469E0DD9" w14:textId="27E4CAE7" w:rsidR="00B42F5B" w:rsidRPr="00D61BF2" w:rsidRDefault="00B42F5B" w:rsidP="00B70753">
      <w:pPr>
        <w:rPr>
          <w:lang w:val="ru-RU"/>
        </w:rPr>
      </w:pPr>
      <w:r w:rsidRPr="002C6523">
        <w:rPr>
          <w:lang w:val="ru-RU"/>
        </w:rPr>
        <w:t>Реализации Повестки дня "Космос-2030" Государствами-Членами способствует установление партнерских отношений, а также поддержка со стороны ряда международных и региональных механизмов, программ, проектов и платформ, описанных в разделе II части В Повестки дня. МСЭ сотрудничает с рядом этих учреждений или программ или вносит вклад в их деятельность, как описано в документе Совета о сотрудничестве с системой Организации Объединенных Наций (см. Документ</w:t>
      </w:r>
      <w:r w:rsidRPr="00D61BF2">
        <w:rPr>
          <w:lang w:val="ru-RU"/>
        </w:rPr>
        <w:t xml:space="preserve"> </w:t>
      </w:r>
      <w:hyperlink r:id="rId19" w:history="1">
        <w:r w:rsidRPr="002C6523">
          <w:rPr>
            <w:rStyle w:val="Hyperlink"/>
            <w:lang w:val="en-US"/>
          </w:rPr>
          <w:t>C</w:t>
        </w:r>
        <w:r w:rsidRPr="00D61BF2">
          <w:rPr>
            <w:rStyle w:val="Hyperlink"/>
            <w:lang w:val="ru-RU"/>
          </w:rPr>
          <w:t>24/55</w:t>
        </w:r>
      </w:hyperlink>
      <w:r w:rsidRPr="00D61BF2">
        <w:rPr>
          <w:lang w:val="ru-RU"/>
        </w:rPr>
        <w:t>).</w:t>
      </w:r>
    </w:p>
    <w:bookmarkEnd w:id="123"/>
    <w:p w14:paraId="38860C6F" w14:textId="77777777" w:rsidR="00B42F5B" w:rsidRPr="002C6523" w:rsidRDefault="00B42F5B" w:rsidP="00B42F5B">
      <w:pPr>
        <w:pStyle w:val="Heading1"/>
        <w:rPr>
          <w:lang w:val="ru-RU"/>
        </w:rPr>
      </w:pPr>
      <w:r w:rsidRPr="002C6523">
        <w:rPr>
          <w:lang w:val="ru-RU"/>
        </w:rPr>
        <w:t>2</w:t>
      </w:r>
      <w:r w:rsidRPr="002C6523">
        <w:rPr>
          <w:lang w:val="ru-RU"/>
        </w:rPr>
        <w:tab/>
      </w:r>
      <w:bookmarkStart w:id="124" w:name="lt_pId5241"/>
      <w:r w:rsidRPr="002C6523">
        <w:rPr>
          <w:lang w:val="ru-RU"/>
        </w:rPr>
        <w:t xml:space="preserve">Структура Повестки дня </w:t>
      </w:r>
      <w:r w:rsidRPr="002C6523">
        <w:rPr>
          <w:b w:val="0"/>
          <w:bCs/>
          <w:lang w:val="ru-RU"/>
        </w:rPr>
        <w:t>"</w:t>
      </w:r>
      <w:r w:rsidRPr="002C6523">
        <w:rPr>
          <w:lang w:val="ru-RU"/>
        </w:rPr>
        <w:t>Космос-2030</w:t>
      </w:r>
      <w:r w:rsidRPr="002C6523">
        <w:rPr>
          <w:b w:val="0"/>
          <w:bCs/>
          <w:lang w:val="ru-RU"/>
        </w:rPr>
        <w:t>"</w:t>
      </w:r>
      <w:bookmarkEnd w:id="124"/>
    </w:p>
    <w:p w14:paraId="0997C68F" w14:textId="77777777" w:rsidR="00B42F5B" w:rsidRPr="002C6523" w:rsidRDefault="00B42F5B" w:rsidP="00B70753">
      <w:pPr>
        <w:rPr>
          <w:lang w:val="ru-RU"/>
        </w:rPr>
      </w:pPr>
      <w:bookmarkStart w:id="125" w:name="lt_pId5242"/>
      <w:r w:rsidRPr="002C6523">
        <w:rPr>
          <w:lang w:val="ru-RU"/>
        </w:rPr>
        <w:t>Четыре общие задачи Повестки дня "Космос-2030" "соотносятся с четырьмя основными темами: космическая экономика, космическое общество, доступность космоса и космическая дипломатия.</w:t>
      </w:r>
      <w:bookmarkStart w:id="126" w:name="lt_pId5243"/>
      <w:bookmarkEnd w:id="125"/>
      <w:r w:rsidRPr="002C6523">
        <w:rPr>
          <w:lang w:val="ru-RU"/>
        </w:rPr>
        <w:t xml:space="preserve"> Эти темы взаимно дополняют и поддерживают друг друга" (см. § 19 Повестки дня):</w:t>
      </w:r>
    </w:p>
    <w:p w14:paraId="1EA91353" w14:textId="77777777" w:rsidR="00B42F5B" w:rsidRPr="005B2BBD" w:rsidRDefault="00B42F5B" w:rsidP="00B70753">
      <w:pPr>
        <w:pStyle w:val="enumlev1"/>
        <w:rPr>
          <w:lang w:val="ru-RU"/>
        </w:rPr>
      </w:pPr>
      <w:bookmarkStart w:id="127" w:name="lt_pId5244"/>
      <w:bookmarkEnd w:id="126"/>
      <w:r w:rsidRPr="005B2BBD">
        <w:rPr>
          <w:lang w:val="ru-RU"/>
        </w:rPr>
        <w:t>•</w:t>
      </w:r>
      <w:r w:rsidRPr="005B2BBD">
        <w:rPr>
          <w:lang w:val="ru-RU"/>
        </w:rPr>
        <w:tab/>
        <w:t>Общая задача 1: Увеличение социально-экономических выгод от космической деятельности и усиление роли космического сектора как важного фактора устойчивого развития (данная часть включает восемь конкретных задач).</w:t>
      </w:r>
      <w:bookmarkEnd w:id="127"/>
    </w:p>
    <w:p w14:paraId="5757138B" w14:textId="77777777" w:rsidR="00B42F5B" w:rsidRPr="005B2BBD" w:rsidRDefault="00B42F5B" w:rsidP="00B70753">
      <w:pPr>
        <w:pStyle w:val="enumlev1"/>
        <w:rPr>
          <w:lang w:val="ru-RU"/>
        </w:rPr>
      </w:pPr>
      <w:bookmarkStart w:id="128" w:name="lt_pId5245"/>
      <w:r w:rsidRPr="005B2BBD">
        <w:rPr>
          <w:lang w:val="ru-RU"/>
        </w:rPr>
        <w:t>•</w:t>
      </w:r>
      <w:r w:rsidRPr="005B2BBD">
        <w:rPr>
          <w:lang w:val="ru-RU"/>
        </w:rPr>
        <w:tab/>
        <w:t>Общая задача 2: Использование потенциала космонавтики для решения повседневных проблем и космических инноваций для повышения качества жизни (данная часть включает восемь конкретных задач).</w:t>
      </w:r>
      <w:bookmarkEnd w:id="128"/>
    </w:p>
    <w:p w14:paraId="4295A4C5" w14:textId="77777777" w:rsidR="00B42F5B" w:rsidRPr="005B2BBD" w:rsidRDefault="00B42F5B" w:rsidP="00B70753">
      <w:pPr>
        <w:pStyle w:val="enumlev1"/>
        <w:rPr>
          <w:lang w:val="ru-RU"/>
        </w:rPr>
      </w:pPr>
      <w:bookmarkStart w:id="129" w:name="lt_pId5246"/>
      <w:r w:rsidRPr="005B2BBD">
        <w:rPr>
          <w:lang w:val="ru-RU"/>
        </w:rPr>
        <w:t>•</w:t>
      </w:r>
      <w:r w:rsidRPr="005B2BBD">
        <w:rPr>
          <w:lang w:val="ru-RU"/>
        </w:rPr>
        <w:tab/>
        <w:t>Общая задача 3: Расширение доступа к космическому пространству для всех и обеспечение для всех стран возможностей для извлечения социально-экономических выгод из использования космической науки и техники, полученных с помощью космических технологий данных, информации и продуктов, и содействие тем самым достижению целей в области устойчивого развития (данная часть включает 10</w:t>
      </w:r>
      <w:r w:rsidRPr="00B70753">
        <w:t> </w:t>
      </w:r>
      <w:r w:rsidRPr="005B2BBD">
        <w:rPr>
          <w:lang w:val="ru-RU"/>
        </w:rPr>
        <w:t>конкретных задач и упоминается в пункте</w:t>
      </w:r>
      <w:r w:rsidRPr="00B70753">
        <w:t> </w:t>
      </w:r>
      <w:r w:rsidRPr="005B2BBD">
        <w:rPr>
          <w:lang w:val="ru-RU"/>
        </w:rPr>
        <w:t xml:space="preserve">1 раздела </w:t>
      </w:r>
      <w:r w:rsidRPr="005B2BBD">
        <w:rPr>
          <w:i/>
          <w:iCs/>
          <w:lang w:val="ru-RU"/>
        </w:rPr>
        <w:t>решает</w:t>
      </w:r>
      <w:r w:rsidRPr="005B2BBD">
        <w:rPr>
          <w:lang w:val="ru-RU"/>
        </w:rPr>
        <w:t xml:space="preserve"> Резолюции</w:t>
      </w:r>
      <w:r w:rsidRPr="00B70753">
        <w:t> </w:t>
      </w:r>
      <w:r w:rsidRPr="005B2BBD">
        <w:rPr>
          <w:lang w:val="ru-RU"/>
        </w:rPr>
        <w:t>218 (Бухарест, 2022</w:t>
      </w:r>
      <w:r w:rsidRPr="00B70753">
        <w:t> </w:t>
      </w:r>
      <w:r w:rsidRPr="005B2BBD">
        <w:rPr>
          <w:lang w:val="ru-RU"/>
        </w:rPr>
        <w:t>г.)).</w:t>
      </w:r>
      <w:bookmarkEnd w:id="129"/>
    </w:p>
    <w:p w14:paraId="01DEFB47" w14:textId="77777777" w:rsidR="00B42F5B" w:rsidRPr="005B2BBD" w:rsidRDefault="00B42F5B" w:rsidP="00B70753">
      <w:pPr>
        <w:pStyle w:val="enumlev1"/>
        <w:rPr>
          <w:lang w:val="ru-RU"/>
        </w:rPr>
      </w:pPr>
      <w:bookmarkStart w:id="130" w:name="lt_pId5247"/>
      <w:r w:rsidRPr="005B2BBD">
        <w:rPr>
          <w:lang w:val="ru-RU"/>
        </w:rPr>
        <w:t>•</w:t>
      </w:r>
      <w:r w:rsidRPr="005B2BBD">
        <w:rPr>
          <w:lang w:val="ru-RU"/>
        </w:rPr>
        <w:tab/>
        <w:t>Общая задача 4: Налаживание партнерских связей и расширение международного сотрудничества в области использования космического пространства в мирных целях и глобального управления космической деятельностью (данная часть включает 10</w:t>
      </w:r>
      <w:r w:rsidRPr="00B70753">
        <w:t> </w:t>
      </w:r>
      <w:r w:rsidRPr="005B2BBD">
        <w:rPr>
          <w:lang w:val="ru-RU"/>
        </w:rPr>
        <w:t>конкретных задач и упоминается в пункте</w:t>
      </w:r>
      <w:r w:rsidRPr="00B70753">
        <w:t> </w:t>
      </w:r>
      <w:r w:rsidRPr="00B70753">
        <w:rPr>
          <w:i/>
          <w:iCs/>
        </w:rPr>
        <w:t>c</w:t>
      </w:r>
      <w:r w:rsidRPr="005B2BBD">
        <w:rPr>
          <w:i/>
          <w:iCs/>
          <w:lang w:val="ru-RU"/>
        </w:rPr>
        <w:t>)</w:t>
      </w:r>
      <w:r w:rsidRPr="005B2BBD">
        <w:rPr>
          <w:lang w:val="ru-RU"/>
        </w:rPr>
        <w:t xml:space="preserve"> раздела </w:t>
      </w:r>
      <w:r w:rsidRPr="005B2BBD">
        <w:rPr>
          <w:i/>
          <w:iCs/>
          <w:lang w:val="ru-RU"/>
        </w:rPr>
        <w:t>напоминая</w:t>
      </w:r>
      <w:r w:rsidRPr="005B2BBD">
        <w:rPr>
          <w:lang w:val="ru-RU"/>
        </w:rPr>
        <w:t xml:space="preserve"> Резолюции</w:t>
      </w:r>
      <w:r w:rsidRPr="00B70753">
        <w:t> </w:t>
      </w:r>
      <w:r w:rsidRPr="005B2BBD">
        <w:rPr>
          <w:lang w:val="ru-RU"/>
        </w:rPr>
        <w:t>218 (Бухарест, 2022</w:t>
      </w:r>
      <w:r w:rsidRPr="00B70753">
        <w:t> </w:t>
      </w:r>
      <w:r w:rsidRPr="005B2BBD">
        <w:rPr>
          <w:lang w:val="ru-RU"/>
        </w:rPr>
        <w:t>г.)).</w:t>
      </w:r>
    </w:p>
    <w:bookmarkEnd w:id="130"/>
    <w:p w14:paraId="625A80DF" w14:textId="77777777" w:rsidR="00B42F5B" w:rsidRPr="002C6523" w:rsidRDefault="00B42F5B" w:rsidP="00B42F5B">
      <w:pPr>
        <w:pStyle w:val="Heading1"/>
        <w:rPr>
          <w:lang w:val="ru-RU"/>
        </w:rPr>
      </w:pPr>
      <w:r w:rsidRPr="002C6523">
        <w:rPr>
          <w:lang w:val="ru-RU"/>
        </w:rPr>
        <w:lastRenderedPageBreak/>
        <w:t>3</w:t>
      </w:r>
      <w:r w:rsidRPr="002C6523">
        <w:rPr>
          <w:lang w:val="ru-RU"/>
        </w:rPr>
        <w:tab/>
      </w:r>
      <w:bookmarkStart w:id="131" w:name="lt_pId5249"/>
      <w:r w:rsidRPr="002C6523">
        <w:rPr>
          <w:lang w:val="ru-RU"/>
        </w:rPr>
        <w:t>Вклад тематических приоритетов МСЭ в осуществление Повестки дня "Космос-2030"</w:t>
      </w:r>
    </w:p>
    <w:bookmarkEnd w:id="131"/>
    <w:p w14:paraId="450EE00D" w14:textId="77777777" w:rsidR="00B42F5B" w:rsidRPr="002C6523" w:rsidRDefault="00B42F5B" w:rsidP="00B42F5B">
      <w:pPr>
        <w:rPr>
          <w:lang w:val="ru-RU"/>
        </w:rPr>
      </w:pPr>
      <w:r w:rsidRPr="002C6523">
        <w:rPr>
          <w:lang w:val="ru-RU"/>
        </w:rPr>
        <w:t>Деятельность МСЭ, связанная с космосом, способствует выполнению большинства из 36 задач Повестки дня "Космос-2030" в рамках пяти тематических приоритетов, описанных в разделе 2.6 Приложения 1 к Стратегическому плану Союза на 2024–2027 годы, содержащемуся в Резолюции 71 (Пересм. Бухарест, 2022 г.):</w:t>
      </w:r>
    </w:p>
    <w:p w14:paraId="66B638EC" w14:textId="34E2290A" w:rsidR="00B42F5B" w:rsidRPr="002C6523" w:rsidRDefault="00B42F5B" w:rsidP="00B70753">
      <w:pPr>
        <w:pStyle w:val="Heading2"/>
        <w:rPr>
          <w:lang w:val="ru-RU"/>
        </w:rPr>
      </w:pPr>
      <w:bookmarkStart w:id="132" w:name="lt_pId5251"/>
      <w:r w:rsidRPr="002C6523">
        <w:rPr>
          <w:lang w:val="ru-RU"/>
        </w:rPr>
        <w:t>3.1</w:t>
      </w:r>
      <w:r w:rsidRPr="002C6523">
        <w:rPr>
          <w:lang w:val="ru-RU"/>
        </w:rPr>
        <w:tab/>
        <w:t xml:space="preserve">Тематический приоритет 1 </w:t>
      </w:r>
      <w:r w:rsidR="00DB46E9" w:rsidRPr="00F4546D">
        <w:rPr>
          <w:lang w:val="ru-RU"/>
        </w:rPr>
        <w:t>−</w:t>
      </w:r>
      <w:r w:rsidRPr="002C6523">
        <w:rPr>
          <w:lang w:val="ru-RU"/>
        </w:rPr>
        <w:t xml:space="preserve"> Использование спектра для космических и наземных служб</w:t>
      </w:r>
    </w:p>
    <w:p w14:paraId="77B2ACA4" w14:textId="09179EB5" w:rsidR="00B42F5B" w:rsidRPr="002C6523" w:rsidRDefault="00B42F5B" w:rsidP="001F50D9">
      <w:pPr>
        <w:rPr>
          <w:lang w:val="ru-RU"/>
        </w:rPr>
      </w:pPr>
      <w:r w:rsidRPr="002C6523">
        <w:rPr>
          <w:lang w:val="ru-RU"/>
        </w:rPr>
        <w:t xml:space="preserve">В контексте космических служб этот тематический приоритет направлен на улучшение использования ресурсов спектра/орбит для служб радиосвязи при координации усилий по предотвращению и решению проблем вредных помех между космическими и земными станциями Государств </w:t>
      </w:r>
      <w:r w:rsidR="00B70753" w:rsidRPr="00B70753">
        <w:rPr>
          <w:lang w:val="ru-RU"/>
        </w:rPr>
        <w:t>−</w:t>
      </w:r>
      <w:r w:rsidRPr="002C6523">
        <w:rPr>
          <w:lang w:val="ru-RU"/>
        </w:rPr>
        <w:t xml:space="preserve"> Членов МСЭ, обеспечивая тем самым среду с контролируемыми помехами для работы космических систем, зависящих от использования радиочастот.</w:t>
      </w:r>
    </w:p>
    <w:p w14:paraId="1C9619E6" w14:textId="77777777" w:rsidR="00B42F5B" w:rsidRPr="002C6523" w:rsidRDefault="00B42F5B" w:rsidP="001F50D9">
      <w:pPr>
        <w:rPr>
          <w:rFonts w:asciiTheme="minorHAnsi" w:hAnsiTheme="minorHAnsi" w:cstheme="minorHAnsi"/>
          <w:lang w:val="ru-RU"/>
        </w:rPr>
      </w:pPr>
      <w:r w:rsidRPr="002C6523">
        <w:rPr>
          <w:rFonts w:asciiTheme="minorHAnsi" w:hAnsiTheme="minorHAnsi" w:cstheme="minorHAnsi"/>
          <w:lang w:val="ru-RU"/>
        </w:rPr>
        <w:t>В 2023 году в рамках этого тематического приоритета большинство действий было связано с задачей 1.5 Повестки дня "Космос-2030", а именно "Обеспечить максимально широкие возможности для осуществления космической деятельности на основе международного права путем содействия разработке международно-правовой базы, которая будет обеспечивать равный доступ к космосу для всех, включая страны, не осуществляющие космическую деятельность, и способствовать соблюдению безопасности и применению инновационных технологий", а также задачей 3.6 "Поощрять и поддерживать использование космических технологий для расширения доступа к данным и широкополосным технологиям во всем мире, уделяя при этом особое внимание развивающимся странам и районам с менее развитой наземной инфраструктурой":</w:t>
      </w:r>
    </w:p>
    <w:p w14:paraId="456C4C05" w14:textId="4AD6A1ED" w:rsidR="00B42F5B" w:rsidRPr="002C6523" w:rsidRDefault="001F50D9" w:rsidP="001F50D9">
      <w:pPr>
        <w:pStyle w:val="enumlev1"/>
        <w:rPr>
          <w:rFonts w:eastAsiaTheme="minorEastAsia"/>
          <w:lang w:val="ru-RU"/>
        </w:rPr>
      </w:pPr>
      <w:r w:rsidRPr="005B2BBD">
        <w:rPr>
          <w:rFonts w:eastAsiaTheme="minorEastAsia"/>
          <w:lang w:val="ru-RU"/>
        </w:rPr>
        <w:t>•</w:t>
      </w:r>
      <w:r w:rsidRPr="005B2BBD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 xml:space="preserve">Помимо выполнения Резолюции </w:t>
      </w:r>
      <w:r w:rsidR="00B42F5B" w:rsidRPr="002C6523">
        <w:rPr>
          <w:rFonts w:eastAsiaTheme="minorEastAsia"/>
          <w:b/>
          <w:bCs/>
          <w:lang w:val="ru-RU"/>
        </w:rPr>
        <w:t>559 (ВКР-19)</w:t>
      </w:r>
      <w:r w:rsidR="00B42F5B" w:rsidRPr="002C6523">
        <w:rPr>
          <w:rFonts w:eastAsiaTheme="minorEastAsia"/>
          <w:lang w:val="ru-RU"/>
        </w:rPr>
        <w:t xml:space="preserve"> и помощи семи Государствам-Членам в получении собственных выделений в Плане ФСС (см. Приложение 1) ВКР-23 изменила Статью 7 Приложения </w:t>
      </w:r>
      <w:r w:rsidR="00B42F5B" w:rsidRPr="002C6523">
        <w:rPr>
          <w:rFonts w:eastAsiaTheme="minorEastAsia"/>
          <w:b/>
          <w:bCs/>
          <w:lang w:val="ru-RU"/>
        </w:rPr>
        <w:t>30</w:t>
      </w:r>
      <w:r w:rsidR="00B42F5B" w:rsidRPr="002C6523">
        <w:rPr>
          <w:rFonts w:eastAsiaTheme="minorEastAsia"/>
          <w:b/>
          <w:bCs/>
          <w:lang w:val="en-US"/>
        </w:rPr>
        <w:t>B</w:t>
      </w:r>
      <w:r w:rsidR="00B42F5B" w:rsidRPr="002C6523">
        <w:rPr>
          <w:rFonts w:eastAsiaTheme="minorEastAsia"/>
          <w:lang w:val="ru-RU"/>
        </w:rPr>
        <w:t>, чтобы упростить получение выделений новыми Государствами-Членами в будущем.</w:t>
      </w:r>
    </w:p>
    <w:p w14:paraId="66AD2FE2" w14:textId="1395A4D8" w:rsidR="00B42F5B" w:rsidRPr="002C6523" w:rsidRDefault="001F50D9" w:rsidP="001F50D9">
      <w:pPr>
        <w:pStyle w:val="enumlev1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t>•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>МСЭ помог ряду Государств-Членов завершить регламентарную процедуру координации и заявления спутниковых сетей в неплановых службах, чтобы они могли успешно начать работу.</w:t>
      </w:r>
    </w:p>
    <w:p w14:paraId="1D12E9AA" w14:textId="6EE1BE38" w:rsidR="00B42F5B" w:rsidRPr="002C6523" w:rsidRDefault="001F50D9" w:rsidP="001F50D9">
      <w:pPr>
        <w:pStyle w:val="enumlev1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t>•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>МСЭ помог администрациям и операторам спутниковой связи в разрешении случаев вредных помех, которые мешали нормальной работе.</w:t>
      </w:r>
    </w:p>
    <w:p w14:paraId="799ADC32" w14:textId="73DA7291" w:rsidR="00B42F5B" w:rsidRPr="002C6523" w:rsidRDefault="001F50D9" w:rsidP="001F50D9">
      <w:pPr>
        <w:pStyle w:val="enumlev1"/>
        <w:rPr>
          <w:lang w:val="ru-RU"/>
        </w:rPr>
      </w:pPr>
      <w:r w:rsidRPr="001F50D9">
        <w:rPr>
          <w:rFonts w:eastAsiaTheme="minorEastAsia"/>
          <w:lang w:val="ru-RU"/>
        </w:rPr>
        <w:t>•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lang w:val="ru-RU"/>
        </w:rPr>
        <w:t xml:space="preserve">Что касается неплановых служб, то большое количество администраций представили заявки на регистрацию спутниковых сетей: на момент подготовки настоящего отчета 116 из 193 Государств </w:t>
      </w:r>
      <w:r w:rsidRPr="001F50D9">
        <w:rPr>
          <w:lang w:val="ru-RU"/>
        </w:rPr>
        <w:t>−</w:t>
      </w:r>
      <w:r w:rsidR="00B42F5B" w:rsidRPr="002C6523">
        <w:rPr>
          <w:lang w:val="ru-RU"/>
        </w:rPr>
        <w:t xml:space="preserve"> Членов МСЭ представили заявки на спутниковые сети в МСЭ. В</w:t>
      </w:r>
      <w:r w:rsidR="00447D6D">
        <w:rPr>
          <w:lang w:val="ru-RU"/>
        </w:rPr>
        <w:t> </w:t>
      </w:r>
      <w:r w:rsidR="00B42F5B" w:rsidRPr="002C6523">
        <w:rPr>
          <w:lang w:val="ru-RU"/>
        </w:rPr>
        <w:t>2023 году было получено рекордное количество заявок с информацией для предварительной публикации (всего 464) от 48 администраций, 248 запросов о координации от 38 администраций и 129 заявлений от 32 администраций. В 2023 году в рамках различных процедур заявки на спутниковые сети были получены в общей сложности от 60 администраций.</w:t>
      </w:r>
    </w:p>
    <w:p w14:paraId="44FE6845" w14:textId="172F869C" w:rsidR="00B42F5B" w:rsidRPr="002C6523" w:rsidRDefault="001F50D9" w:rsidP="001F50D9">
      <w:pPr>
        <w:pStyle w:val="enumlev1"/>
        <w:rPr>
          <w:lang w:val="ru-RU"/>
        </w:rPr>
      </w:pPr>
      <w:r w:rsidRPr="001F50D9">
        <w:rPr>
          <w:rFonts w:eastAsiaTheme="minorEastAsia"/>
          <w:lang w:val="ru-RU"/>
        </w:rPr>
        <w:t>•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lang w:val="ru-RU"/>
        </w:rPr>
        <w:t>Для удовлетворения растущих потребностей отрасли МСЭ-</w:t>
      </w:r>
      <w:r w:rsidR="00B42F5B" w:rsidRPr="002C6523">
        <w:rPr>
          <w:lang w:val="en-US"/>
        </w:rPr>
        <w:t>R</w:t>
      </w:r>
      <w:r w:rsidR="00B42F5B" w:rsidRPr="002C6523">
        <w:rPr>
          <w:lang w:val="ru-RU"/>
        </w:rPr>
        <w:t xml:space="preserve"> разработал </w:t>
      </w:r>
      <w:hyperlink r:id="rId20" w:history="1">
        <w:r w:rsidR="00B42F5B" w:rsidRPr="002C6523">
          <w:rPr>
            <w:rStyle w:val="Hyperlink"/>
            <w:rFonts w:asciiTheme="minorHAnsi" w:hAnsiTheme="minorHAnsi" w:cstheme="minorHAnsi"/>
            <w:szCs w:val="22"/>
            <w:lang w:val="ru-RU"/>
            <w14:ligatures w14:val="standardContextual"/>
          </w:rPr>
          <w:t>Справ</w:t>
        </w:r>
        <w:r w:rsidR="00B42F5B" w:rsidRPr="002C6523">
          <w:rPr>
            <w:rStyle w:val="Hyperlink"/>
            <w:rFonts w:asciiTheme="minorHAnsi" w:hAnsiTheme="minorHAnsi" w:cstheme="minorHAnsi"/>
            <w:szCs w:val="22"/>
            <w:lang w:val="ru-RU"/>
            <w14:ligatures w14:val="standardContextual"/>
          </w:rPr>
          <w:t>о</w:t>
        </w:r>
        <w:r w:rsidR="00B42F5B" w:rsidRPr="002C6523">
          <w:rPr>
            <w:rStyle w:val="Hyperlink"/>
            <w:rFonts w:asciiTheme="minorHAnsi" w:hAnsiTheme="minorHAnsi" w:cstheme="minorHAnsi"/>
            <w:szCs w:val="22"/>
            <w:lang w:val="ru-RU"/>
            <w14:ligatures w14:val="standardContextual"/>
          </w:rPr>
          <w:t>чник по малым спутникам</w:t>
        </w:r>
      </w:hyperlink>
      <w:r w:rsidR="00B42F5B" w:rsidRPr="002C6523">
        <w:rPr>
          <w:lang w:val="ru-RU"/>
        </w:rPr>
        <w:t>. Этот справочник доступен всем на веб-сайте МСЭ для бесплатного скачивания.</w:t>
      </w:r>
    </w:p>
    <w:p w14:paraId="6EF2ED84" w14:textId="77777777" w:rsidR="00B42F5B" w:rsidRPr="002C6523" w:rsidRDefault="00B42F5B" w:rsidP="001F50D9">
      <w:pPr>
        <w:rPr>
          <w:lang w:val="ru-RU"/>
        </w:rPr>
      </w:pPr>
      <w:r w:rsidRPr="002C6523">
        <w:rPr>
          <w:lang w:val="ru-RU"/>
        </w:rPr>
        <w:t xml:space="preserve">В связи с задачей 3.3 Повестки дня "Космос-2030" "Поощрять исследование космического пространства за пределами низкой околоземной орбиты, поскольку научно-технический и экономический эффект полетов, выполняемых с этой целью, и их вдохновляющее воздействие на людей принесут пользу человечеству" ВКР-23 решила включить в повестку дня ВКР-27 </w:t>
      </w:r>
      <w:r w:rsidRPr="002C6523">
        <w:rPr>
          <w:lang w:val="ru-RU"/>
        </w:rPr>
        <w:lastRenderedPageBreak/>
        <w:t xml:space="preserve">рассмотрение исследований по вопросам, связанным с частотами, включая возможные новые или измененные распределения службе космических исследований (космос-космос), для будущего развития связи на лунной поверхности и между лунной орбитой и лунной поверхностью, в соответствии с Резолюцией </w:t>
      </w:r>
      <w:r w:rsidRPr="002C6523">
        <w:rPr>
          <w:b/>
          <w:bCs/>
          <w:lang w:val="ru-RU"/>
        </w:rPr>
        <w:t>680 (ВКР-23)</w:t>
      </w:r>
      <w:r w:rsidRPr="002C6523">
        <w:rPr>
          <w:lang w:val="ru-RU"/>
        </w:rPr>
        <w:t>.</w:t>
      </w:r>
    </w:p>
    <w:p w14:paraId="788EC19C" w14:textId="17A3189A" w:rsidR="00B42F5B" w:rsidRPr="002C6523" w:rsidRDefault="00B42F5B" w:rsidP="001F50D9">
      <w:pPr>
        <w:rPr>
          <w:lang w:val="ru-RU"/>
        </w:rPr>
      </w:pPr>
      <w:r w:rsidRPr="002C6523">
        <w:rPr>
          <w:lang w:val="ru-RU"/>
        </w:rPr>
        <w:t xml:space="preserve">В отношении задачи 3.8 Повестки дня "Космос-2030" "Повышать осведомленность о рисках, связанных с неблагоприятной космической погодой, и смягчать такие риски в целях обеспечения более высокой глобальной устойчивости к влиянию космической погоды, а также совершенствовать международную координацию деятельности, связанной с космической погодой, включая информационно-разъяснительную работу, поддержание связи и наращивание потенциала, а также создание международного механизма для активизации координации усилий на высоком уровне в вопросах космической погоды и повышения глобальной устойчивости к влиянию космической погоды" ВКР-23 включила определение космической погоды в Регламент радиосвязи, приняла Резолюцию </w:t>
      </w:r>
      <w:r w:rsidRPr="002C6523">
        <w:rPr>
          <w:b/>
          <w:bCs/>
          <w:lang w:val="ru-RU"/>
        </w:rPr>
        <w:t>675 (ВКР-23)</w:t>
      </w:r>
      <w:r w:rsidRPr="002C6523">
        <w:rPr>
          <w:lang w:val="ru-RU"/>
        </w:rPr>
        <w:t xml:space="preserve"> о важности применений вспомогательной службы метеорологии (космическая погода) и решила поручить ВКР-27 в соответствии с Резолюцией </w:t>
      </w:r>
      <w:r w:rsidRPr="002C6523">
        <w:rPr>
          <w:b/>
          <w:bCs/>
          <w:lang w:val="ru-RU"/>
        </w:rPr>
        <w:t>682 (ВКР-23)</w:t>
      </w:r>
      <w:r w:rsidRPr="002C6523">
        <w:rPr>
          <w:lang w:val="ru-RU"/>
        </w:rPr>
        <w:t xml:space="preserve"> рассмотреть регламентарные положения в отношении датчиков космической погоды, работающих только в режиме приема, и их защиты в Регламенте радиосвязи с учетом результатов исследований Сектора радиосвязи МСЭ.</w:t>
      </w:r>
    </w:p>
    <w:p w14:paraId="17A663CD" w14:textId="77777777" w:rsidR="00B42F5B" w:rsidRPr="002C6523" w:rsidRDefault="00B42F5B" w:rsidP="001F50D9">
      <w:pPr>
        <w:rPr>
          <w:lang w:val="ru-RU"/>
        </w:rPr>
      </w:pPr>
      <w:r w:rsidRPr="002C6523">
        <w:rPr>
          <w:lang w:val="ru-RU"/>
        </w:rPr>
        <w:t xml:space="preserve">В отношении задачи 4.5 Повестки дня "Космос-2030" "Обеспечивать долгосрочную устойчивость космической деятельности и сохранение космической среды для использования в мирных целях, в том числе посредством применения на добровольной основе принятых преамбулы и руководящих принципов обеспечения долгосрочной устойчивости космической деятельности и обмена опытом в деле осуществления этих руководящих принципов, а также принимать меры с целью реагирования на новые вызовы, риски и угрозы, препятствующие достижению долгосрочной устойчивости космической деятельности" Ассамблея радиосвязи 2023 года приняла </w:t>
      </w:r>
      <w:hyperlink r:id="rId21" w:history="1">
        <w:r w:rsidRPr="002C6523">
          <w:rPr>
            <w:rStyle w:val="Hyperlink"/>
            <w:lang w:val="ru-RU"/>
          </w:rPr>
          <w:t>Резолюцию МСЭ-R 74</w:t>
        </w:r>
      </w:hyperlink>
      <w:r w:rsidRPr="002C6523">
        <w:rPr>
          <w:lang w:val="ru-RU"/>
        </w:rPr>
        <w:t xml:space="preserve"> "Деятельность в области устойчивого использования ресурсов радиочастотного спектра и связанных с ним спутниковых орбит космическими службами". В декабре 2023 года МСЭ организовал также в Дубае круглый стол по вопросам космоса с участием руководителей космических агентств, операторов спутниковой связи, УВКП ООН, Всемирной метеорологической организации (ВМО), академических структур и других заинтересованных сторон, чтобы обсудить трудности, с которыми сталкиваются участники космической деятельности, и предложить решения сообразно Повестке дня "Космос-2030".</w:t>
      </w:r>
    </w:p>
    <w:p w14:paraId="654F7920" w14:textId="621BBF7E" w:rsidR="00B42F5B" w:rsidRPr="002C6523" w:rsidRDefault="00B42F5B" w:rsidP="001F50D9">
      <w:pPr>
        <w:pStyle w:val="Heading2"/>
        <w:rPr>
          <w:lang w:val="ru-RU"/>
        </w:rPr>
      </w:pPr>
      <w:bookmarkStart w:id="133" w:name="lt_pId5252"/>
      <w:bookmarkEnd w:id="132"/>
      <w:r w:rsidRPr="002C6523">
        <w:rPr>
          <w:szCs w:val="22"/>
          <w:lang w:val="ru-RU"/>
        </w:rPr>
        <w:t>3.</w:t>
      </w:r>
      <w:r>
        <w:rPr>
          <w:szCs w:val="22"/>
          <w:lang w:val="ru-RU"/>
        </w:rPr>
        <w:t>2</w:t>
      </w:r>
      <w:r w:rsidRPr="002C6523">
        <w:rPr>
          <w:szCs w:val="22"/>
          <w:lang w:val="ru-RU"/>
        </w:rPr>
        <w:tab/>
        <w:t xml:space="preserve">Тематический приоритет 2 </w:t>
      </w:r>
      <w:r w:rsidR="00DB46E9" w:rsidRPr="00DB46E9">
        <w:rPr>
          <w:rFonts w:cs="Calibri"/>
          <w:szCs w:val="22"/>
          <w:lang w:val="ru-RU"/>
        </w:rPr>
        <w:t>−</w:t>
      </w:r>
      <w:r w:rsidRPr="002C6523">
        <w:rPr>
          <w:szCs w:val="22"/>
          <w:lang w:val="ru-RU"/>
        </w:rPr>
        <w:t xml:space="preserve"> </w:t>
      </w:r>
      <w:r w:rsidRPr="002C6523">
        <w:rPr>
          <w:lang w:val="ru-RU"/>
        </w:rPr>
        <w:t>Ресурсы нумерации международной электросвязи</w:t>
      </w:r>
    </w:p>
    <w:p w14:paraId="34E6AFAB" w14:textId="77777777" w:rsidR="00B42F5B" w:rsidRPr="002C6523" w:rsidRDefault="00B42F5B" w:rsidP="001F50D9">
      <w:pPr>
        <w:rPr>
          <w:lang w:val="ru-RU"/>
        </w:rPr>
      </w:pPr>
      <w:r w:rsidRPr="002C6523">
        <w:rPr>
          <w:lang w:val="ru-RU"/>
        </w:rPr>
        <w:t>Этот тематический приоритет обеспечивает доступ систем спутниковой связи, которые по своей сути являются международными, к незаменимым ресурсам нумерации международной электросвязи, которые они используют при предоставлении услуг международной связи.</w:t>
      </w:r>
    </w:p>
    <w:p w14:paraId="10EE144E" w14:textId="77777777" w:rsidR="00B42F5B" w:rsidRPr="002C6523" w:rsidRDefault="00B42F5B" w:rsidP="001F50D9">
      <w:pPr>
        <w:rPr>
          <w:rFonts w:asciiTheme="minorHAnsi" w:hAnsiTheme="minorHAnsi" w:cstheme="minorHAnsi"/>
          <w:szCs w:val="24"/>
          <w:lang w:val="ru-RU"/>
        </w:rPr>
      </w:pPr>
      <w:r w:rsidRPr="002C6523">
        <w:rPr>
          <w:rFonts w:asciiTheme="minorHAnsi" w:hAnsiTheme="minorHAnsi" w:cstheme="minorHAnsi"/>
          <w:szCs w:val="24"/>
          <w:lang w:val="ru-RU"/>
        </w:rPr>
        <w:t>Помимо геостационарных спутников, в последние годы произошел рост числа услуг, предлагаемых спутниками на низкой околоземной орбите (LEO). Доступ к спутниковому подключению играет важную роль в предоставлении услуг связи на море и в воздухе, а также в отдаленных районах и районах со значительным территориальным рассредоточением абонентов, не охваченных сухопутными сетями подвижной связи. Это гарантирует дальнейшее обеспечение связи в этих областях и</w:t>
      </w:r>
      <w:r w:rsidRPr="00B42F5B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районах</w:t>
      </w:r>
      <w:r w:rsidRPr="002C6523">
        <w:rPr>
          <w:rFonts w:asciiTheme="minorHAnsi" w:hAnsiTheme="minorHAnsi" w:cstheme="minorHAnsi"/>
          <w:szCs w:val="24"/>
          <w:lang w:val="ru-RU"/>
        </w:rPr>
        <w:t>, при этом крайне важное значение для бесперебойного предоставления услуг международн</w:t>
      </w:r>
      <w:r>
        <w:rPr>
          <w:rFonts w:asciiTheme="minorHAnsi" w:hAnsiTheme="minorHAnsi" w:cstheme="minorHAnsi"/>
          <w:szCs w:val="24"/>
          <w:lang w:val="ru-RU"/>
        </w:rPr>
        <w:t>ой</w:t>
      </w:r>
      <w:r w:rsidRPr="002C6523">
        <w:rPr>
          <w:rFonts w:asciiTheme="minorHAnsi" w:hAnsiTheme="minorHAnsi" w:cstheme="minorHAnsi"/>
          <w:szCs w:val="24"/>
          <w:lang w:val="ru-RU"/>
        </w:rPr>
        <w:t xml:space="preserve"> электросвязи на различных платформах и в различных средах имеют ресурсы нумерации.</w:t>
      </w:r>
    </w:p>
    <w:p w14:paraId="188DBE5E" w14:textId="34058DF1" w:rsidR="00B42F5B" w:rsidRPr="002C6523" w:rsidRDefault="00B42F5B" w:rsidP="001F50D9">
      <w:pPr>
        <w:pStyle w:val="Heading2"/>
        <w:rPr>
          <w:lang w:val="ru-RU"/>
        </w:rPr>
      </w:pPr>
      <w:bookmarkStart w:id="134" w:name="lt_pId5253"/>
      <w:bookmarkEnd w:id="133"/>
      <w:r w:rsidRPr="002C6523">
        <w:rPr>
          <w:szCs w:val="22"/>
          <w:lang w:val="ru-RU"/>
        </w:rPr>
        <w:t>3.</w:t>
      </w:r>
      <w:r>
        <w:rPr>
          <w:szCs w:val="22"/>
          <w:lang w:val="ru-RU"/>
        </w:rPr>
        <w:t>3</w:t>
      </w:r>
      <w:r w:rsidRPr="002C6523">
        <w:rPr>
          <w:szCs w:val="22"/>
          <w:lang w:val="ru-RU"/>
        </w:rPr>
        <w:tab/>
        <w:t xml:space="preserve">Тематический приоритет 3 </w:t>
      </w:r>
      <w:r w:rsidR="00DB46E9" w:rsidRPr="00DB46E9">
        <w:rPr>
          <w:rFonts w:cs="Calibri"/>
          <w:szCs w:val="22"/>
          <w:lang w:val="ru-RU"/>
        </w:rPr>
        <w:t>−</w:t>
      </w:r>
      <w:r w:rsidRPr="002C6523">
        <w:rPr>
          <w:szCs w:val="22"/>
          <w:lang w:val="ru-RU"/>
        </w:rPr>
        <w:t xml:space="preserve"> </w:t>
      </w:r>
      <w:r w:rsidRPr="002C6523">
        <w:rPr>
          <w:lang w:val="ru-RU"/>
        </w:rPr>
        <w:t>Инклюзивные и защищенные инфраструктура и услуги электросвязи/ИКТ</w:t>
      </w:r>
    </w:p>
    <w:p w14:paraId="10CCE14F" w14:textId="77777777" w:rsidR="00B42F5B" w:rsidRPr="005B2BBD" w:rsidRDefault="00B42F5B" w:rsidP="001F50D9">
      <w:pPr>
        <w:rPr>
          <w:lang w:val="ru-RU"/>
        </w:rPr>
      </w:pPr>
      <w:r w:rsidRPr="005B2BBD">
        <w:rPr>
          <w:lang w:val="ru-RU"/>
        </w:rPr>
        <w:t xml:space="preserve">В контексте Повестки дня этот тематический приоритет направлен на обеспечение более широких возможностей подключения и доступа к услугам фиксированной и подвижной </w:t>
      </w:r>
      <w:r w:rsidRPr="005B2BBD">
        <w:rPr>
          <w:lang w:val="ru-RU"/>
        </w:rPr>
        <w:lastRenderedPageBreak/>
        <w:t>широкополосной связи для всех посредством использования спутниковых систем связи, когда они наилучшим образом подходят для предоставления таких услуг инклюзивным, защищенным и устойчивым образом.</w:t>
      </w:r>
    </w:p>
    <w:p w14:paraId="1EEC6047" w14:textId="77777777" w:rsidR="00B42F5B" w:rsidRPr="005B2BBD" w:rsidRDefault="00B42F5B" w:rsidP="001F50D9">
      <w:pPr>
        <w:rPr>
          <w:lang w:val="ru-RU"/>
        </w:rPr>
      </w:pPr>
      <w:r w:rsidRPr="005B2BBD">
        <w:rPr>
          <w:lang w:val="ru-RU"/>
        </w:rPr>
        <w:t>Конвергенция наземных сетей фиксированной и подвижной связи и спутниковых систем повышает необходимость учитывать различные требования к пользовательскому оборудованию, сетевым возможностям и приложениям. Это необходимый шаг на пути к обеспечению полного доступа к расширенным возможностям подключения, инновационным сценариям использования и услугам.</w:t>
      </w:r>
    </w:p>
    <w:p w14:paraId="6D364FB1" w14:textId="0CB2FA1E" w:rsidR="00B42F5B" w:rsidRPr="005B2BBD" w:rsidRDefault="00B42F5B" w:rsidP="001F50D9">
      <w:pPr>
        <w:rPr>
          <w:lang w:val="ru-RU"/>
        </w:rPr>
      </w:pPr>
      <w:r w:rsidRPr="00883252">
        <w:rPr>
          <w:lang w:val="ru-RU"/>
        </w:rPr>
        <w:t xml:space="preserve">МСЭ активно участвует в </w:t>
      </w:r>
      <w:hyperlink r:id="rId22" w:history="1">
        <w:r w:rsidRPr="00883252">
          <w:rPr>
            <w:rStyle w:val="Hyperlink"/>
            <w:lang w:val="ru-RU"/>
          </w:rPr>
          <w:t>инициативе ООН "Системы раннего оповещения для всех" (</w:t>
        </w:r>
        <w:r w:rsidRPr="001F50D9">
          <w:rPr>
            <w:rStyle w:val="Hyperlink"/>
          </w:rPr>
          <w:t>EW</w:t>
        </w:r>
        <w:r w:rsidRPr="00883252">
          <w:rPr>
            <w:rStyle w:val="Hyperlink"/>
            <w:lang w:val="ru-RU"/>
          </w:rPr>
          <w:t>4</w:t>
        </w:r>
        <w:r w:rsidRPr="001F50D9">
          <w:rPr>
            <w:rStyle w:val="Hyperlink"/>
          </w:rPr>
          <w:t>All</w:t>
        </w:r>
        <w:r w:rsidRPr="00883252">
          <w:rPr>
            <w:rStyle w:val="Hyperlink"/>
            <w:lang w:val="ru-RU"/>
          </w:rPr>
          <w:t>)</w:t>
        </w:r>
      </w:hyperlink>
      <w:r w:rsidRPr="00883252">
        <w:rPr>
          <w:lang w:val="ru-RU"/>
        </w:rPr>
        <w:t xml:space="preserve"> и в соответствии с </w:t>
      </w:r>
      <w:hyperlink r:id="rId23" w:history="1">
        <w:r w:rsidRPr="00883252">
          <w:rPr>
            <w:rStyle w:val="Hyperlink"/>
            <w:lang w:val="ru-RU"/>
          </w:rPr>
          <w:t>Резолюцией 136</w:t>
        </w:r>
      </w:hyperlink>
      <w:r w:rsidRPr="00DB46E9">
        <w:rPr>
          <w:rStyle w:val="FootnoteReference"/>
        </w:rPr>
        <w:footnoteReference w:id="3"/>
      </w:r>
      <w:r w:rsidRPr="00883252">
        <w:rPr>
          <w:lang w:val="ru-RU"/>
        </w:rPr>
        <w:t xml:space="preserve"> (Пересм. </w:t>
      </w:r>
      <w:r w:rsidRPr="005B2BBD">
        <w:rPr>
          <w:lang w:val="ru-RU"/>
        </w:rPr>
        <w:t xml:space="preserve">Бухарест, 2022 г.) ПК и </w:t>
      </w:r>
      <w:hyperlink r:id="rId24" w:history="1">
        <w:r w:rsidRPr="005B2BBD">
          <w:rPr>
            <w:rStyle w:val="Hyperlink"/>
            <w:lang w:val="ru-RU"/>
          </w:rPr>
          <w:t>Резолюцией 34</w:t>
        </w:r>
      </w:hyperlink>
      <w:r w:rsidRPr="00DB46E9">
        <w:rPr>
          <w:rStyle w:val="FootnoteReference"/>
        </w:rPr>
        <w:footnoteReference w:id="4"/>
      </w:r>
      <w:r w:rsidRPr="005B2BBD">
        <w:rPr>
          <w:lang w:val="ru-RU"/>
        </w:rPr>
        <w:t xml:space="preserve"> (Пересм. Кигали, 2022 г.) ВКРЭ увеличил поддержку стран во внедрении систем раннего оповещения (</w:t>
      </w:r>
      <w:r w:rsidRPr="001F50D9">
        <w:t>EWS</w:t>
      </w:r>
      <w:r w:rsidRPr="005B2BBD">
        <w:rPr>
          <w:lang w:val="ru-RU"/>
        </w:rPr>
        <w:t xml:space="preserve">). Эта новая инициатива по адаптации к изменению климата, начатая в 2022 году и возглавляемая ВМО и Управлением Организации Объединенных Наций по снижению риска бедствий (УСРБ ООН), предусматривает, что к 2027 году каждый человек в мире должен быть защищен системой раннего оповещения. В рамках инициативы </w:t>
      </w:r>
      <w:r w:rsidRPr="001F50D9">
        <w:t>EW</w:t>
      </w:r>
      <w:r w:rsidRPr="005B2BBD">
        <w:rPr>
          <w:lang w:val="ru-RU"/>
        </w:rPr>
        <w:t>4</w:t>
      </w:r>
      <w:r w:rsidRPr="001F50D9">
        <w:t>All</w:t>
      </w:r>
      <w:r w:rsidRPr="005B2BBD">
        <w:rPr>
          <w:lang w:val="ru-RU"/>
        </w:rPr>
        <w:t xml:space="preserve"> МСЭ отвечает за направление 3 </w:t>
      </w:r>
      <w:hyperlink r:id="rId25" w:history="1">
        <w:r w:rsidRPr="005B2BBD">
          <w:rPr>
            <w:rStyle w:val="Hyperlink"/>
            <w:lang w:val="ru-RU"/>
          </w:rPr>
          <w:t>"Предупреждение о бедствиях и связь в случае бедствий"</w:t>
        </w:r>
      </w:hyperlink>
      <w:r w:rsidRPr="005B2BBD">
        <w:rPr>
          <w:lang w:val="ru-RU"/>
        </w:rPr>
        <w:t>, целью которого является изучение возможности установления соединений последней мили и обеспечение того, чтобы предупреждения вовремя доходили до людей, подвергающихся риску, для принятия мер.</w:t>
      </w:r>
    </w:p>
    <w:p w14:paraId="579C3994" w14:textId="77777777" w:rsidR="00B42F5B" w:rsidRPr="005B2BBD" w:rsidRDefault="00B42F5B" w:rsidP="001F50D9">
      <w:pPr>
        <w:rPr>
          <w:lang w:val="ru-RU"/>
        </w:rPr>
      </w:pPr>
      <w:r w:rsidRPr="005B2BBD">
        <w:rPr>
          <w:lang w:val="ru-RU"/>
        </w:rPr>
        <w:t>Для реализации этой важной инициативы по адаптации к изменению климата МСЭ продвигает многоканальный подход, чтобы гарантировать, что страны используют широкий спектр каналов связи, а также традиционные и передовые технологии для распространения предупреждений, включая радио и телевидение, сети подвижной связи и спутниковые системы. Чтобы использовать широкую распространенность сетей и услуг подвижной связи и мобильных телефонов, а также достижения в области новейших услуг оповещения через спутниковые системы, МСЭ тесно сотрудничает с членами МСЭ из государственного и частного секторов, включая отрасль подвижной и спутниковой связи, а также с академическими организациями и гражданским обществом, опираясь таким образом на существующие решения и изучая инновационные подходы к преодолению последней мили. МСЭ также поддерживает использование протокола общего оповещения (</w:t>
      </w:r>
      <w:r w:rsidRPr="001F50D9">
        <w:t>CAP</w:t>
      </w:r>
      <w:r w:rsidRPr="005B2BBD">
        <w:rPr>
          <w:lang w:val="ru-RU"/>
        </w:rPr>
        <w:t>), чтобы гарантировать, что сообщения, содержащие предупреждения, рассылаются в согласованном формате, будут понятны группам населения, подвергающимся риску, и будут иметь практическую ценность.</w:t>
      </w:r>
    </w:p>
    <w:p w14:paraId="1F59BB68" w14:textId="77777777" w:rsidR="00B42F5B" w:rsidRPr="005B2BBD" w:rsidRDefault="00B42F5B" w:rsidP="001F50D9">
      <w:pPr>
        <w:rPr>
          <w:lang w:val="ru-RU"/>
        </w:rPr>
      </w:pPr>
      <w:r w:rsidRPr="005B2BBD">
        <w:rPr>
          <w:lang w:val="ru-RU"/>
        </w:rPr>
        <w:t xml:space="preserve">Во время КС-28 были представлены </w:t>
      </w:r>
      <w:hyperlink r:id="rId26" w:history="1">
        <w:r w:rsidRPr="005B2BBD">
          <w:rPr>
            <w:rStyle w:val="Hyperlink"/>
            <w:lang w:val="ru-RU"/>
          </w:rPr>
          <w:t>обязательства отраслей подвижной и спутниковой связи</w:t>
        </w:r>
      </w:hyperlink>
      <w:r w:rsidRPr="005B2BBD">
        <w:rPr>
          <w:lang w:val="ru-RU"/>
        </w:rPr>
        <w:t xml:space="preserve">. Ассоциация </w:t>
      </w:r>
      <w:r w:rsidRPr="001F50D9">
        <w:t>GSM</w:t>
      </w:r>
      <w:r w:rsidRPr="005B2BBD">
        <w:rPr>
          <w:lang w:val="ru-RU"/>
        </w:rPr>
        <w:t xml:space="preserve"> и операторы сетей подвижной связи, в том числе </w:t>
      </w:r>
      <w:r w:rsidRPr="001F50D9">
        <w:t>VEON</w:t>
      </w:r>
      <w:r w:rsidRPr="005B2BBD">
        <w:rPr>
          <w:lang w:val="ru-RU"/>
        </w:rPr>
        <w:t xml:space="preserve">, </w:t>
      </w:r>
      <w:r w:rsidRPr="001F50D9">
        <w:t>KDDI</w:t>
      </w:r>
      <w:r w:rsidRPr="005B2BBD">
        <w:rPr>
          <w:lang w:val="ru-RU"/>
        </w:rPr>
        <w:t xml:space="preserve">, </w:t>
      </w:r>
      <w:r w:rsidRPr="001F50D9">
        <w:t>Globe</w:t>
      </w:r>
      <w:r w:rsidRPr="005B2BBD">
        <w:rPr>
          <w:lang w:val="ru-RU"/>
        </w:rPr>
        <w:t xml:space="preserve">, </w:t>
      </w:r>
      <w:r w:rsidRPr="001F50D9">
        <w:t>Safaricom</w:t>
      </w:r>
      <w:r w:rsidRPr="005B2BBD">
        <w:rPr>
          <w:lang w:val="ru-RU"/>
        </w:rPr>
        <w:t xml:space="preserve">, </w:t>
      </w:r>
      <w:r w:rsidRPr="001F50D9">
        <w:t>Telefonica</w:t>
      </w:r>
      <w:r w:rsidRPr="005B2BBD">
        <w:rPr>
          <w:lang w:val="ru-RU"/>
        </w:rPr>
        <w:t xml:space="preserve">, </w:t>
      </w:r>
      <w:r w:rsidRPr="001F50D9">
        <w:t>MTN</w:t>
      </w:r>
      <w:r w:rsidRPr="005B2BBD">
        <w:rPr>
          <w:lang w:val="ru-RU"/>
        </w:rPr>
        <w:t xml:space="preserve"> и </w:t>
      </w:r>
      <w:r w:rsidRPr="001F50D9">
        <w:t>Axiata</w:t>
      </w:r>
      <w:r w:rsidRPr="005B2BBD">
        <w:rPr>
          <w:lang w:val="ru-RU"/>
        </w:rPr>
        <w:t xml:space="preserve"> </w:t>
      </w:r>
      <w:r w:rsidRPr="001F50D9">
        <w:t>Group</w:t>
      </w:r>
      <w:r w:rsidRPr="005B2BBD">
        <w:rPr>
          <w:lang w:val="ru-RU"/>
        </w:rPr>
        <w:t xml:space="preserve">, выступили с призывом к действию по развертыванию службы вещательных сообщений и </w:t>
      </w:r>
      <w:r w:rsidRPr="001F50D9">
        <w:t>SMS</w:t>
      </w:r>
      <w:r w:rsidRPr="005B2BBD">
        <w:rPr>
          <w:lang w:val="ru-RU"/>
        </w:rPr>
        <w:t xml:space="preserve"> на основе определения местоположения, чтобы использовать цифровую связь для обеспечения защиты каждого. Глобальная ассоциация спутниковых операторов (</w:t>
      </w:r>
      <w:r w:rsidRPr="001F50D9">
        <w:t>GSOA</w:t>
      </w:r>
      <w:r w:rsidRPr="005B2BBD">
        <w:rPr>
          <w:lang w:val="ru-RU"/>
        </w:rPr>
        <w:t xml:space="preserve">) и ее партнеры взяли на себя обязательство улучшить услуги </w:t>
      </w:r>
      <w:r w:rsidRPr="005B2BBD">
        <w:rPr>
          <w:lang w:val="ru-RU"/>
        </w:rPr>
        <w:lastRenderedPageBreak/>
        <w:t>прямой связи и решить проблемы посредством межсекторального сотрудничества, в том числе взаимодействуя с производителями устройств.</w:t>
      </w:r>
    </w:p>
    <w:p w14:paraId="50775A0D" w14:textId="77777777" w:rsidR="00B42F5B" w:rsidRPr="005B2BBD" w:rsidRDefault="00B42F5B" w:rsidP="001F50D9">
      <w:pPr>
        <w:rPr>
          <w:lang w:val="ru-RU"/>
        </w:rPr>
      </w:pPr>
      <w:r w:rsidRPr="005B2BBD">
        <w:rPr>
          <w:lang w:val="ru-RU"/>
        </w:rPr>
        <w:t>Работа МСЭ в рамках этой инициативы связана с задачей 2.3 Повестки дня "Космос-2030" "Расширять комплексное использование космической техники в целях содействия наблюдению за климатом и проведению оценки природно-климатических рисков, совершенствования систем раннего предупреждения о бедствиях и получения данных для показателей, используемых для отслеживания хода осуществления Повестки дня в области устойчивого развития на период до 2030 года, Сендайской рамочной программы и обязательств государств</w:t>
      </w:r>
      <w:r w:rsidRPr="001F50D9">
        <w:t> </w:t>
      </w:r>
      <w:r w:rsidRPr="005B2BBD">
        <w:rPr>
          <w:lang w:val="ru-RU"/>
        </w:rPr>
        <w:t>– участников Парижского соглашения" и задачей 2.5 "Поощрять использование космических технологий на всех этапах цикла деятельности по борьбе со стихийными бедствиями применительно к природным бедствиям и техногенным катастрофам, включая их предотвращение, смягчение их последствий, обеспечение готовности к ним, принятие мер реагирования и проведение работ по восстановлению, реконструкции и реабилитации; отслеживать и анализировать такие аспекты, как подверженность стихийным бедствиям, опасные природные явления, природно-климатические риски и нанесенный ущерб в различных регионах мира; и способствовать обмену данными мониторинга стихийных бедствий".</w:t>
      </w:r>
    </w:p>
    <w:p w14:paraId="0DC67353" w14:textId="15A61B1C" w:rsidR="00B42F5B" w:rsidRPr="002C6523" w:rsidRDefault="00B42F5B" w:rsidP="001F50D9">
      <w:pPr>
        <w:pStyle w:val="Heading2"/>
        <w:rPr>
          <w:lang w:val="ru-RU"/>
        </w:rPr>
      </w:pPr>
      <w:bookmarkStart w:id="135" w:name="lt_pId5254"/>
      <w:bookmarkEnd w:id="134"/>
      <w:r w:rsidRPr="002C6523">
        <w:rPr>
          <w:lang w:val="ru-RU"/>
        </w:rPr>
        <w:t>3.</w:t>
      </w:r>
      <w:r>
        <w:rPr>
          <w:lang w:val="ru-RU"/>
        </w:rPr>
        <w:t>4</w:t>
      </w:r>
      <w:r w:rsidRPr="002C6523">
        <w:rPr>
          <w:lang w:val="ru-RU"/>
        </w:rPr>
        <w:tab/>
        <w:t xml:space="preserve">Тематический приоритет 4 </w:t>
      </w:r>
      <w:r w:rsidR="00DB46E9" w:rsidRPr="005B2BBD">
        <w:rPr>
          <w:rFonts w:cs="Calibri"/>
          <w:lang w:val="ru-RU"/>
        </w:rPr>
        <w:t>−</w:t>
      </w:r>
      <w:r w:rsidRPr="002C6523">
        <w:rPr>
          <w:lang w:val="ru-RU"/>
        </w:rPr>
        <w:t xml:space="preserve"> Цифровые приложения</w:t>
      </w:r>
    </w:p>
    <w:p w14:paraId="1142FF63" w14:textId="77777777" w:rsidR="00B42F5B" w:rsidRPr="005B2BBD" w:rsidRDefault="00B42F5B" w:rsidP="001F50D9">
      <w:pPr>
        <w:rPr>
          <w:lang w:val="ru-RU"/>
        </w:rPr>
      </w:pPr>
      <w:r w:rsidRPr="005B2BBD">
        <w:rPr>
          <w:lang w:val="ru-RU"/>
        </w:rPr>
        <w:t>В рамках этого тематического приоритета планируется расширить внедрение и использование приложений электросвязи/ИКТ, что станет возможным благодаря более активному развертыванию сетей и служб космической связи, необходимых для таких приложений, и расширить возможности Государств-Членов по использованию инноваций и предпринимательства в целях устойчивого развития в соответствии с задачами, поставленными в рамках Общей задачи</w:t>
      </w:r>
      <w:r w:rsidRPr="001F50D9">
        <w:t> </w:t>
      </w:r>
      <w:r w:rsidRPr="005B2BBD">
        <w:rPr>
          <w:lang w:val="ru-RU"/>
        </w:rPr>
        <w:t>1 Повестки дня.</w:t>
      </w:r>
    </w:p>
    <w:p w14:paraId="524C3056" w14:textId="4CFDDA20" w:rsidR="00B42F5B" w:rsidRPr="002C6523" w:rsidRDefault="00B42F5B" w:rsidP="001F50D9">
      <w:pPr>
        <w:pStyle w:val="Heading2"/>
        <w:rPr>
          <w:lang w:val="ru-RU"/>
        </w:rPr>
      </w:pPr>
      <w:bookmarkStart w:id="136" w:name="lt_pId5255"/>
      <w:bookmarkEnd w:id="135"/>
      <w:r w:rsidRPr="002C6523">
        <w:rPr>
          <w:lang w:val="ru-RU"/>
        </w:rPr>
        <w:t>3.</w:t>
      </w:r>
      <w:r>
        <w:rPr>
          <w:lang w:val="ru-RU"/>
        </w:rPr>
        <w:t>5</w:t>
      </w:r>
      <w:r w:rsidRPr="002C6523">
        <w:rPr>
          <w:lang w:val="ru-RU"/>
        </w:rPr>
        <w:tab/>
        <w:t xml:space="preserve">Тематический приоритет 5 </w:t>
      </w:r>
      <w:r w:rsidR="00DB46E9" w:rsidRPr="005B2BBD">
        <w:rPr>
          <w:rFonts w:cs="Calibri"/>
          <w:lang w:val="ru-RU"/>
        </w:rPr>
        <w:t>−</w:t>
      </w:r>
      <w:r w:rsidRPr="002C6523">
        <w:rPr>
          <w:lang w:val="ru-RU"/>
        </w:rPr>
        <w:t xml:space="preserve"> Благоприятная среда </w:t>
      </w:r>
    </w:p>
    <w:p w14:paraId="4FE735FF" w14:textId="77777777" w:rsidR="00B42F5B" w:rsidRPr="005B2BBD" w:rsidRDefault="00B42F5B" w:rsidP="001F50D9">
      <w:pPr>
        <w:rPr>
          <w:lang w:val="ru-RU"/>
        </w:rPr>
      </w:pPr>
      <w:r w:rsidRPr="005B2BBD">
        <w:rPr>
          <w:lang w:val="ru-RU"/>
        </w:rPr>
        <w:t>Политическая и регуляторная среда, разработанная в рамках данного тематического приоритета с учетом особенностей космических технологий, должна обеспечить Государствам-Членам доступ к преимуществам этих технологий в соответствующих случаях, тем самым увеличивая количество вариантов политики для обеспечения универсальной возможности установления соединений и осуществления устойчивой цифровой трансформации.</w:t>
      </w:r>
    </w:p>
    <w:p w14:paraId="740F60E8" w14:textId="77777777" w:rsidR="00B42F5B" w:rsidRPr="005B2BBD" w:rsidRDefault="00B42F5B" w:rsidP="001F50D9">
      <w:pPr>
        <w:rPr>
          <w:lang w:val="ru-RU"/>
        </w:rPr>
      </w:pPr>
      <w:r w:rsidRPr="005B2BBD">
        <w:rPr>
          <w:lang w:val="ru-RU"/>
        </w:rPr>
        <w:t>Деятельность в рамках этого тематического приоритета напрямую связана с задачей 3.4 Повестки дня "Космос-2030" "Активизировать деятельность в области наращивания потенциала, образования и подготовки кадров в сфере космической науки и техники, в особенности в развивающихся странах" и задачей 4.3 "Активизировать проведение мероприятий по оказанию государствам-членам помощи в наращивании потенциала и технической помощи, в частности, в области международного космического права и космической политики, в том числе проведение таких мероприятий Управлением по вопросам космического пространства":</w:t>
      </w:r>
    </w:p>
    <w:p w14:paraId="0D05AC5B" w14:textId="608DD5D4" w:rsidR="00B42F5B" w:rsidRPr="002C6523" w:rsidRDefault="001F50D9" w:rsidP="001F50D9">
      <w:pPr>
        <w:pStyle w:val="enumlev1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t>•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>Академия МСЭ продолжила осуществление учебной программы по управлению использованием спектра (SMTP) в сотрудничестве с Африканским высшим институтом электросвязи (</w:t>
      </w:r>
      <w:r w:rsidR="00B42F5B" w:rsidRPr="002C6523">
        <w:rPr>
          <w:rFonts w:eastAsiaTheme="minorEastAsia"/>
          <w:lang w:val="en-US"/>
        </w:rPr>
        <w:t>AFRALTI</w:t>
      </w:r>
      <w:r w:rsidR="00B42F5B" w:rsidRPr="002C6523">
        <w:rPr>
          <w:rFonts w:eastAsiaTheme="minorEastAsia"/>
          <w:lang w:val="ru-RU"/>
        </w:rPr>
        <w:t xml:space="preserve">), выполняющим функции учебного центра Академии МСЭ. </w:t>
      </w:r>
      <w:r w:rsidR="00B42F5B" w:rsidRPr="002C6523">
        <w:rPr>
          <w:rFonts w:eastAsiaTheme="minorEastAsia"/>
          <w:lang w:val="en-US"/>
        </w:rPr>
        <w:t>SMTP</w:t>
      </w:r>
      <w:r w:rsidR="00447D6D">
        <w:rPr>
          <w:rFonts w:eastAsiaTheme="minorEastAsia"/>
          <w:lang w:val="ru-RU"/>
        </w:rPr>
        <w:t> </w:t>
      </w:r>
      <w:r w:rsidR="00DB46E9" w:rsidRPr="00DB46E9">
        <w:rPr>
          <w:rFonts w:eastAsiaTheme="minorEastAsia"/>
          <w:lang w:val="ru-RU"/>
        </w:rPr>
        <w:t>−</w:t>
      </w:r>
      <w:r w:rsidR="00B42F5B" w:rsidRPr="002C6523">
        <w:rPr>
          <w:rFonts w:eastAsiaTheme="minorEastAsia"/>
          <w:lang w:val="ru-RU"/>
        </w:rPr>
        <w:t xml:space="preserve"> это комплексная программа для Государств-Членов и Членов Секторов, в рамках которой предоставляется качественная подготовка по всем аспектам управления использованием спектра как базового, так и продвинутого уровня, охватывающая широкий диапазон тем, от правовых основ до специальных научно-технических дисциплин. В 2023 году было проведено восемь модулей, в которых приняли участие более 60 участников из 2</w:t>
      </w:r>
      <w:r w:rsidR="00447D6D">
        <w:rPr>
          <w:rFonts w:eastAsiaTheme="minorEastAsia"/>
          <w:lang w:val="ru-RU"/>
        </w:rPr>
        <w:t>0</w:t>
      </w:r>
      <w:r w:rsidR="00B42F5B" w:rsidRPr="002C6523">
        <w:rPr>
          <w:rFonts w:eastAsiaTheme="minorEastAsia"/>
          <w:lang w:val="ru-RU"/>
        </w:rPr>
        <w:t> стран.</w:t>
      </w:r>
    </w:p>
    <w:p w14:paraId="2DB1CD24" w14:textId="08BF10FF" w:rsidR="00B42F5B" w:rsidRPr="002C6523" w:rsidRDefault="001F50D9" w:rsidP="001F50D9">
      <w:pPr>
        <w:pStyle w:val="enumlev1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lastRenderedPageBreak/>
        <w:t>•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>Кроме того, Академия МСЭ продолжила сотрудничество с Международной организацией спутниковой электросвязи (</w:t>
      </w:r>
      <w:r w:rsidR="00B42F5B" w:rsidRPr="002C6523">
        <w:rPr>
          <w:rFonts w:eastAsiaTheme="minorEastAsia"/>
          <w:lang w:val="en-US"/>
        </w:rPr>
        <w:t>ITSO</w:t>
      </w:r>
      <w:r w:rsidR="00B42F5B" w:rsidRPr="002C6523">
        <w:rPr>
          <w:rFonts w:eastAsiaTheme="minorEastAsia"/>
          <w:lang w:val="ru-RU"/>
        </w:rPr>
        <w:t>) по курсу "Процедуры регулирования спутниковой связи и радиосвязи". Основной задачей курса является улучшение знаний о политике, правилах, системах лицензирования и технических аспектах, связанных с предоставлением услуг спутниковой связи. В 2023 году курс был проведен для стран Арабского региона и Африки и привлек более 60 участников из 29 стран.</w:t>
      </w:r>
    </w:p>
    <w:p w14:paraId="1917ACC1" w14:textId="24FBAFA0" w:rsidR="00B42F5B" w:rsidRPr="002C6523" w:rsidRDefault="001F50D9" w:rsidP="001F50D9">
      <w:pPr>
        <w:pStyle w:val="enumlev1"/>
        <w:rPr>
          <w:rFonts w:asciiTheme="minorHAnsi" w:eastAsiaTheme="minorEastAsia" w:hAnsiTheme="minorHAnsi" w:cstheme="minorBidi"/>
          <w:lang w:val="ru-RU"/>
        </w:rPr>
      </w:pPr>
      <w:r w:rsidRPr="001F50D9">
        <w:rPr>
          <w:rFonts w:eastAsiaTheme="minorEastAsia"/>
          <w:lang w:val="ru-RU"/>
        </w:rPr>
        <w:t>•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asciiTheme="minorHAnsi" w:eastAsiaTheme="minorEastAsia" w:hAnsiTheme="minorHAnsi" w:cstheme="minorBidi"/>
          <w:lang w:val="ru-RU"/>
        </w:rPr>
        <w:t>Сотрудники МСЭ активно участвовали в различных семинарах и семинарах-практикумах, в том числе организованных УВКП ООН и Европейским космическим агентством (ЕКА), с целью создания потенциала Государств-Членов по вопросам процедур регистрации частот МСЭ для малых спутников.</w:t>
      </w:r>
    </w:p>
    <w:p w14:paraId="3C4B3750" w14:textId="668D4E50" w:rsidR="00B42F5B" w:rsidRPr="002C6523" w:rsidRDefault="001F50D9" w:rsidP="001F50D9">
      <w:pPr>
        <w:pStyle w:val="enumlev1"/>
        <w:rPr>
          <w:rFonts w:asciiTheme="minorHAnsi" w:eastAsiaTheme="minorEastAsia" w:hAnsiTheme="minorHAnsi" w:cstheme="minorHAnsi"/>
          <w:lang w:val="ru-RU"/>
        </w:rPr>
      </w:pPr>
      <w:r w:rsidRPr="001F50D9">
        <w:rPr>
          <w:rFonts w:eastAsiaTheme="minorEastAsia"/>
          <w:lang w:val="ru-RU"/>
        </w:rPr>
        <w:t>•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asciiTheme="minorHAnsi" w:eastAsiaTheme="minorEastAsia" w:hAnsiTheme="minorHAnsi" w:cstheme="minorHAnsi"/>
          <w:lang w:val="ru-RU"/>
        </w:rPr>
        <w:t xml:space="preserve">МСЭ содействовал проведению в Луанде, Ангола, второго семинара-практикума Международного союза электросвязи (МСЭ) и </w:t>
      </w:r>
      <w:r w:rsidR="00B42F5B" w:rsidRPr="002C6523">
        <w:rPr>
          <w:rFonts w:eastAsiaTheme="minorEastAsia"/>
          <w:lang w:val="ru-RU"/>
        </w:rPr>
        <w:t>Ассоциации регуляторных органов в области связи юга Африки (CRASA)</w:t>
      </w:r>
      <w:r w:rsidR="00B42F5B" w:rsidRPr="002C6523">
        <w:rPr>
          <w:rFonts w:asciiTheme="minorHAnsi" w:eastAsiaTheme="minorEastAsia" w:hAnsiTheme="minorHAnsi" w:cstheme="minorHAnsi"/>
          <w:lang w:val="ru-RU"/>
        </w:rPr>
        <w:t xml:space="preserve"> по основам регулирования космической деятельности и космической экономике (докладчики: эксперты БРЭ и БР, </w:t>
      </w:r>
      <w:r w:rsidR="00B42F5B" w:rsidRPr="002C6523">
        <w:rPr>
          <w:rFonts w:asciiTheme="minorHAnsi" w:eastAsiaTheme="minorEastAsia" w:hAnsiTheme="minorHAnsi" w:cstheme="minorHAnsi"/>
          <w:lang w:val="en-US"/>
        </w:rPr>
        <w:t>Anatel</w:t>
      </w:r>
      <w:r w:rsidR="00B42F5B" w:rsidRPr="002C6523">
        <w:rPr>
          <w:rFonts w:asciiTheme="minorHAnsi" w:eastAsiaTheme="minorEastAsia" w:hAnsiTheme="minorHAnsi" w:cstheme="minorHAnsi"/>
          <w:lang w:val="ru-RU"/>
        </w:rPr>
        <w:t>, Региональная африканская организация спутниковой связи (РАСКОМ), обсерватория "Антенная решетка площадью в квадратный километр" (</w:t>
      </w:r>
      <w:r w:rsidR="00B42F5B" w:rsidRPr="002C6523">
        <w:rPr>
          <w:rFonts w:asciiTheme="minorHAnsi" w:eastAsiaTheme="minorEastAsia" w:hAnsiTheme="minorHAnsi" w:cstheme="minorHAnsi"/>
          <w:lang w:val="en-US"/>
        </w:rPr>
        <w:t>SKA</w:t>
      </w:r>
      <w:r w:rsidR="00B42F5B" w:rsidRPr="002C6523">
        <w:rPr>
          <w:rFonts w:asciiTheme="minorHAnsi" w:eastAsiaTheme="minorEastAsia" w:hAnsiTheme="minorHAnsi" w:cstheme="minorHAnsi"/>
          <w:lang w:val="ru-RU"/>
        </w:rPr>
        <w:t xml:space="preserve">), </w:t>
      </w:r>
      <w:r w:rsidR="00B42F5B" w:rsidRPr="002C6523">
        <w:rPr>
          <w:rFonts w:asciiTheme="minorHAnsi" w:eastAsiaTheme="minorEastAsia" w:hAnsiTheme="minorHAnsi" w:cstheme="minorHAnsi"/>
          <w:lang w:val="en-US"/>
        </w:rPr>
        <w:t>CPS</w:t>
      </w:r>
      <w:r w:rsidR="00B42F5B" w:rsidRPr="002C6523">
        <w:rPr>
          <w:rFonts w:asciiTheme="minorHAnsi" w:eastAsiaTheme="minorEastAsia" w:hAnsiTheme="minorHAnsi" w:cstheme="minorHAnsi"/>
          <w:lang w:val="ru-RU"/>
        </w:rPr>
        <w:t xml:space="preserve"> Международного астрономического союза (МАС), </w:t>
      </w:r>
      <w:r w:rsidR="00B42F5B" w:rsidRPr="002C6523">
        <w:rPr>
          <w:rFonts w:asciiTheme="minorHAnsi" w:eastAsiaTheme="minorEastAsia" w:hAnsiTheme="minorHAnsi" w:cstheme="minorHAnsi"/>
          <w:lang w:val="en-US"/>
        </w:rPr>
        <w:t>AST</w:t>
      </w:r>
      <w:r w:rsidR="00B42F5B" w:rsidRPr="002C6523">
        <w:rPr>
          <w:rFonts w:asciiTheme="minorHAnsi" w:eastAsiaTheme="minorEastAsia" w:hAnsiTheme="minorHAnsi" w:cstheme="minorHAnsi"/>
          <w:lang w:val="ru-RU"/>
        </w:rPr>
        <w:t xml:space="preserve"> </w:t>
      </w:r>
      <w:r w:rsidR="00B42F5B" w:rsidRPr="002C6523">
        <w:rPr>
          <w:rFonts w:asciiTheme="minorHAnsi" w:eastAsiaTheme="minorEastAsia" w:hAnsiTheme="minorHAnsi" w:cstheme="minorHAnsi"/>
          <w:lang w:val="en-US"/>
        </w:rPr>
        <w:t>Space</w:t>
      </w:r>
      <w:r w:rsidR="00B42F5B" w:rsidRPr="002C6523">
        <w:rPr>
          <w:rFonts w:asciiTheme="minorHAnsi" w:eastAsiaTheme="minorEastAsia" w:hAnsiTheme="minorHAnsi" w:cstheme="minorHAnsi"/>
          <w:lang w:val="ru-RU"/>
        </w:rPr>
        <w:t xml:space="preserve"> </w:t>
      </w:r>
      <w:r w:rsidR="00B42F5B" w:rsidRPr="002C6523">
        <w:rPr>
          <w:rFonts w:asciiTheme="minorHAnsi" w:eastAsiaTheme="minorEastAsia" w:hAnsiTheme="minorHAnsi" w:cstheme="minorHAnsi"/>
          <w:lang w:val="en-US"/>
        </w:rPr>
        <w:t>Mobile</w:t>
      </w:r>
      <w:r w:rsidR="00B42F5B" w:rsidRPr="002C6523">
        <w:rPr>
          <w:rFonts w:asciiTheme="minorHAnsi" w:eastAsiaTheme="minorEastAsia" w:hAnsiTheme="minorHAnsi" w:cstheme="minorHAnsi"/>
          <w:lang w:val="ru-RU"/>
        </w:rPr>
        <w:t xml:space="preserve">, </w:t>
      </w:r>
      <w:r w:rsidR="00B42F5B" w:rsidRPr="002C6523">
        <w:rPr>
          <w:rFonts w:asciiTheme="minorHAnsi" w:eastAsiaTheme="minorEastAsia" w:hAnsiTheme="minorHAnsi" w:cstheme="minorHAnsi"/>
          <w:lang w:val="en-US"/>
        </w:rPr>
        <w:t>GSOA</w:t>
      </w:r>
      <w:r w:rsidR="00B42F5B" w:rsidRPr="002C6523">
        <w:rPr>
          <w:rFonts w:asciiTheme="minorHAnsi" w:eastAsiaTheme="minorEastAsia" w:hAnsiTheme="minorHAnsi" w:cstheme="minorHAnsi"/>
          <w:lang w:val="ru-RU"/>
        </w:rPr>
        <w:t xml:space="preserve">, </w:t>
      </w:r>
      <w:r w:rsidR="00B42F5B" w:rsidRPr="002C6523">
        <w:rPr>
          <w:rFonts w:asciiTheme="minorHAnsi" w:eastAsiaTheme="minorEastAsia" w:hAnsiTheme="minorHAnsi" w:cstheme="minorHAnsi"/>
          <w:lang w:val="en-US"/>
        </w:rPr>
        <w:t>GGPEN</w:t>
      </w:r>
      <w:r w:rsidR="00B42F5B" w:rsidRPr="002C6523">
        <w:rPr>
          <w:rFonts w:asciiTheme="minorHAnsi" w:eastAsiaTheme="minorEastAsia" w:hAnsiTheme="minorHAnsi" w:cstheme="minorHAnsi"/>
          <w:lang w:val="ru-RU"/>
        </w:rPr>
        <w:t xml:space="preserve">, УВКП ООН, Регуляторный орган Малави в области электросвязи (MACRA), </w:t>
      </w:r>
      <w:r w:rsidR="00B42F5B" w:rsidRPr="002C6523">
        <w:rPr>
          <w:rFonts w:asciiTheme="minorHAnsi" w:eastAsiaTheme="minorEastAsia" w:hAnsiTheme="minorHAnsi" w:cstheme="minorHAnsi"/>
          <w:lang w:val="en-US"/>
        </w:rPr>
        <w:t>CRASA</w:t>
      </w:r>
      <w:r w:rsidR="00B42F5B" w:rsidRPr="002C6523">
        <w:rPr>
          <w:rFonts w:asciiTheme="minorHAnsi" w:eastAsiaTheme="minorEastAsia" w:hAnsiTheme="minorHAnsi" w:cstheme="minorHAnsi"/>
          <w:lang w:val="ru-RU"/>
        </w:rPr>
        <w:t xml:space="preserve"> и Управление по регулированию связи Танзании (</w:t>
      </w:r>
      <w:r w:rsidR="00B42F5B" w:rsidRPr="002C6523">
        <w:rPr>
          <w:rFonts w:asciiTheme="minorHAnsi" w:eastAsiaTheme="minorEastAsia" w:hAnsiTheme="minorHAnsi" w:cstheme="minorHAnsi"/>
          <w:lang w:val="en-US"/>
        </w:rPr>
        <w:t>TCRA</w:t>
      </w:r>
      <w:r w:rsidR="00B42F5B" w:rsidRPr="002C6523">
        <w:rPr>
          <w:rFonts w:asciiTheme="minorHAnsi" w:eastAsiaTheme="minorEastAsia" w:hAnsiTheme="minorHAnsi" w:cstheme="minorHAnsi"/>
          <w:lang w:val="ru-RU"/>
        </w:rPr>
        <w:t xml:space="preserve">)). Государствам – членам </w:t>
      </w:r>
      <w:r w:rsidR="00B42F5B" w:rsidRPr="002C6523">
        <w:rPr>
          <w:rFonts w:asciiTheme="minorHAnsi" w:eastAsiaTheme="minorEastAsia" w:hAnsiTheme="minorHAnsi" w:cstheme="minorHAnsi"/>
          <w:lang w:val="en-US"/>
        </w:rPr>
        <w:t>CRASA</w:t>
      </w:r>
      <w:r w:rsidR="00B42F5B" w:rsidRPr="002C6523">
        <w:rPr>
          <w:rFonts w:asciiTheme="minorHAnsi" w:eastAsiaTheme="minorEastAsia" w:hAnsiTheme="minorHAnsi" w:cstheme="minorHAnsi"/>
          <w:lang w:val="ru-RU"/>
        </w:rPr>
        <w:t xml:space="preserve"> была предоставлена информация о текущем состоянии рынка спутниковой связи, было уделено особое внимание последним достижениям и различным аспектам низкоорбитальных систем спутниковой связи, они приняли участие в обсуждении регламентарных стандартов, касающихся распределения спектра, координации и процедур </w:t>
      </w:r>
      <w:r w:rsidR="00B42F5B">
        <w:rPr>
          <w:rFonts w:asciiTheme="minorHAnsi" w:eastAsiaTheme="minorEastAsia" w:hAnsiTheme="minorHAnsi" w:cstheme="minorHAnsi"/>
          <w:lang w:val="ru-RU"/>
        </w:rPr>
        <w:t xml:space="preserve">ослабления влияния </w:t>
      </w:r>
      <w:r w:rsidR="00B42F5B" w:rsidRPr="002C6523">
        <w:rPr>
          <w:rFonts w:asciiTheme="minorHAnsi" w:eastAsiaTheme="minorEastAsia" w:hAnsiTheme="minorHAnsi" w:cstheme="minorHAnsi"/>
          <w:lang w:val="ru-RU"/>
        </w:rPr>
        <w:t>помех, обменялись информацией и проанализировали конкретные ситуации в разных странах и компаниях, разобрались в аспектах эксплуатации спутниковых систем, а также вопросах регулирования и лицензирования, участвовали в диалоге по вопросам окружающей среды и устойчивого развития, а также способствовали обмену знаниями и сотрудничеству между государствами – членами CRASA. Кроме того, был проведен визит в Национальное управление космических программ (</w:t>
      </w:r>
      <w:r w:rsidR="00B42F5B" w:rsidRPr="002C6523">
        <w:rPr>
          <w:rFonts w:asciiTheme="minorHAnsi" w:eastAsiaTheme="minorEastAsia" w:hAnsiTheme="minorHAnsi" w:cstheme="minorHAnsi"/>
          <w:lang w:val="en-US"/>
        </w:rPr>
        <w:t>GGPEN</w:t>
      </w:r>
      <w:r w:rsidR="00B42F5B" w:rsidRPr="002C6523">
        <w:rPr>
          <w:rFonts w:asciiTheme="minorHAnsi" w:eastAsiaTheme="minorEastAsia" w:hAnsiTheme="minorHAnsi" w:cstheme="minorHAnsi"/>
          <w:lang w:val="ru-RU"/>
        </w:rPr>
        <w:t>) Анголы, для того чтобы познакомиться с информацией об опыте страны в запуске собственного спутника и обменяться своими соображениями. Обсуждались следующие вопросы:</w:t>
      </w:r>
    </w:p>
    <w:p w14:paraId="2C95D1AE" w14:textId="03E899D3" w:rsidR="00B42F5B" w:rsidRPr="002C6523" w:rsidRDefault="001F50D9" w:rsidP="001F50D9">
      <w:pPr>
        <w:pStyle w:val="enumlev2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t>−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>Прямая спутниковая связь с устройством – новейшая технология, дающая возможность подключения в отдаленных районах.</w:t>
      </w:r>
    </w:p>
    <w:p w14:paraId="0A99BCFB" w14:textId="0C31F8D8" w:rsidR="00B42F5B" w:rsidRPr="002C6523" w:rsidRDefault="001F50D9" w:rsidP="001F50D9">
      <w:pPr>
        <w:pStyle w:val="enumlev2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t>−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>Правила использования спутниковой связи в Бразилии как пример передового опыта.</w:t>
      </w:r>
    </w:p>
    <w:p w14:paraId="46F3A893" w14:textId="742423A6" w:rsidR="00B42F5B" w:rsidRPr="002C6523" w:rsidRDefault="001F50D9" w:rsidP="001F50D9">
      <w:pPr>
        <w:pStyle w:val="enumlev2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t>−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 xml:space="preserve">Необходимость расширить осведомленность членов </w:t>
      </w:r>
      <w:r w:rsidR="00B42F5B" w:rsidRPr="002C6523">
        <w:rPr>
          <w:rFonts w:eastAsiaTheme="minorEastAsia"/>
          <w:lang w:val="en-US"/>
        </w:rPr>
        <w:t>CRASA</w:t>
      </w:r>
      <w:r w:rsidR="00B42F5B" w:rsidRPr="002C6523">
        <w:rPr>
          <w:rFonts w:eastAsiaTheme="minorEastAsia"/>
          <w:lang w:val="ru-RU"/>
        </w:rPr>
        <w:t xml:space="preserve"> о предложениях и возможностях членства в РАСКОМ.</w:t>
      </w:r>
    </w:p>
    <w:p w14:paraId="0C96DC82" w14:textId="29789C72" w:rsidR="00B42F5B" w:rsidRPr="002C6523" w:rsidRDefault="001F50D9" w:rsidP="001F50D9">
      <w:pPr>
        <w:pStyle w:val="enumlev2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t>−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 xml:space="preserve">Вопросы авторизации спутниковой службы НГСО, координации радиочастот и </w:t>
      </w:r>
      <w:r w:rsidR="00B42F5B">
        <w:rPr>
          <w:rFonts w:eastAsiaTheme="minorEastAsia"/>
          <w:lang w:val="ru-RU"/>
        </w:rPr>
        <w:t xml:space="preserve">ослабления влияния </w:t>
      </w:r>
      <w:r w:rsidR="00B42F5B" w:rsidRPr="002C6523">
        <w:rPr>
          <w:rFonts w:eastAsiaTheme="minorEastAsia"/>
          <w:lang w:val="ru-RU"/>
        </w:rPr>
        <w:t>помех.</w:t>
      </w:r>
    </w:p>
    <w:p w14:paraId="1296172F" w14:textId="1316836E" w:rsidR="00B42F5B" w:rsidRPr="002C6523" w:rsidRDefault="001F50D9" w:rsidP="001F50D9">
      <w:pPr>
        <w:pStyle w:val="enumlev2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t>−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>Комплексное лицензирование как способ упрощения выдачи разрешений на оконечное оборудование.</w:t>
      </w:r>
    </w:p>
    <w:p w14:paraId="23042325" w14:textId="61BCC769" w:rsidR="00B42F5B" w:rsidRPr="002C6523" w:rsidRDefault="001F50D9" w:rsidP="001F50D9">
      <w:pPr>
        <w:pStyle w:val="enumlev2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t>−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>Важность соблюдения правил МСЭ и рекомендаций УВКП ООН в отношении орбитально-частотного ресурса.</w:t>
      </w:r>
    </w:p>
    <w:p w14:paraId="70C4F757" w14:textId="223AE6AE" w:rsidR="00B42F5B" w:rsidRPr="002C6523" w:rsidRDefault="001F50D9" w:rsidP="001F50D9">
      <w:pPr>
        <w:pStyle w:val="enumlev2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t>−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>Внимание Анголы к накоплению экспертных знаний перед запуском спутников.</w:t>
      </w:r>
    </w:p>
    <w:p w14:paraId="4F51A796" w14:textId="48B06B64" w:rsidR="00B42F5B" w:rsidRPr="002C6523" w:rsidRDefault="001F50D9" w:rsidP="001F50D9">
      <w:pPr>
        <w:pStyle w:val="enumlev2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t>−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 xml:space="preserve">Намерение членов </w:t>
      </w:r>
      <w:r w:rsidR="00B42F5B" w:rsidRPr="002C6523">
        <w:rPr>
          <w:rFonts w:eastAsiaTheme="minorEastAsia"/>
          <w:lang w:val="en-US"/>
        </w:rPr>
        <w:t>CRASA</w:t>
      </w:r>
      <w:r w:rsidR="00B42F5B" w:rsidRPr="002C6523">
        <w:rPr>
          <w:rFonts w:eastAsiaTheme="minorEastAsia"/>
          <w:lang w:val="ru-RU"/>
        </w:rPr>
        <w:t xml:space="preserve"> развивать экспертные знания в рамках национальных космических программ.</w:t>
      </w:r>
    </w:p>
    <w:p w14:paraId="0A96FD63" w14:textId="3314AE6D" w:rsidR="00B42F5B" w:rsidRPr="002C6523" w:rsidRDefault="001F50D9" w:rsidP="001F50D9">
      <w:pPr>
        <w:pStyle w:val="enumlev2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t>−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 xml:space="preserve">Планируемое собрание </w:t>
      </w:r>
      <w:r w:rsidR="00B42F5B" w:rsidRPr="002C6523">
        <w:rPr>
          <w:rFonts w:eastAsiaTheme="minorEastAsia"/>
          <w:lang w:val="en-US"/>
        </w:rPr>
        <w:t>CRASA</w:t>
      </w:r>
      <w:r w:rsidR="00B42F5B" w:rsidRPr="002C6523">
        <w:rPr>
          <w:rFonts w:eastAsiaTheme="minorEastAsia"/>
          <w:lang w:val="ru-RU"/>
        </w:rPr>
        <w:t xml:space="preserve"> и МСЭ по картированию инфраструктуры.</w:t>
      </w:r>
    </w:p>
    <w:p w14:paraId="5D8374E9" w14:textId="3B744FEF" w:rsidR="00B42F5B" w:rsidRPr="002C6523" w:rsidRDefault="001F50D9" w:rsidP="001F50D9">
      <w:pPr>
        <w:pStyle w:val="enumlev2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lastRenderedPageBreak/>
        <w:t>−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>Решение проблем помех и космического мусора как первоочередная задача.</w:t>
      </w:r>
    </w:p>
    <w:p w14:paraId="17290675" w14:textId="5A367249" w:rsidR="00B42F5B" w:rsidRPr="002C6523" w:rsidRDefault="001F50D9" w:rsidP="001F50D9">
      <w:pPr>
        <w:pStyle w:val="enumlev1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t>•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 xml:space="preserve">МСЭ провел в Киншасе, Демократическая Республика Конго, семинар-практикум по созданию потенциала и дискуссию по техническим/регуляторным аспектам космической деятельности (докладчики: БРЭ, </w:t>
      </w:r>
      <w:r w:rsidR="00B42F5B" w:rsidRPr="002C6523">
        <w:rPr>
          <w:rFonts w:eastAsiaTheme="minorEastAsia"/>
          <w:lang w:val="en-US"/>
        </w:rPr>
        <w:t>MACRA</w:t>
      </w:r>
      <w:r w:rsidR="00B42F5B" w:rsidRPr="002C6523">
        <w:rPr>
          <w:rFonts w:eastAsiaTheme="minorEastAsia"/>
          <w:lang w:val="ru-RU"/>
        </w:rPr>
        <w:t xml:space="preserve">, </w:t>
      </w:r>
      <w:r w:rsidR="00B42F5B" w:rsidRPr="002C6523">
        <w:rPr>
          <w:rFonts w:eastAsiaTheme="minorEastAsia"/>
          <w:lang w:val="en-US"/>
        </w:rPr>
        <w:t>CRASA</w:t>
      </w:r>
      <w:r w:rsidR="00B42F5B" w:rsidRPr="002C6523">
        <w:rPr>
          <w:rFonts w:eastAsiaTheme="minorEastAsia"/>
          <w:lang w:val="ru-RU"/>
        </w:rPr>
        <w:t xml:space="preserve">, </w:t>
      </w:r>
      <w:r w:rsidR="00B42F5B" w:rsidRPr="002C6523">
        <w:rPr>
          <w:rFonts w:eastAsiaTheme="minorEastAsia"/>
          <w:lang w:val="en-US"/>
        </w:rPr>
        <w:t>GSOA</w:t>
      </w:r>
      <w:r w:rsidR="00B42F5B" w:rsidRPr="002C6523">
        <w:rPr>
          <w:rFonts w:eastAsiaTheme="minorEastAsia"/>
          <w:lang w:val="ru-RU"/>
        </w:rPr>
        <w:t>). МСЭ представил обзор рынка спутниковой связи и последних событий, обсудил значение систем спутниковой связи, возможности и проблемы владения спутниковой системой, взаимодействие и сотрудничество в использовании спутниковых систем, международные, региональные и национальные аспекты регулирования спутниковой связи и принципы справедливого доступа к космическим ресурсам и их защиты. Также состоялась открытая дискуссия о региональных ожиданиях и потребностях с целью подготовки второго, более специализированного семинара-практикума. Основные обсуждавшиеся вопросы:</w:t>
      </w:r>
    </w:p>
    <w:p w14:paraId="1BE97AFE" w14:textId="2F44B59D" w:rsidR="00B42F5B" w:rsidRPr="002C6523" w:rsidRDefault="001F50D9" w:rsidP="001F50D9">
      <w:pPr>
        <w:pStyle w:val="enumlev2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t>−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 xml:space="preserve">Актуальность темы регулирования спутниковой связи в регионе. Члены </w:t>
      </w:r>
      <w:r w:rsidR="00B42F5B" w:rsidRPr="002C6523">
        <w:rPr>
          <w:rFonts w:eastAsiaTheme="minorEastAsia"/>
          <w:lang w:val="en-US"/>
        </w:rPr>
        <w:t>CRASA</w:t>
      </w:r>
      <w:r w:rsidR="00B42F5B" w:rsidRPr="002C6523">
        <w:rPr>
          <w:rFonts w:eastAsiaTheme="minorEastAsia"/>
          <w:lang w:val="ru-RU"/>
        </w:rPr>
        <w:t xml:space="preserve"> сталкиваются с проблемами регулирования спутниковой связи и хотели бы узнать больше о возможностях, услугах, создании потенциала, технических, деловых и экономических аспектах спутниковой индустрии.</w:t>
      </w:r>
    </w:p>
    <w:p w14:paraId="6720167F" w14:textId="79F81835" w:rsidR="00B42F5B" w:rsidRPr="002C6523" w:rsidRDefault="001F50D9" w:rsidP="001F50D9">
      <w:pPr>
        <w:pStyle w:val="enumlev2"/>
        <w:rPr>
          <w:rFonts w:eastAsiaTheme="minorEastAsia"/>
          <w:lang w:val="ru-RU"/>
        </w:rPr>
      </w:pPr>
      <w:r w:rsidRPr="001F50D9">
        <w:rPr>
          <w:rFonts w:eastAsiaTheme="minorEastAsia"/>
          <w:lang w:val="ru-RU"/>
        </w:rPr>
        <w:t>−</w:t>
      </w:r>
      <w:r w:rsidRPr="001F50D9">
        <w:rPr>
          <w:rFonts w:eastAsiaTheme="minorEastAsia"/>
          <w:lang w:val="ru-RU"/>
        </w:rPr>
        <w:tab/>
      </w:r>
      <w:r w:rsidR="00B42F5B" w:rsidRPr="002C6523">
        <w:rPr>
          <w:rFonts w:eastAsiaTheme="minorEastAsia"/>
          <w:lang w:val="ru-RU"/>
        </w:rPr>
        <w:t>Несколько стран в настоящее время внедряют или тестируют решения в области связи посредством спутников на низкой околоземной орбите.</w:t>
      </w:r>
    </w:p>
    <w:p w14:paraId="550BF721" w14:textId="7FE60E8B" w:rsidR="00B42F5B" w:rsidRPr="005B2BBD" w:rsidRDefault="00883252" w:rsidP="00883252">
      <w:pPr>
        <w:pStyle w:val="enumlev1"/>
        <w:rPr>
          <w:lang w:val="ru-RU"/>
        </w:rPr>
      </w:pPr>
      <w:r w:rsidRPr="001F50D9">
        <w:rPr>
          <w:rFonts w:eastAsiaTheme="minorEastAsia"/>
          <w:lang w:val="ru-RU"/>
        </w:rPr>
        <w:t>•</w:t>
      </w:r>
      <w:r w:rsidRPr="001F50D9">
        <w:rPr>
          <w:rFonts w:eastAsiaTheme="minorEastAsia"/>
          <w:lang w:val="ru-RU"/>
        </w:rPr>
        <w:tab/>
      </w:r>
      <w:r w:rsidR="00B42F5B" w:rsidRPr="00883252">
        <w:rPr>
          <w:lang w:val="ru-RU"/>
        </w:rPr>
        <w:t xml:space="preserve">МСЭ принял участие в Международной конференции Организации Объединенных Наций/Всемирной организации здравоохранения по космосу и глобальному здравоохранению в сотрудничестве с правительством Швейцарии и Сетью по вопросам космоса и глобального здравоохранения при поддержке Европейского космического агентства, которая проводилась под эгидой Конференции Организации Объединенных Наций по торговле и развитию </w:t>
      </w:r>
      <w:r w:rsidR="00B42F5B" w:rsidRPr="005B2BBD">
        <w:rPr>
          <w:lang w:val="ru-RU"/>
        </w:rPr>
        <w:t>(ЮНКТАД) в Женеве в ноябре 2023 года, и принял участие в работе Сети по космосу и глобальному здравоохранению во время 61-й сессии Научно-технического подкомитета Комитета по использованию космического пространства в мирных целях.</w:t>
      </w:r>
    </w:p>
    <w:bookmarkEnd w:id="136"/>
    <w:p w14:paraId="47148388" w14:textId="77777777" w:rsidR="00B42F5B" w:rsidRPr="002C6523" w:rsidRDefault="00B42F5B" w:rsidP="00B42F5B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C6523">
        <w:rPr>
          <w:lang w:val="ru-RU"/>
        </w:rPr>
        <w:br w:type="page"/>
      </w:r>
    </w:p>
    <w:p w14:paraId="7906CA60" w14:textId="77777777" w:rsidR="00B42F5B" w:rsidRPr="002C6523" w:rsidRDefault="00B42F5B" w:rsidP="00B42F5B">
      <w:pPr>
        <w:pStyle w:val="AnnexNo"/>
        <w:rPr>
          <w:lang w:val="ru-RU"/>
        </w:rPr>
      </w:pPr>
      <w:bookmarkStart w:id="137" w:name="lt_pId5258"/>
      <w:bookmarkStart w:id="138" w:name="Annex3"/>
      <w:r w:rsidRPr="002C6523">
        <w:rPr>
          <w:lang w:val="ru-RU"/>
        </w:rPr>
        <w:lastRenderedPageBreak/>
        <w:t>ПРИЛОЖЕНИЕ 3</w:t>
      </w:r>
      <w:bookmarkEnd w:id="137"/>
      <w:bookmarkEnd w:id="138"/>
    </w:p>
    <w:p w14:paraId="148EBA24" w14:textId="77777777" w:rsidR="00B42F5B" w:rsidRPr="002C6523" w:rsidRDefault="00B42F5B" w:rsidP="00B42F5B">
      <w:pPr>
        <w:pStyle w:val="Annextitle"/>
        <w:rPr>
          <w:lang w:val="ru-RU"/>
        </w:rPr>
      </w:pPr>
      <w:bookmarkStart w:id="139" w:name="lt_pId5259"/>
      <w:bookmarkStart w:id="140" w:name="_Hlk132818415"/>
      <w:r w:rsidRPr="002C6523">
        <w:rPr>
          <w:lang w:val="ru-RU"/>
        </w:rPr>
        <w:t>Межучрежденческие совещания ООН по космической деятельности (ООН</w:t>
      </w:r>
      <w:r w:rsidRPr="002C6523">
        <w:rPr>
          <w:lang w:val="ru-RU"/>
        </w:rPr>
        <w:noBreakHyphen/>
      </w:r>
      <w:r>
        <w:rPr>
          <w:lang w:val="ru-RU"/>
        </w:rPr>
        <w:t>к</w:t>
      </w:r>
      <w:r w:rsidRPr="002C6523">
        <w:rPr>
          <w:lang w:val="ru-RU"/>
        </w:rPr>
        <w:t>осмос)</w:t>
      </w:r>
    </w:p>
    <w:p w14:paraId="4287B4E5" w14:textId="77777777" w:rsidR="00B42F5B" w:rsidRPr="002C6523" w:rsidRDefault="00B42F5B" w:rsidP="00B42F5B">
      <w:pPr>
        <w:pStyle w:val="Normalaftertitle"/>
        <w:rPr>
          <w:lang w:val="ru-RU"/>
        </w:rPr>
      </w:pPr>
      <w:bookmarkStart w:id="141" w:name="lt_pId5260"/>
      <w:bookmarkEnd w:id="139"/>
      <w:bookmarkEnd w:id="140"/>
      <w:r w:rsidRPr="002C6523">
        <w:rPr>
          <w:lang w:val="ru-RU"/>
        </w:rPr>
        <w:t>Межучрежденческие совещания ООН по космической деятельности начали свою работу в середине 1970-х годов, а в декабре 2013 года в резолюции Генеральной Ассамблеи</w:t>
      </w:r>
      <w:r>
        <w:rPr>
          <w:lang w:val="ru-RU"/>
        </w:rPr>
        <w:t xml:space="preserve"> </w:t>
      </w:r>
      <w:r>
        <w:t>A</w:t>
      </w:r>
      <w:r w:rsidRPr="00D61BF2">
        <w:rPr>
          <w:lang w:val="ru-RU"/>
        </w:rPr>
        <w:t>/</w:t>
      </w:r>
      <w:r>
        <w:t>RES</w:t>
      </w:r>
      <w:r w:rsidRPr="00D61BF2">
        <w:rPr>
          <w:lang w:val="ru-RU"/>
        </w:rPr>
        <w:t>/68/75</w:t>
      </w:r>
      <w:r w:rsidRPr="002C6523">
        <w:rPr>
          <w:lang w:val="ru-RU"/>
        </w:rPr>
        <w:t xml:space="preserve"> их впервые стали именовать </w:t>
      </w:r>
      <w:r>
        <w:rPr>
          <w:lang w:val="ru-RU"/>
        </w:rPr>
        <w:t>"ООН-космос"</w:t>
      </w:r>
      <w:r w:rsidRPr="002C6523">
        <w:rPr>
          <w:lang w:val="ru-RU"/>
        </w:rPr>
        <w:t>.</w:t>
      </w:r>
    </w:p>
    <w:p w14:paraId="6B338969" w14:textId="504DD146" w:rsidR="00B42F5B" w:rsidRPr="002C6523" w:rsidRDefault="00B42F5B" w:rsidP="00B42F5B">
      <w:pPr>
        <w:rPr>
          <w:lang w:val="ru-RU"/>
        </w:rPr>
      </w:pPr>
      <w:r>
        <w:rPr>
          <w:lang w:val="ru-RU"/>
        </w:rPr>
        <w:t>"ООН-космос"</w:t>
      </w:r>
      <w:r w:rsidRPr="002C6523">
        <w:rPr>
          <w:lang w:val="ru-RU"/>
        </w:rPr>
        <w:t xml:space="preserve"> </w:t>
      </w:r>
      <w:r w:rsidR="00DB46E9" w:rsidRPr="00DB46E9">
        <w:rPr>
          <w:lang w:val="ru-RU"/>
        </w:rPr>
        <w:t xml:space="preserve">− </w:t>
      </w:r>
      <w:r w:rsidRPr="002C6523">
        <w:rPr>
          <w:lang w:val="ru-RU"/>
        </w:rPr>
        <w:t>это механизм оказания содействия сотрудничеству и синергии, обмену информацией и координации планов и программ учреждений системы Организации Объединенных Наций (департаментов, управлений, фондов, программ и специализированных учреждений) в осуществлении деятельности, связанной с использованием космических технологий и их применений.</w:t>
      </w:r>
    </w:p>
    <w:bookmarkEnd w:id="141"/>
    <w:p w14:paraId="332B6147" w14:textId="77777777" w:rsidR="00B42F5B" w:rsidRPr="002C6523" w:rsidRDefault="00B42F5B" w:rsidP="00B42F5B">
      <w:pPr>
        <w:rPr>
          <w:lang w:val="ru-RU"/>
        </w:rPr>
      </w:pPr>
      <w:r w:rsidRPr="002C6523">
        <w:rPr>
          <w:lang w:val="ru-RU"/>
        </w:rPr>
        <w:t xml:space="preserve">Возглавляет </w:t>
      </w:r>
      <w:r>
        <w:rPr>
          <w:lang w:val="ru-RU"/>
        </w:rPr>
        <w:t>"ООН-космос"</w:t>
      </w:r>
      <w:r w:rsidRPr="002C6523">
        <w:rPr>
          <w:lang w:val="ru-RU"/>
        </w:rPr>
        <w:t xml:space="preserve"> и выполняет функции его секретариата Управление по вопросам космического пространства. В механизме принимают участие 35 учреждений Организации Объединенных Наций</w:t>
      </w:r>
      <w:bookmarkStart w:id="142" w:name="lt_pId5264"/>
      <w:r w:rsidRPr="002C6523">
        <w:rPr>
          <w:lang w:val="ru-RU"/>
        </w:rPr>
        <w:t xml:space="preserve"> </w:t>
      </w:r>
      <w:r w:rsidRPr="002C6523">
        <w:rPr>
          <w:rFonts w:asciiTheme="minorHAnsi" w:hAnsiTheme="minorHAnsi" w:cstheme="minorHAnsi"/>
          <w:szCs w:val="24"/>
          <w:lang w:val="ru-RU"/>
        </w:rPr>
        <w:t>(</w:t>
      </w:r>
      <w:hyperlink r:id="rId27" w:history="1">
        <w:r w:rsidRPr="00AF11F3">
          <w:rPr>
            <w:rStyle w:val="Hyperlink"/>
            <w:rFonts w:cstheme="minorHAnsi"/>
            <w:lang w:val="ru-RU"/>
          </w:rPr>
          <w:t>https</w:t>
        </w:r>
        <w:r w:rsidRPr="00AF11F3">
          <w:rPr>
            <w:rStyle w:val="Hyperlink"/>
            <w:rFonts w:cstheme="minorHAnsi"/>
          </w:rPr>
          <w:t>://</w:t>
        </w:r>
        <w:r w:rsidRPr="00AF11F3">
          <w:rPr>
            <w:rStyle w:val="Hyperlink"/>
            <w:rFonts w:cstheme="minorHAnsi"/>
            <w:lang w:val="ru-RU"/>
          </w:rPr>
          <w:t>www</w:t>
        </w:r>
        <w:r w:rsidRPr="00AF11F3">
          <w:rPr>
            <w:rStyle w:val="Hyperlink"/>
            <w:rFonts w:cstheme="minorHAnsi"/>
          </w:rPr>
          <w:t>.</w:t>
        </w:r>
        <w:r w:rsidRPr="00AF11F3">
          <w:rPr>
            <w:rStyle w:val="Hyperlink"/>
            <w:rFonts w:cstheme="minorHAnsi"/>
            <w:lang w:val="ru-RU"/>
          </w:rPr>
          <w:t>unoosa</w:t>
        </w:r>
        <w:r w:rsidRPr="00AF11F3">
          <w:rPr>
            <w:rStyle w:val="Hyperlink"/>
            <w:rFonts w:cstheme="minorHAnsi"/>
          </w:rPr>
          <w:t>.</w:t>
        </w:r>
        <w:r w:rsidRPr="00AF11F3">
          <w:rPr>
            <w:rStyle w:val="Hyperlink"/>
            <w:rFonts w:cstheme="minorHAnsi"/>
            <w:lang w:val="ru-RU"/>
          </w:rPr>
          <w:t>org</w:t>
        </w:r>
        <w:r w:rsidRPr="00AF11F3">
          <w:rPr>
            <w:rStyle w:val="Hyperlink"/>
            <w:rFonts w:cstheme="minorHAnsi"/>
          </w:rPr>
          <w:t>/</w:t>
        </w:r>
        <w:r w:rsidRPr="00AF11F3">
          <w:rPr>
            <w:rStyle w:val="Hyperlink"/>
            <w:rFonts w:cstheme="minorHAnsi"/>
            <w:lang w:val="ru-RU"/>
          </w:rPr>
          <w:t>oosa</w:t>
        </w:r>
        <w:r w:rsidRPr="00AF11F3">
          <w:rPr>
            <w:rStyle w:val="Hyperlink"/>
            <w:rFonts w:cstheme="minorHAnsi"/>
          </w:rPr>
          <w:t>/</w:t>
        </w:r>
        <w:r w:rsidRPr="00AF11F3">
          <w:rPr>
            <w:rStyle w:val="Hyperlink"/>
            <w:rFonts w:cstheme="minorHAnsi"/>
            <w:lang w:val="ru-RU"/>
          </w:rPr>
          <w:t>en</w:t>
        </w:r>
        <w:r w:rsidRPr="00AF11F3">
          <w:rPr>
            <w:rStyle w:val="Hyperlink"/>
            <w:rFonts w:cstheme="minorHAnsi"/>
          </w:rPr>
          <w:t>/</w:t>
        </w:r>
        <w:r w:rsidRPr="00AF11F3">
          <w:rPr>
            <w:rStyle w:val="Hyperlink"/>
            <w:rFonts w:cstheme="minorHAnsi"/>
            <w:lang w:val="ru-RU"/>
          </w:rPr>
          <w:t>ourwork</w:t>
        </w:r>
        <w:r w:rsidRPr="00AF11F3">
          <w:rPr>
            <w:rStyle w:val="Hyperlink"/>
            <w:rFonts w:cstheme="minorHAnsi"/>
          </w:rPr>
          <w:t>/</w:t>
        </w:r>
        <w:r w:rsidRPr="00AF11F3">
          <w:rPr>
            <w:rStyle w:val="Hyperlink"/>
            <w:rFonts w:cstheme="minorHAnsi"/>
            <w:lang w:val="ru-RU"/>
          </w:rPr>
          <w:t>un</w:t>
        </w:r>
        <w:r w:rsidRPr="00AF11F3">
          <w:rPr>
            <w:rStyle w:val="Hyperlink"/>
            <w:rFonts w:cstheme="minorHAnsi"/>
          </w:rPr>
          <w:t>-</w:t>
        </w:r>
        <w:r w:rsidRPr="00AF11F3">
          <w:rPr>
            <w:rStyle w:val="Hyperlink"/>
            <w:rFonts w:cstheme="minorHAnsi"/>
            <w:lang w:val="ru-RU"/>
          </w:rPr>
          <w:t>space</w:t>
        </w:r>
        <w:r w:rsidRPr="00AF11F3">
          <w:rPr>
            <w:rStyle w:val="Hyperlink"/>
            <w:rFonts w:cstheme="minorHAnsi"/>
          </w:rPr>
          <w:t>/</w:t>
        </w:r>
        <w:r w:rsidRPr="00AF11F3">
          <w:rPr>
            <w:rStyle w:val="Hyperlink"/>
            <w:rFonts w:cstheme="minorHAnsi"/>
            <w:lang w:val="ru-RU"/>
          </w:rPr>
          <w:t>po</w:t>
        </w:r>
        <w:r w:rsidRPr="00AF11F3">
          <w:rPr>
            <w:rStyle w:val="Hyperlink"/>
            <w:rFonts w:cstheme="minorHAnsi"/>
          </w:rPr>
          <w:t>.</w:t>
        </w:r>
        <w:r w:rsidRPr="00AF11F3">
          <w:rPr>
            <w:rStyle w:val="Hyperlink"/>
            <w:rFonts w:cstheme="minorHAnsi"/>
            <w:lang w:val="ru-RU"/>
          </w:rPr>
          <w:t>html</w:t>
        </w:r>
      </w:hyperlink>
      <w:r w:rsidRPr="002C6523">
        <w:rPr>
          <w:rFonts w:asciiTheme="minorHAnsi" w:hAnsiTheme="minorHAnsi" w:cstheme="minorHAnsi"/>
          <w:szCs w:val="24"/>
          <w:lang w:val="ru-RU"/>
        </w:rPr>
        <w:t>)</w:t>
      </w:r>
      <w:bookmarkEnd w:id="142"/>
      <w:r w:rsidRPr="002C6523">
        <w:rPr>
          <w:rFonts w:asciiTheme="minorHAnsi" w:hAnsiTheme="minorHAnsi" w:cstheme="minorHAnsi"/>
          <w:szCs w:val="24"/>
          <w:lang w:val="ru-RU"/>
        </w:rPr>
        <w:t>.</w:t>
      </w:r>
    </w:p>
    <w:p w14:paraId="223FBC6F" w14:textId="0DCDDEF1" w:rsidR="00B42F5B" w:rsidRPr="002C6523" w:rsidRDefault="00B42F5B" w:rsidP="001F50D9">
      <w:pPr>
        <w:rPr>
          <w:lang w:val="ru-RU"/>
        </w:rPr>
      </w:pPr>
      <w:r w:rsidRPr="002C6523">
        <w:rPr>
          <w:lang w:val="ru-RU"/>
        </w:rPr>
        <w:t xml:space="preserve">На </w:t>
      </w:r>
      <w:hyperlink r:id="rId28" w:history="1">
        <w:r w:rsidRPr="002C6523">
          <w:rPr>
            <w:rStyle w:val="Hyperlink"/>
            <w:rFonts w:cstheme="minorHAnsi"/>
            <w:szCs w:val="22"/>
            <w:lang w:val="ru-RU"/>
          </w:rPr>
          <w:t>66-й сессии</w:t>
        </w:r>
      </w:hyperlink>
      <w:r w:rsidRPr="002C6523">
        <w:rPr>
          <w:lang w:val="ru-RU"/>
        </w:rPr>
        <w:t xml:space="preserve"> в июне 2023 года Комитет по использованию космического пространства в мирных целях (КОПУОС) продолжил призывать учреждения системы Организации Объединенных Наций к участию, по мере необходимости, в координационных усилиях </w:t>
      </w:r>
      <w:r>
        <w:rPr>
          <w:lang w:val="ru-RU"/>
        </w:rPr>
        <w:t>"ООН</w:t>
      </w:r>
      <w:r w:rsidR="00AF11F3">
        <w:rPr>
          <w:lang w:val="ru-RU"/>
        </w:rPr>
        <w:noBreakHyphen/>
      </w:r>
      <w:r>
        <w:rPr>
          <w:lang w:val="ru-RU"/>
        </w:rPr>
        <w:t>космос"</w:t>
      </w:r>
      <w:r w:rsidRPr="002C6523">
        <w:rPr>
          <w:lang w:val="ru-RU"/>
        </w:rPr>
        <w:t>.</w:t>
      </w:r>
    </w:p>
    <w:p w14:paraId="022CA76C" w14:textId="77777777" w:rsidR="00B42F5B" w:rsidRPr="002C6523" w:rsidRDefault="00B42F5B" w:rsidP="001F50D9">
      <w:pPr>
        <w:rPr>
          <w:lang w:val="ru-RU"/>
        </w:rPr>
      </w:pPr>
      <w:r w:rsidRPr="002C6523">
        <w:rPr>
          <w:lang w:val="ru-RU"/>
        </w:rPr>
        <w:t xml:space="preserve">42-я </w:t>
      </w:r>
      <w:r w:rsidRPr="002C6523">
        <w:rPr>
          <w:rFonts w:cstheme="minorBidi"/>
          <w:szCs w:val="18"/>
          <w:lang w:val="ru-RU"/>
        </w:rPr>
        <w:t>сессия</w:t>
      </w:r>
      <w:r w:rsidRPr="002C6523">
        <w:rPr>
          <w:lang w:val="ru-RU"/>
        </w:rPr>
        <w:t xml:space="preserve"> </w:t>
      </w:r>
      <w:r>
        <w:rPr>
          <w:lang w:val="ru-RU"/>
        </w:rPr>
        <w:t>"ООН-космос"</w:t>
      </w:r>
      <w:r w:rsidRPr="002C6523">
        <w:rPr>
          <w:lang w:val="ru-RU"/>
        </w:rPr>
        <w:t xml:space="preserve"> состоялась 18 октября 2023 года и была организована Службой геопространственных, информационных и телекоммуникационных технологий Глобального центра обслуживания Организации Объединенных Наций (ГЦО ООН) в Бриндизи, Италия.</w:t>
      </w:r>
    </w:p>
    <w:p w14:paraId="061F9D73" w14:textId="77777777" w:rsidR="00B42F5B" w:rsidRPr="002C6523" w:rsidRDefault="00B42F5B" w:rsidP="001F50D9">
      <w:pPr>
        <w:rPr>
          <w:lang w:val="ru-RU"/>
        </w:rPr>
      </w:pPr>
      <w:r w:rsidRPr="002C6523">
        <w:rPr>
          <w:lang w:val="ru-RU"/>
        </w:rPr>
        <w:t xml:space="preserve">В рамках сессии обсуждались обновленная информация о последних событиях в мирном использовании космического пространства, повестка дня "Космос-2030", а также </w:t>
      </w:r>
      <w:r w:rsidRPr="002C6523">
        <w:rPr>
          <w:rFonts w:cstheme="minorBidi"/>
          <w:szCs w:val="18"/>
          <w:lang w:val="ru-RU"/>
        </w:rPr>
        <w:t>взаимосвязь</w:t>
      </w:r>
      <w:r w:rsidRPr="002C6523">
        <w:rPr>
          <w:lang w:val="ru-RU"/>
        </w:rPr>
        <w:t xml:space="preserve"> </w:t>
      </w:r>
      <w:r>
        <w:rPr>
          <w:lang w:val="ru-RU"/>
        </w:rPr>
        <w:t>"ООН-космос"</w:t>
      </w:r>
      <w:r w:rsidRPr="002C6523">
        <w:rPr>
          <w:lang w:val="ru-RU"/>
        </w:rPr>
        <w:t xml:space="preserve"> с документом "Концептуальная записка 7 для "Нашей общей повестки дня". Для всего человечества: будущность управления космической деятельностью" (</w:t>
      </w:r>
      <w:hyperlink r:id="rId29" w:history="1">
        <w:r w:rsidRPr="002C6523">
          <w:rPr>
            <w:rStyle w:val="Hyperlink"/>
            <w:rFonts w:cstheme="minorHAnsi"/>
            <w:szCs w:val="22"/>
            <w:lang w:val="ru-RU"/>
          </w:rPr>
          <w:t>https://www.un.org/sites/un2.un.org/files/our-common-agenda-policy-brief-outer-space-en.pdf</w:t>
        </w:r>
      </w:hyperlink>
      <w:r w:rsidRPr="002C6523">
        <w:rPr>
          <w:lang w:val="ru-RU"/>
        </w:rPr>
        <w:t>).</w:t>
      </w:r>
    </w:p>
    <w:p w14:paraId="05E7F5A3" w14:textId="2E5F2FFA" w:rsidR="00B42F5B" w:rsidRPr="002C6523" w:rsidRDefault="00B42F5B" w:rsidP="001F50D9">
      <w:pPr>
        <w:rPr>
          <w:rFonts w:cstheme="minorBidi"/>
          <w:szCs w:val="18"/>
          <w:lang w:val="ru-RU"/>
        </w:rPr>
      </w:pPr>
      <w:r w:rsidRPr="002C6523">
        <w:rPr>
          <w:rFonts w:cstheme="minorBidi"/>
          <w:szCs w:val="18"/>
          <w:lang w:val="ru-RU"/>
        </w:rPr>
        <w:t>В этой концептуальной записке отмечается принятие Повестки дня "Космос-2030" и важность связи между космическим пространством и Повесткой дня в области устойчивого развития. В</w:t>
      </w:r>
      <w:r w:rsidR="00AF11F3">
        <w:rPr>
          <w:rFonts w:cstheme="minorBidi"/>
          <w:szCs w:val="18"/>
          <w:lang w:val="ru-RU"/>
        </w:rPr>
        <w:t> </w:t>
      </w:r>
      <w:r w:rsidRPr="002C6523">
        <w:rPr>
          <w:rFonts w:cstheme="minorBidi"/>
          <w:szCs w:val="18"/>
          <w:lang w:val="ru-RU"/>
        </w:rPr>
        <w:t xml:space="preserve">ней учреждениям системы Организации Объединенных Наций рекомендуется усиливать свое сотрудничество, в том числе по линии </w:t>
      </w:r>
      <w:r>
        <w:rPr>
          <w:rFonts w:cstheme="minorBidi"/>
          <w:szCs w:val="18"/>
          <w:lang w:val="ru-RU"/>
        </w:rPr>
        <w:t>"ООН-космос"</w:t>
      </w:r>
      <w:r w:rsidRPr="002C6523">
        <w:rPr>
          <w:rFonts w:cstheme="minorBidi"/>
          <w:szCs w:val="18"/>
          <w:lang w:val="ru-RU"/>
        </w:rPr>
        <w:t>, стремясь лучше координировать взаимный обмен данными, наращивать потенциал системы Организации Объединенных Наций и сотрудничать в деле приобретения информации, получаемой из космоса. МСЭ активно участвовал в разработке этой концептуальной записки под руководством Канцелярии Генерального секретаря ООН совместно с Управлением ООН по вопросам разоружения (УВР ООН) и Управлением ООН по вопросам космического пространства (УВКП ООН). МСЭ представил информацию о 60 годах работы Союза по вопросам космоса, благодаря которой множество регламентарных положений вошли в договоры МСЭ, а также предоставил данные из Международного справочного регистра частот. В этой концептуальной записке, в частности, признается, что "МСЭ располагает институциональными механизмами для рассмотрения потребностей будущих космических полетов с точки зрения связи".</w:t>
      </w:r>
    </w:p>
    <w:p w14:paraId="2EC722CE" w14:textId="77777777" w:rsidR="00B42F5B" w:rsidRPr="002C6523" w:rsidRDefault="00B42F5B" w:rsidP="001F50D9">
      <w:pPr>
        <w:rPr>
          <w:rFonts w:cstheme="minorBidi"/>
          <w:szCs w:val="18"/>
          <w:lang w:val="ru-RU"/>
        </w:rPr>
      </w:pPr>
      <w:r w:rsidRPr="002C6523">
        <w:rPr>
          <w:rFonts w:cstheme="minorBidi"/>
          <w:szCs w:val="18"/>
          <w:lang w:val="ru-RU"/>
        </w:rPr>
        <w:t xml:space="preserve">Участники </w:t>
      </w:r>
      <w:r>
        <w:rPr>
          <w:rFonts w:cstheme="minorBidi"/>
          <w:szCs w:val="18"/>
          <w:lang w:val="ru-RU"/>
        </w:rPr>
        <w:t>"ООН-космос"</w:t>
      </w:r>
      <w:r w:rsidRPr="002C6523">
        <w:rPr>
          <w:rFonts w:cstheme="minorBidi"/>
          <w:szCs w:val="18"/>
          <w:lang w:val="ru-RU"/>
        </w:rPr>
        <w:t xml:space="preserve"> договорились пересмотреть свою организацию, добавить направления работы в космическом секторе и проводить виртуальные собрания между сессиями. </w:t>
      </w:r>
      <w:r>
        <w:rPr>
          <w:rFonts w:cstheme="minorBidi"/>
          <w:szCs w:val="18"/>
          <w:lang w:val="ru-RU"/>
        </w:rPr>
        <w:t>"ООН-космос"</w:t>
      </w:r>
      <w:r w:rsidRPr="002C6523">
        <w:rPr>
          <w:rFonts w:cstheme="minorBidi"/>
          <w:szCs w:val="18"/>
          <w:lang w:val="ru-RU"/>
        </w:rPr>
        <w:t xml:space="preserve"> представит </w:t>
      </w:r>
      <w:r>
        <w:rPr>
          <w:rFonts w:cstheme="minorBidi"/>
          <w:szCs w:val="18"/>
          <w:lang w:val="ru-RU"/>
        </w:rPr>
        <w:t>доклад</w:t>
      </w:r>
      <w:r w:rsidRPr="002C6523">
        <w:rPr>
          <w:rFonts w:cstheme="minorBidi"/>
          <w:szCs w:val="18"/>
          <w:lang w:val="ru-RU"/>
        </w:rPr>
        <w:t xml:space="preserve"> Генеральному секретарю ООН по вопросам координации космической деятельности в рамках системы Организации Объединенных Наций. Этот </w:t>
      </w:r>
      <w:r>
        <w:rPr>
          <w:rFonts w:cstheme="minorBidi"/>
          <w:szCs w:val="18"/>
          <w:lang w:val="ru-RU"/>
        </w:rPr>
        <w:t>доклад</w:t>
      </w:r>
      <w:r w:rsidRPr="002C6523">
        <w:rPr>
          <w:rFonts w:cstheme="minorBidi"/>
          <w:szCs w:val="18"/>
          <w:lang w:val="ru-RU"/>
        </w:rPr>
        <w:t xml:space="preserve"> также будет представлен Комитету по использованию космического пространства в мирных целях в июне 2024 года.</w:t>
      </w:r>
    </w:p>
    <w:p w14:paraId="288F170D" w14:textId="77777777" w:rsidR="00B42F5B" w:rsidRPr="002C6523" w:rsidRDefault="00B42F5B" w:rsidP="001F50D9">
      <w:pPr>
        <w:rPr>
          <w:rFonts w:cstheme="minorBidi"/>
          <w:szCs w:val="18"/>
          <w:lang w:val="ru-RU"/>
        </w:rPr>
      </w:pPr>
      <w:r w:rsidRPr="002C6523">
        <w:rPr>
          <w:rFonts w:cstheme="minorBidi"/>
          <w:szCs w:val="18"/>
          <w:lang w:val="ru-RU"/>
        </w:rPr>
        <w:lastRenderedPageBreak/>
        <w:t xml:space="preserve">В целях подведения итогов тематической деятельности учреждений Организации Объединенных Наций "ООН-космос" раз в два года готовит </w:t>
      </w:r>
      <w:hyperlink r:id="rId30" w:history="1">
        <w:r w:rsidRPr="002C6523">
          <w:rPr>
            <w:rStyle w:val="Hyperlink"/>
            <w:rFonts w:cstheme="minorBidi"/>
            <w:szCs w:val="18"/>
            <w:lang w:val="ru-RU"/>
          </w:rPr>
          <w:t xml:space="preserve">специальные </w:t>
        </w:r>
        <w:r>
          <w:rPr>
            <w:rStyle w:val="Hyperlink"/>
            <w:rFonts w:cstheme="minorBidi"/>
            <w:szCs w:val="18"/>
            <w:lang w:val="ru-RU"/>
          </w:rPr>
          <w:t>доклады</w:t>
        </w:r>
      </w:hyperlink>
      <w:r w:rsidRPr="002C6523">
        <w:rPr>
          <w:rFonts w:cstheme="minorBidi"/>
          <w:szCs w:val="18"/>
          <w:lang w:val="ru-RU"/>
        </w:rPr>
        <w:t xml:space="preserve"> для представления КОПУОС. МСЭ вносит вклад в подготовку этих специальных </w:t>
      </w:r>
      <w:r>
        <w:rPr>
          <w:rFonts w:cstheme="minorBidi"/>
          <w:szCs w:val="18"/>
          <w:lang w:val="ru-RU"/>
        </w:rPr>
        <w:t>докладов</w:t>
      </w:r>
      <w:r w:rsidRPr="002C6523">
        <w:rPr>
          <w:rFonts w:cstheme="minorBidi"/>
          <w:szCs w:val="18"/>
          <w:lang w:val="ru-RU"/>
        </w:rPr>
        <w:t xml:space="preserve">, предоставляя сведения об инициативах и способах межведомственного сотрудничества в области космоса. Последний </w:t>
      </w:r>
      <w:r>
        <w:rPr>
          <w:rFonts w:cstheme="minorBidi"/>
          <w:szCs w:val="18"/>
          <w:lang w:val="ru-RU"/>
        </w:rPr>
        <w:t>доклад</w:t>
      </w:r>
      <w:r w:rsidRPr="002C6523">
        <w:rPr>
          <w:rFonts w:cstheme="minorBidi"/>
          <w:szCs w:val="18"/>
          <w:lang w:val="ru-RU"/>
        </w:rPr>
        <w:t xml:space="preserve"> вышел в 2022 году под заголовком </w:t>
      </w:r>
      <w:hyperlink r:id="rId31" w:history="1">
        <w:r w:rsidRPr="005B2BBD">
          <w:rPr>
            <w:lang w:val="ru-RU"/>
          </w:rPr>
          <w:t>"</w:t>
        </w:r>
        <w:r w:rsidRPr="002C6523">
          <w:rPr>
            <w:rStyle w:val="Hyperlink"/>
            <w:rFonts w:cstheme="minorBidi"/>
            <w:szCs w:val="18"/>
            <w:lang w:val="ru-RU"/>
          </w:rPr>
          <w:t>Космос и борьба с изменением климата</w:t>
        </w:r>
        <w:r w:rsidRPr="005B2BBD">
          <w:rPr>
            <w:lang w:val="ru-RU"/>
          </w:rPr>
          <w:t>"</w:t>
        </w:r>
      </w:hyperlink>
      <w:r w:rsidRPr="002C6523">
        <w:rPr>
          <w:rFonts w:cstheme="minorBidi"/>
          <w:szCs w:val="18"/>
          <w:lang w:val="ru-RU"/>
        </w:rPr>
        <w:t>.</w:t>
      </w:r>
    </w:p>
    <w:p w14:paraId="02A16DAA" w14:textId="77777777" w:rsidR="001F50D9" w:rsidRPr="00EA3C31" w:rsidRDefault="001F50D9" w:rsidP="001F50D9">
      <w:pPr>
        <w:spacing w:before="720"/>
        <w:jc w:val="center"/>
        <w:rPr>
          <w:bCs/>
          <w:iCs/>
          <w:lang w:val="ru-RU"/>
        </w:rPr>
      </w:pPr>
      <w:r w:rsidRPr="00EA3C31">
        <w:rPr>
          <w:lang w:val="ru-RU"/>
        </w:rPr>
        <w:t>______________</w:t>
      </w:r>
    </w:p>
    <w:sectPr w:rsidR="001F50D9" w:rsidRPr="00EA3C31" w:rsidSect="00796BD3">
      <w:footerReference w:type="default" r:id="rId32"/>
      <w:headerReference w:type="first" r:id="rId33"/>
      <w:footerReference w:type="first" r:id="rId3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7444" w14:textId="77777777" w:rsidR="00B42F5B" w:rsidRDefault="00B42F5B">
      <w:r>
        <w:separator/>
      </w:r>
    </w:p>
  </w:endnote>
  <w:endnote w:type="continuationSeparator" w:id="0">
    <w:p w14:paraId="41B15838" w14:textId="77777777" w:rsidR="00B42F5B" w:rsidRDefault="00B4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66CC00C" w14:textId="77777777" w:rsidTr="00E31DCE">
      <w:trPr>
        <w:jc w:val="center"/>
      </w:trPr>
      <w:tc>
        <w:tcPr>
          <w:tcW w:w="1803" w:type="dxa"/>
          <w:vAlign w:val="center"/>
        </w:tcPr>
        <w:p w14:paraId="414CD0BB" w14:textId="0E6F921A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AF0795D" w14:textId="7C82169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B42F5B">
            <w:rPr>
              <w:bCs/>
            </w:rPr>
            <w:t>36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5106F58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EB260D4" w14:textId="77777777" w:rsidTr="00E31DCE">
      <w:trPr>
        <w:jc w:val="center"/>
      </w:trPr>
      <w:tc>
        <w:tcPr>
          <w:tcW w:w="1803" w:type="dxa"/>
          <w:vAlign w:val="center"/>
        </w:tcPr>
        <w:p w14:paraId="6A12453E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9F748D8" w14:textId="596748BA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B42F5B">
            <w:rPr>
              <w:bCs/>
            </w:rPr>
            <w:t>36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C39A778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AB58" w14:textId="77777777" w:rsidR="00B42F5B" w:rsidRDefault="00B42F5B">
      <w:r>
        <w:t>____________________</w:t>
      </w:r>
    </w:p>
  </w:footnote>
  <w:footnote w:type="continuationSeparator" w:id="0">
    <w:p w14:paraId="4D165054" w14:textId="77777777" w:rsidR="00B42F5B" w:rsidRDefault="00B42F5B">
      <w:r>
        <w:continuationSeparator/>
      </w:r>
    </w:p>
  </w:footnote>
  <w:footnote w:id="1">
    <w:p w14:paraId="147414FC" w14:textId="6E81A282" w:rsidR="00B42F5B" w:rsidRPr="00B626FD" w:rsidRDefault="00B42F5B" w:rsidP="00B42F5B">
      <w:pPr>
        <w:pStyle w:val="FootnoteText"/>
        <w:rPr>
          <w:lang w:val="ru-RU"/>
        </w:rPr>
      </w:pPr>
      <w:r w:rsidRPr="00B626FD">
        <w:rPr>
          <w:rStyle w:val="FootnoteReference"/>
        </w:rPr>
        <w:footnoteRef/>
      </w:r>
      <w:r w:rsidR="00B70753" w:rsidRPr="005B2BBD">
        <w:rPr>
          <w:lang w:val="ru-RU"/>
        </w:rPr>
        <w:tab/>
      </w:r>
      <w:r w:rsidRPr="00B626FD">
        <w:rPr>
          <w:lang w:val="ru-RU"/>
        </w:rPr>
        <w:t>См. Резолюцию 99 (Пересм. Анталия, 2006 г.) Полномочной конференции.</w:t>
      </w:r>
    </w:p>
  </w:footnote>
  <w:footnote w:id="2">
    <w:p w14:paraId="4455B10F" w14:textId="370EB9CA" w:rsidR="00B42F5B" w:rsidRPr="00B626FD" w:rsidRDefault="00B42F5B" w:rsidP="00B42F5B">
      <w:pPr>
        <w:pStyle w:val="FootnoteText"/>
        <w:rPr>
          <w:lang w:val="ru-RU"/>
        </w:rPr>
      </w:pPr>
      <w:r w:rsidRPr="00B626FD">
        <w:rPr>
          <w:rStyle w:val="FootnoteReference"/>
        </w:rPr>
        <w:footnoteRef/>
      </w:r>
      <w:r w:rsidRPr="00B626FD">
        <w:rPr>
          <w:lang w:val="ru-RU"/>
        </w:rPr>
        <w:tab/>
      </w:r>
      <w:bookmarkStart w:id="122" w:name="lt_pId5274"/>
      <w:r w:rsidRPr="00B626FD">
        <w:rPr>
          <w:rFonts w:asciiTheme="minorHAnsi" w:hAnsiTheme="minorHAnsi" w:cstheme="minorHAnsi"/>
          <w:szCs w:val="22"/>
          <w:lang w:val="ru-RU"/>
        </w:rPr>
        <w:t xml:space="preserve">Повестка дня в области устойчивого развития на период до 2030 года, </w:t>
      </w:r>
      <w:r w:rsidRPr="00B626FD">
        <w:rPr>
          <w:lang w:val="ru-RU"/>
        </w:rPr>
        <w:t>Сендайская рамочная программа по снижению риска бедствий на 2015</w:t>
      </w:r>
      <w:r w:rsidR="00B70753" w:rsidRPr="00B70753">
        <w:rPr>
          <w:lang w:val="ru-RU"/>
        </w:rPr>
        <w:t>−</w:t>
      </w:r>
      <w:r w:rsidRPr="00B626FD">
        <w:rPr>
          <w:lang w:val="ru-RU"/>
        </w:rPr>
        <w:t>2030 годы и Парижское соглашение.</w:t>
      </w:r>
      <w:bookmarkEnd w:id="122"/>
    </w:p>
  </w:footnote>
  <w:footnote w:id="3">
    <w:p w14:paraId="2676580E" w14:textId="5AF9F45A" w:rsidR="00B42F5B" w:rsidRPr="00B626FD" w:rsidRDefault="00B42F5B" w:rsidP="00B42F5B">
      <w:pPr>
        <w:pStyle w:val="FootnoteText"/>
        <w:rPr>
          <w:lang w:val="ru-RU"/>
        </w:rPr>
      </w:pPr>
      <w:r w:rsidRPr="00B626FD">
        <w:rPr>
          <w:rStyle w:val="FootnoteReference"/>
        </w:rPr>
        <w:footnoteRef/>
      </w:r>
      <w:r w:rsidR="001F50D9" w:rsidRPr="005B2BBD">
        <w:rPr>
          <w:lang w:val="ru-RU"/>
        </w:rPr>
        <w:tab/>
      </w:r>
      <w:r w:rsidRPr="00B626FD">
        <w:rPr>
          <w:lang w:val="ru-RU"/>
        </w:rPr>
        <w:t xml:space="preserve">Резолюция 136 (Пересм. Бухарест, 2022 г.) </w:t>
      </w:r>
      <w:r>
        <w:rPr>
          <w:lang w:val="ru-RU"/>
        </w:rPr>
        <w:t>ПК</w:t>
      </w:r>
      <w:r w:rsidRPr="00B626FD">
        <w:rPr>
          <w:lang w:val="ru-RU"/>
        </w:rPr>
        <w:t xml:space="preserve"> "Использование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помощи" доступна по адресу: </w:t>
      </w:r>
      <w:hyperlink r:id="rId1" w:history="1">
        <w:r w:rsidR="00883252" w:rsidRPr="00336846">
          <w:rPr>
            <w:rStyle w:val="Hyperlink"/>
          </w:rPr>
          <w:t>https</w:t>
        </w:r>
        <w:r w:rsidR="00883252" w:rsidRPr="00336846">
          <w:rPr>
            <w:rStyle w:val="Hyperlink"/>
            <w:lang w:val="ru-RU"/>
          </w:rPr>
          <w:t>://</w:t>
        </w:r>
        <w:r w:rsidR="00883252" w:rsidRPr="00336846">
          <w:rPr>
            <w:rStyle w:val="Hyperlink"/>
          </w:rPr>
          <w:t>www</w:t>
        </w:r>
        <w:r w:rsidR="00883252" w:rsidRPr="00336846">
          <w:rPr>
            <w:rStyle w:val="Hyperlink"/>
            <w:lang w:val="ru-RU"/>
          </w:rPr>
          <w:t>.</w:t>
        </w:r>
        <w:r w:rsidR="00883252" w:rsidRPr="00336846">
          <w:rPr>
            <w:rStyle w:val="Hyperlink"/>
          </w:rPr>
          <w:t>itu</w:t>
        </w:r>
        <w:r w:rsidR="00883252" w:rsidRPr="00336846">
          <w:rPr>
            <w:rStyle w:val="Hyperlink"/>
            <w:lang w:val="ru-RU"/>
          </w:rPr>
          <w:t>.</w:t>
        </w:r>
        <w:r w:rsidR="00883252" w:rsidRPr="00336846">
          <w:rPr>
            <w:rStyle w:val="Hyperlink"/>
          </w:rPr>
          <w:t>int</w:t>
        </w:r>
        <w:r w:rsidR="00883252" w:rsidRPr="00336846">
          <w:rPr>
            <w:rStyle w:val="Hyperlink"/>
            <w:lang w:val="ru-RU"/>
          </w:rPr>
          <w:t>/</w:t>
        </w:r>
        <w:r w:rsidR="00883252" w:rsidRPr="00336846">
          <w:rPr>
            <w:rStyle w:val="Hyperlink"/>
          </w:rPr>
          <w:t>en</w:t>
        </w:r>
        <w:r w:rsidR="00883252" w:rsidRPr="00336846">
          <w:rPr>
            <w:rStyle w:val="Hyperlink"/>
            <w:lang w:val="ru-RU"/>
          </w:rPr>
          <w:t>/</w:t>
        </w:r>
        <w:r w:rsidR="00883252" w:rsidRPr="00336846">
          <w:rPr>
            <w:rStyle w:val="Hyperlink"/>
          </w:rPr>
          <w:t>council</w:t>
        </w:r>
        <w:r w:rsidR="00883252" w:rsidRPr="00336846">
          <w:rPr>
            <w:rStyle w:val="Hyperlink"/>
            <w:lang w:val="ru-RU"/>
          </w:rPr>
          <w:t>/</w:t>
        </w:r>
        <w:r w:rsidR="00883252" w:rsidRPr="00336846">
          <w:rPr>
            <w:rStyle w:val="Hyperlink"/>
          </w:rPr>
          <w:t>Documents</w:t>
        </w:r>
        <w:r w:rsidR="00883252" w:rsidRPr="00336846">
          <w:rPr>
            <w:rStyle w:val="Hyperlink"/>
            <w:lang w:val="ru-RU"/>
          </w:rPr>
          <w:t>/</w:t>
        </w:r>
        <w:r w:rsidR="00883252" w:rsidRPr="00336846">
          <w:rPr>
            <w:rStyle w:val="Hyperlink"/>
          </w:rPr>
          <w:t>basic</w:t>
        </w:r>
        <w:r w:rsidR="00883252" w:rsidRPr="00336846">
          <w:rPr>
            <w:rStyle w:val="Hyperlink"/>
            <w:lang w:val="ru-RU"/>
          </w:rPr>
          <w:t>-</w:t>
        </w:r>
        <w:r w:rsidR="00883252" w:rsidRPr="00336846">
          <w:rPr>
            <w:rStyle w:val="Hyperlink"/>
          </w:rPr>
          <w:t>texts</w:t>
        </w:r>
        <w:r w:rsidR="00883252" w:rsidRPr="00336846">
          <w:rPr>
            <w:rStyle w:val="Hyperlink"/>
            <w:lang w:val="ru-RU"/>
          </w:rPr>
          <w:t>-2023/</w:t>
        </w:r>
        <w:r w:rsidR="00883252" w:rsidRPr="00336846">
          <w:rPr>
            <w:rStyle w:val="Hyperlink"/>
          </w:rPr>
          <w:t>RES</w:t>
        </w:r>
        <w:r w:rsidR="00883252" w:rsidRPr="00336846">
          <w:rPr>
            <w:rStyle w:val="Hyperlink"/>
            <w:lang w:val="ru-RU"/>
          </w:rPr>
          <w:t>-136-</w:t>
        </w:r>
        <w:r w:rsidR="00883252" w:rsidRPr="00336846">
          <w:rPr>
            <w:rStyle w:val="Hyperlink"/>
          </w:rPr>
          <w:t>R</w:t>
        </w:r>
        <w:r w:rsidR="00883252" w:rsidRPr="00336846">
          <w:rPr>
            <w:rStyle w:val="Hyperlink"/>
            <w:lang w:val="ru-RU"/>
          </w:rPr>
          <w:t>.</w:t>
        </w:r>
        <w:r w:rsidR="00883252" w:rsidRPr="00336846">
          <w:rPr>
            <w:rStyle w:val="Hyperlink"/>
          </w:rPr>
          <w:t>pdf</w:t>
        </w:r>
      </w:hyperlink>
      <w:r w:rsidRPr="00B626FD">
        <w:rPr>
          <w:lang w:val="ru-RU"/>
        </w:rPr>
        <w:t xml:space="preserve"> </w:t>
      </w:r>
    </w:p>
  </w:footnote>
  <w:footnote w:id="4">
    <w:p w14:paraId="251CCF21" w14:textId="0381FFEE" w:rsidR="00B42F5B" w:rsidRPr="00DE2D5D" w:rsidRDefault="00B42F5B" w:rsidP="00B42F5B">
      <w:pPr>
        <w:pStyle w:val="FootnoteText"/>
        <w:rPr>
          <w:lang w:val="ru-RU"/>
        </w:rPr>
      </w:pPr>
      <w:r w:rsidRPr="00B626FD">
        <w:rPr>
          <w:rStyle w:val="FootnoteReference"/>
        </w:rPr>
        <w:footnoteRef/>
      </w:r>
      <w:r w:rsidR="001F50D9" w:rsidRPr="005B2BBD">
        <w:rPr>
          <w:lang w:val="ru-RU"/>
        </w:rPr>
        <w:tab/>
      </w:r>
      <w:r w:rsidRPr="00B626FD">
        <w:rPr>
          <w:lang w:val="ru-RU"/>
        </w:rPr>
        <w:t xml:space="preserve">Резолюция 34 (Пересм. Кигали, 2022 г.) ВКРЭ "Роль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реагирования", доступна по адресу: </w:t>
      </w:r>
      <w:hyperlink r:id="rId2" w:history="1">
        <w:r w:rsidR="00883252" w:rsidRPr="00336846">
          <w:rPr>
            <w:rStyle w:val="Hyperlink"/>
          </w:rPr>
          <w:t>https</w:t>
        </w:r>
        <w:r w:rsidR="00883252" w:rsidRPr="00336846">
          <w:rPr>
            <w:rStyle w:val="Hyperlink"/>
            <w:lang w:val="ru-RU"/>
          </w:rPr>
          <w:t>://</w:t>
        </w:r>
        <w:r w:rsidR="00883252" w:rsidRPr="00336846">
          <w:rPr>
            <w:rStyle w:val="Hyperlink"/>
          </w:rPr>
          <w:t>www</w:t>
        </w:r>
        <w:r w:rsidR="00883252" w:rsidRPr="00336846">
          <w:rPr>
            <w:rStyle w:val="Hyperlink"/>
            <w:lang w:val="ru-RU"/>
          </w:rPr>
          <w:t>.</w:t>
        </w:r>
        <w:r w:rsidR="00883252" w:rsidRPr="00336846">
          <w:rPr>
            <w:rStyle w:val="Hyperlink"/>
          </w:rPr>
          <w:t>itu</w:t>
        </w:r>
        <w:r w:rsidR="00883252" w:rsidRPr="00336846">
          <w:rPr>
            <w:rStyle w:val="Hyperlink"/>
            <w:lang w:val="ru-RU"/>
          </w:rPr>
          <w:t>.</w:t>
        </w:r>
        <w:r w:rsidR="00883252" w:rsidRPr="00336846">
          <w:rPr>
            <w:rStyle w:val="Hyperlink"/>
          </w:rPr>
          <w:t>int</w:t>
        </w:r>
        <w:r w:rsidR="00883252" w:rsidRPr="00336846">
          <w:rPr>
            <w:rStyle w:val="Hyperlink"/>
            <w:lang w:val="ru-RU"/>
          </w:rPr>
          <w:t>/</w:t>
        </w:r>
        <w:r w:rsidR="00883252" w:rsidRPr="00336846">
          <w:rPr>
            <w:rStyle w:val="Hyperlink"/>
          </w:rPr>
          <w:t>dms</w:t>
        </w:r>
        <w:r w:rsidR="00883252" w:rsidRPr="00336846">
          <w:rPr>
            <w:rStyle w:val="Hyperlink"/>
            <w:lang w:val="ru-RU"/>
          </w:rPr>
          <w:t>_</w:t>
        </w:r>
        <w:r w:rsidR="00883252" w:rsidRPr="00336846">
          <w:rPr>
            <w:rStyle w:val="Hyperlink"/>
          </w:rPr>
          <w:t>pub</w:t>
        </w:r>
        <w:r w:rsidR="00883252" w:rsidRPr="00336846">
          <w:rPr>
            <w:rStyle w:val="Hyperlink"/>
            <w:lang w:val="ru-RU"/>
          </w:rPr>
          <w:t>/</w:t>
        </w:r>
        <w:r w:rsidR="00883252" w:rsidRPr="00336846">
          <w:rPr>
            <w:rStyle w:val="Hyperlink"/>
          </w:rPr>
          <w:t>itu</w:t>
        </w:r>
        <w:r w:rsidR="00883252" w:rsidRPr="00336846">
          <w:rPr>
            <w:rStyle w:val="Hyperlink"/>
            <w:lang w:val="ru-RU"/>
          </w:rPr>
          <w:t>-</w:t>
        </w:r>
        <w:r w:rsidR="00883252" w:rsidRPr="00336846">
          <w:rPr>
            <w:rStyle w:val="Hyperlink"/>
          </w:rPr>
          <w:t>d</w:t>
        </w:r>
        <w:r w:rsidR="00883252" w:rsidRPr="00336846">
          <w:rPr>
            <w:rStyle w:val="Hyperlink"/>
            <w:lang w:val="ru-RU"/>
          </w:rPr>
          <w:t>/</w:t>
        </w:r>
        <w:r w:rsidR="00883252" w:rsidRPr="00336846">
          <w:rPr>
            <w:rStyle w:val="Hyperlink"/>
          </w:rPr>
          <w:t>opb</w:t>
        </w:r>
        <w:r w:rsidR="00883252" w:rsidRPr="00336846">
          <w:rPr>
            <w:rStyle w:val="Hyperlink"/>
            <w:lang w:val="ru-RU"/>
          </w:rPr>
          <w:t>/</w:t>
        </w:r>
        <w:r w:rsidR="00883252" w:rsidRPr="00336846">
          <w:rPr>
            <w:rStyle w:val="Hyperlink"/>
          </w:rPr>
          <w:t>tdc</w:t>
        </w:r>
        <w:r w:rsidR="00883252" w:rsidRPr="00336846">
          <w:rPr>
            <w:rStyle w:val="Hyperlink"/>
            <w:lang w:val="ru-RU"/>
          </w:rPr>
          <w:t>/</w:t>
        </w:r>
        <w:r w:rsidR="00883252" w:rsidRPr="00336846">
          <w:rPr>
            <w:rStyle w:val="Hyperlink"/>
          </w:rPr>
          <w:t>D</w:t>
        </w:r>
        <w:r w:rsidR="00883252" w:rsidRPr="00336846">
          <w:rPr>
            <w:rStyle w:val="Hyperlink"/>
            <w:lang w:val="ru-RU"/>
          </w:rPr>
          <w:t>-</w:t>
        </w:r>
        <w:r w:rsidR="00883252" w:rsidRPr="00336846">
          <w:rPr>
            <w:rStyle w:val="Hyperlink"/>
          </w:rPr>
          <w:t>TDC</w:t>
        </w:r>
        <w:r w:rsidR="00883252" w:rsidRPr="00336846">
          <w:rPr>
            <w:rStyle w:val="Hyperlink"/>
            <w:lang w:val="ru-RU"/>
          </w:rPr>
          <w:t>-</w:t>
        </w:r>
        <w:r w:rsidR="00883252" w:rsidRPr="00336846">
          <w:rPr>
            <w:rStyle w:val="Hyperlink"/>
          </w:rPr>
          <w:t>WTDC</w:t>
        </w:r>
        <w:r w:rsidR="00883252" w:rsidRPr="00336846">
          <w:rPr>
            <w:rStyle w:val="Hyperlink"/>
            <w:lang w:val="ru-RU"/>
          </w:rPr>
          <w:t>-2022-</w:t>
        </w:r>
        <w:r w:rsidR="00883252" w:rsidRPr="00336846">
          <w:rPr>
            <w:rStyle w:val="Hyperlink"/>
          </w:rPr>
          <w:t>PDF</w:t>
        </w:r>
        <w:r w:rsidR="00883252" w:rsidRPr="00336846">
          <w:rPr>
            <w:rStyle w:val="Hyperlink"/>
            <w:lang w:val="ru-RU"/>
          </w:rPr>
          <w:t>-</w:t>
        </w:r>
        <w:r w:rsidR="00883252" w:rsidRPr="00336846">
          <w:rPr>
            <w:rStyle w:val="Hyperlink"/>
          </w:rPr>
          <w:t>R</w:t>
        </w:r>
        <w:r w:rsidR="00883252" w:rsidRPr="00336846">
          <w:rPr>
            <w:rStyle w:val="Hyperlink"/>
            <w:lang w:val="ru-RU"/>
          </w:rPr>
          <w:t>.</w:t>
        </w:r>
        <w:r w:rsidR="00883252" w:rsidRPr="00336846">
          <w:rPr>
            <w:rStyle w:val="Hyperlink"/>
          </w:rPr>
          <w:t>pdf</w:t>
        </w:r>
      </w:hyperlink>
      <w:r w:rsidRPr="00B626F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61DBE5F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7C3E894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43" w:name="_Hlk133422111"/>
          <w:r>
            <w:rPr>
              <w:noProof/>
            </w:rPr>
            <w:drawing>
              <wp:inline distT="0" distB="0" distL="0" distR="0" wp14:anchorId="0AC105AC" wp14:editId="2A0346B1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1BE4B5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C5CE65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FDE8E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43"/>
  <w:p w14:paraId="4C111F1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BB869" wp14:editId="6E9E7240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89B9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109EF"/>
    <w:multiLevelType w:val="hybridMultilevel"/>
    <w:tmpl w:val="86669A6A"/>
    <w:lvl w:ilvl="0" w:tplc="723E3C6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EE0E11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65C0E2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30632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96E826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3F8777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A98277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99A01F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A42727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0C49BB"/>
    <w:multiLevelType w:val="hybridMultilevel"/>
    <w:tmpl w:val="87CAF826"/>
    <w:lvl w:ilvl="0" w:tplc="BAFA9C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DC8C7074" w:tentative="1">
      <w:start w:val="1"/>
      <w:numFmt w:val="lowerLetter"/>
      <w:lvlText w:val="%2."/>
      <w:lvlJc w:val="left"/>
      <w:pPr>
        <w:ind w:left="1477" w:hanging="360"/>
      </w:pPr>
    </w:lvl>
    <w:lvl w:ilvl="2" w:tplc="8E0CEB60" w:tentative="1">
      <w:start w:val="1"/>
      <w:numFmt w:val="lowerRoman"/>
      <w:lvlText w:val="%3."/>
      <w:lvlJc w:val="right"/>
      <w:pPr>
        <w:ind w:left="2197" w:hanging="180"/>
      </w:pPr>
    </w:lvl>
    <w:lvl w:ilvl="3" w:tplc="564CF4B0" w:tentative="1">
      <w:start w:val="1"/>
      <w:numFmt w:val="decimal"/>
      <w:lvlText w:val="%4."/>
      <w:lvlJc w:val="left"/>
      <w:pPr>
        <w:ind w:left="2917" w:hanging="360"/>
      </w:pPr>
    </w:lvl>
    <w:lvl w:ilvl="4" w:tplc="88464C58" w:tentative="1">
      <w:start w:val="1"/>
      <w:numFmt w:val="lowerLetter"/>
      <w:lvlText w:val="%5."/>
      <w:lvlJc w:val="left"/>
      <w:pPr>
        <w:ind w:left="3637" w:hanging="360"/>
      </w:pPr>
    </w:lvl>
    <w:lvl w:ilvl="5" w:tplc="2A36C4BC" w:tentative="1">
      <w:start w:val="1"/>
      <w:numFmt w:val="lowerRoman"/>
      <w:lvlText w:val="%6."/>
      <w:lvlJc w:val="right"/>
      <w:pPr>
        <w:ind w:left="4357" w:hanging="180"/>
      </w:pPr>
    </w:lvl>
    <w:lvl w:ilvl="6" w:tplc="DA00C710" w:tentative="1">
      <w:start w:val="1"/>
      <w:numFmt w:val="decimal"/>
      <w:lvlText w:val="%7."/>
      <w:lvlJc w:val="left"/>
      <w:pPr>
        <w:ind w:left="5077" w:hanging="360"/>
      </w:pPr>
    </w:lvl>
    <w:lvl w:ilvl="7" w:tplc="25601C00" w:tentative="1">
      <w:start w:val="1"/>
      <w:numFmt w:val="lowerLetter"/>
      <w:lvlText w:val="%8."/>
      <w:lvlJc w:val="left"/>
      <w:pPr>
        <w:ind w:left="5797" w:hanging="360"/>
      </w:pPr>
    </w:lvl>
    <w:lvl w:ilvl="8" w:tplc="A5368076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EC661AC"/>
    <w:multiLevelType w:val="hybridMultilevel"/>
    <w:tmpl w:val="C210923C"/>
    <w:lvl w:ilvl="0" w:tplc="65C8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EE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E0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2E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08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CD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8C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89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62B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2A1"/>
    <w:multiLevelType w:val="hybridMultilevel"/>
    <w:tmpl w:val="16E47880"/>
    <w:lvl w:ilvl="0" w:tplc="77BCE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C858A" w:tentative="1">
      <w:start w:val="1"/>
      <w:numFmt w:val="lowerLetter"/>
      <w:lvlText w:val="%2."/>
      <w:lvlJc w:val="left"/>
      <w:pPr>
        <w:ind w:left="1440" w:hanging="360"/>
      </w:pPr>
    </w:lvl>
    <w:lvl w:ilvl="2" w:tplc="9B6AD912" w:tentative="1">
      <w:start w:val="1"/>
      <w:numFmt w:val="lowerRoman"/>
      <w:lvlText w:val="%3."/>
      <w:lvlJc w:val="right"/>
      <w:pPr>
        <w:ind w:left="2160" w:hanging="180"/>
      </w:pPr>
    </w:lvl>
    <w:lvl w:ilvl="3" w:tplc="0BB8CFBA" w:tentative="1">
      <w:start w:val="1"/>
      <w:numFmt w:val="decimal"/>
      <w:lvlText w:val="%4."/>
      <w:lvlJc w:val="left"/>
      <w:pPr>
        <w:ind w:left="2880" w:hanging="360"/>
      </w:pPr>
    </w:lvl>
    <w:lvl w:ilvl="4" w:tplc="892E0B92" w:tentative="1">
      <w:start w:val="1"/>
      <w:numFmt w:val="lowerLetter"/>
      <w:lvlText w:val="%5."/>
      <w:lvlJc w:val="left"/>
      <w:pPr>
        <w:ind w:left="3600" w:hanging="360"/>
      </w:pPr>
    </w:lvl>
    <w:lvl w:ilvl="5" w:tplc="2644442C" w:tentative="1">
      <w:start w:val="1"/>
      <w:numFmt w:val="lowerRoman"/>
      <w:lvlText w:val="%6."/>
      <w:lvlJc w:val="right"/>
      <w:pPr>
        <w:ind w:left="4320" w:hanging="180"/>
      </w:pPr>
    </w:lvl>
    <w:lvl w:ilvl="6" w:tplc="B6D81D74" w:tentative="1">
      <w:start w:val="1"/>
      <w:numFmt w:val="decimal"/>
      <w:lvlText w:val="%7."/>
      <w:lvlJc w:val="left"/>
      <w:pPr>
        <w:ind w:left="5040" w:hanging="360"/>
      </w:pPr>
    </w:lvl>
    <w:lvl w:ilvl="7" w:tplc="2F9845DE" w:tentative="1">
      <w:start w:val="1"/>
      <w:numFmt w:val="lowerLetter"/>
      <w:lvlText w:val="%8."/>
      <w:lvlJc w:val="left"/>
      <w:pPr>
        <w:ind w:left="5760" w:hanging="360"/>
      </w:pPr>
    </w:lvl>
    <w:lvl w:ilvl="8" w:tplc="E26CD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55EF3"/>
    <w:multiLevelType w:val="hybridMultilevel"/>
    <w:tmpl w:val="FE1C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1056"/>
    <w:multiLevelType w:val="hybridMultilevel"/>
    <w:tmpl w:val="987E83A4"/>
    <w:lvl w:ilvl="0" w:tplc="F314E1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superscript"/>
      </w:rPr>
    </w:lvl>
    <w:lvl w:ilvl="1" w:tplc="73A2780A" w:tentative="1">
      <w:start w:val="1"/>
      <w:numFmt w:val="lowerLetter"/>
      <w:lvlText w:val="%2."/>
      <w:lvlJc w:val="left"/>
      <w:pPr>
        <w:ind w:left="1440" w:hanging="360"/>
      </w:pPr>
    </w:lvl>
    <w:lvl w:ilvl="2" w:tplc="9B34BC1A" w:tentative="1">
      <w:start w:val="1"/>
      <w:numFmt w:val="lowerRoman"/>
      <w:lvlText w:val="%3."/>
      <w:lvlJc w:val="right"/>
      <w:pPr>
        <w:ind w:left="2160" w:hanging="180"/>
      </w:pPr>
    </w:lvl>
    <w:lvl w:ilvl="3" w:tplc="E13C419E" w:tentative="1">
      <w:start w:val="1"/>
      <w:numFmt w:val="decimal"/>
      <w:lvlText w:val="%4."/>
      <w:lvlJc w:val="left"/>
      <w:pPr>
        <w:ind w:left="2880" w:hanging="360"/>
      </w:pPr>
    </w:lvl>
    <w:lvl w:ilvl="4" w:tplc="BF525360" w:tentative="1">
      <w:start w:val="1"/>
      <w:numFmt w:val="lowerLetter"/>
      <w:lvlText w:val="%5."/>
      <w:lvlJc w:val="left"/>
      <w:pPr>
        <w:ind w:left="3600" w:hanging="360"/>
      </w:pPr>
    </w:lvl>
    <w:lvl w:ilvl="5" w:tplc="14AE9CCA" w:tentative="1">
      <w:start w:val="1"/>
      <w:numFmt w:val="lowerRoman"/>
      <w:lvlText w:val="%6."/>
      <w:lvlJc w:val="right"/>
      <w:pPr>
        <w:ind w:left="4320" w:hanging="180"/>
      </w:pPr>
    </w:lvl>
    <w:lvl w:ilvl="6" w:tplc="9C5AA4C4" w:tentative="1">
      <w:start w:val="1"/>
      <w:numFmt w:val="decimal"/>
      <w:lvlText w:val="%7."/>
      <w:lvlJc w:val="left"/>
      <w:pPr>
        <w:ind w:left="5040" w:hanging="360"/>
      </w:pPr>
    </w:lvl>
    <w:lvl w:ilvl="7" w:tplc="7F9A95E4" w:tentative="1">
      <w:start w:val="1"/>
      <w:numFmt w:val="lowerLetter"/>
      <w:lvlText w:val="%8."/>
      <w:lvlJc w:val="left"/>
      <w:pPr>
        <w:ind w:left="5760" w:hanging="360"/>
      </w:pPr>
    </w:lvl>
    <w:lvl w:ilvl="8" w:tplc="E9784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E0EC5"/>
    <w:multiLevelType w:val="hybridMultilevel"/>
    <w:tmpl w:val="93C8D382"/>
    <w:lvl w:ilvl="0" w:tplc="3314DC72">
      <w:start w:val="1"/>
      <w:numFmt w:val="decimal"/>
      <w:lvlText w:val="%1."/>
      <w:lvlJc w:val="left"/>
      <w:pPr>
        <w:ind w:left="720" w:hanging="360"/>
      </w:pPr>
    </w:lvl>
    <w:lvl w:ilvl="1" w:tplc="7C6CAAF2" w:tentative="1">
      <w:start w:val="1"/>
      <w:numFmt w:val="lowerLetter"/>
      <w:lvlText w:val="%2."/>
      <w:lvlJc w:val="left"/>
      <w:pPr>
        <w:ind w:left="1440" w:hanging="360"/>
      </w:pPr>
    </w:lvl>
    <w:lvl w:ilvl="2" w:tplc="78804A4A" w:tentative="1">
      <w:start w:val="1"/>
      <w:numFmt w:val="lowerRoman"/>
      <w:lvlText w:val="%3."/>
      <w:lvlJc w:val="right"/>
      <w:pPr>
        <w:ind w:left="2160" w:hanging="180"/>
      </w:pPr>
    </w:lvl>
    <w:lvl w:ilvl="3" w:tplc="822C76DC" w:tentative="1">
      <w:start w:val="1"/>
      <w:numFmt w:val="decimal"/>
      <w:lvlText w:val="%4."/>
      <w:lvlJc w:val="left"/>
      <w:pPr>
        <w:ind w:left="2880" w:hanging="360"/>
      </w:pPr>
    </w:lvl>
    <w:lvl w:ilvl="4" w:tplc="736A37C8" w:tentative="1">
      <w:start w:val="1"/>
      <w:numFmt w:val="lowerLetter"/>
      <w:lvlText w:val="%5."/>
      <w:lvlJc w:val="left"/>
      <w:pPr>
        <w:ind w:left="3600" w:hanging="360"/>
      </w:pPr>
    </w:lvl>
    <w:lvl w:ilvl="5" w:tplc="8474FE80" w:tentative="1">
      <w:start w:val="1"/>
      <w:numFmt w:val="lowerRoman"/>
      <w:lvlText w:val="%6."/>
      <w:lvlJc w:val="right"/>
      <w:pPr>
        <w:ind w:left="4320" w:hanging="180"/>
      </w:pPr>
    </w:lvl>
    <w:lvl w:ilvl="6" w:tplc="FE0EF938" w:tentative="1">
      <w:start w:val="1"/>
      <w:numFmt w:val="decimal"/>
      <w:lvlText w:val="%7."/>
      <w:lvlJc w:val="left"/>
      <w:pPr>
        <w:ind w:left="5040" w:hanging="360"/>
      </w:pPr>
    </w:lvl>
    <w:lvl w:ilvl="7" w:tplc="6818E19A" w:tentative="1">
      <w:start w:val="1"/>
      <w:numFmt w:val="lowerLetter"/>
      <w:lvlText w:val="%8."/>
      <w:lvlJc w:val="left"/>
      <w:pPr>
        <w:ind w:left="5760" w:hanging="360"/>
      </w:pPr>
    </w:lvl>
    <w:lvl w:ilvl="8" w:tplc="7EE0C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D4955"/>
    <w:multiLevelType w:val="hybridMultilevel"/>
    <w:tmpl w:val="6820F3AE"/>
    <w:lvl w:ilvl="0" w:tplc="946C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C59E6" w:tentative="1">
      <w:start w:val="1"/>
      <w:numFmt w:val="lowerLetter"/>
      <w:lvlText w:val="%2."/>
      <w:lvlJc w:val="left"/>
      <w:pPr>
        <w:ind w:left="1440" w:hanging="360"/>
      </w:pPr>
    </w:lvl>
    <w:lvl w:ilvl="2" w:tplc="34E21DB4" w:tentative="1">
      <w:start w:val="1"/>
      <w:numFmt w:val="lowerRoman"/>
      <w:lvlText w:val="%3."/>
      <w:lvlJc w:val="right"/>
      <w:pPr>
        <w:ind w:left="2160" w:hanging="180"/>
      </w:pPr>
    </w:lvl>
    <w:lvl w:ilvl="3" w:tplc="DC9264DA" w:tentative="1">
      <w:start w:val="1"/>
      <w:numFmt w:val="decimal"/>
      <w:lvlText w:val="%4."/>
      <w:lvlJc w:val="left"/>
      <w:pPr>
        <w:ind w:left="2880" w:hanging="360"/>
      </w:pPr>
    </w:lvl>
    <w:lvl w:ilvl="4" w:tplc="66A895E6" w:tentative="1">
      <w:start w:val="1"/>
      <w:numFmt w:val="lowerLetter"/>
      <w:lvlText w:val="%5."/>
      <w:lvlJc w:val="left"/>
      <w:pPr>
        <w:ind w:left="3600" w:hanging="360"/>
      </w:pPr>
    </w:lvl>
    <w:lvl w:ilvl="5" w:tplc="3DB0F534" w:tentative="1">
      <w:start w:val="1"/>
      <w:numFmt w:val="lowerRoman"/>
      <w:lvlText w:val="%6."/>
      <w:lvlJc w:val="right"/>
      <w:pPr>
        <w:ind w:left="4320" w:hanging="180"/>
      </w:pPr>
    </w:lvl>
    <w:lvl w:ilvl="6" w:tplc="8BFE1688" w:tentative="1">
      <w:start w:val="1"/>
      <w:numFmt w:val="decimal"/>
      <w:lvlText w:val="%7."/>
      <w:lvlJc w:val="left"/>
      <w:pPr>
        <w:ind w:left="5040" w:hanging="360"/>
      </w:pPr>
    </w:lvl>
    <w:lvl w:ilvl="7" w:tplc="D35AACD2" w:tentative="1">
      <w:start w:val="1"/>
      <w:numFmt w:val="lowerLetter"/>
      <w:lvlText w:val="%8."/>
      <w:lvlJc w:val="left"/>
      <w:pPr>
        <w:ind w:left="5760" w:hanging="360"/>
      </w:pPr>
    </w:lvl>
    <w:lvl w:ilvl="8" w:tplc="6EC29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0707D"/>
    <w:multiLevelType w:val="hybridMultilevel"/>
    <w:tmpl w:val="6DCEF7B6"/>
    <w:lvl w:ilvl="0" w:tplc="C45A21E8">
      <w:start w:val="1"/>
      <w:numFmt w:val="lowerLetter"/>
      <w:lvlText w:val="%1."/>
      <w:lvlJc w:val="left"/>
      <w:pPr>
        <w:ind w:left="2520" w:hanging="360"/>
      </w:pPr>
    </w:lvl>
    <w:lvl w:ilvl="1" w:tplc="3B62B0F4" w:tentative="1">
      <w:start w:val="1"/>
      <w:numFmt w:val="lowerLetter"/>
      <w:lvlText w:val="%2."/>
      <w:lvlJc w:val="left"/>
      <w:pPr>
        <w:ind w:left="3240" w:hanging="360"/>
      </w:pPr>
    </w:lvl>
    <w:lvl w:ilvl="2" w:tplc="0B147A66" w:tentative="1">
      <w:start w:val="1"/>
      <w:numFmt w:val="lowerRoman"/>
      <w:lvlText w:val="%3."/>
      <w:lvlJc w:val="right"/>
      <w:pPr>
        <w:ind w:left="3960" w:hanging="180"/>
      </w:pPr>
    </w:lvl>
    <w:lvl w:ilvl="3" w:tplc="34589B5A" w:tentative="1">
      <w:start w:val="1"/>
      <w:numFmt w:val="decimal"/>
      <w:lvlText w:val="%4."/>
      <w:lvlJc w:val="left"/>
      <w:pPr>
        <w:ind w:left="4680" w:hanging="360"/>
      </w:pPr>
    </w:lvl>
    <w:lvl w:ilvl="4" w:tplc="356A7BDA" w:tentative="1">
      <w:start w:val="1"/>
      <w:numFmt w:val="lowerLetter"/>
      <w:lvlText w:val="%5."/>
      <w:lvlJc w:val="left"/>
      <w:pPr>
        <w:ind w:left="5400" w:hanging="360"/>
      </w:pPr>
    </w:lvl>
    <w:lvl w:ilvl="5" w:tplc="E21ABAA6" w:tentative="1">
      <w:start w:val="1"/>
      <w:numFmt w:val="lowerRoman"/>
      <w:lvlText w:val="%6."/>
      <w:lvlJc w:val="right"/>
      <w:pPr>
        <w:ind w:left="6120" w:hanging="180"/>
      </w:pPr>
    </w:lvl>
    <w:lvl w:ilvl="6" w:tplc="0FB84FA6" w:tentative="1">
      <w:start w:val="1"/>
      <w:numFmt w:val="decimal"/>
      <w:lvlText w:val="%7."/>
      <w:lvlJc w:val="left"/>
      <w:pPr>
        <w:ind w:left="6840" w:hanging="360"/>
      </w:pPr>
    </w:lvl>
    <w:lvl w:ilvl="7" w:tplc="0B32B6EC" w:tentative="1">
      <w:start w:val="1"/>
      <w:numFmt w:val="lowerLetter"/>
      <w:lvlText w:val="%8."/>
      <w:lvlJc w:val="left"/>
      <w:pPr>
        <w:ind w:left="7560" w:hanging="360"/>
      </w:pPr>
    </w:lvl>
    <w:lvl w:ilvl="8" w:tplc="F8B6244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EAE07F4"/>
    <w:multiLevelType w:val="hybridMultilevel"/>
    <w:tmpl w:val="15EC7458"/>
    <w:lvl w:ilvl="0" w:tplc="9E14CFBC">
      <w:start w:val="1"/>
      <w:numFmt w:val="decimal"/>
      <w:lvlText w:val="%1."/>
      <w:lvlJc w:val="left"/>
      <w:pPr>
        <w:ind w:left="1800" w:hanging="360"/>
      </w:pPr>
    </w:lvl>
    <w:lvl w:ilvl="1" w:tplc="DADCC5F2">
      <w:start w:val="1"/>
      <w:numFmt w:val="lowerLetter"/>
      <w:lvlText w:val="%2."/>
      <w:lvlJc w:val="left"/>
      <w:pPr>
        <w:ind w:left="2520" w:hanging="360"/>
      </w:pPr>
    </w:lvl>
    <w:lvl w:ilvl="2" w:tplc="6A940C78">
      <w:start w:val="1"/>
      <w:numFmt w:val="lowerRoman"/>
      <w:lvlText w:val="%3."/>
      <w:lvlJc w:val="right"/>
      <w:pPr>
        <w:ind w:left="3240" w:hanging="180"/>
      </w:pPr>
    </w:lvl>
    <w:lvl w:ilvl="3" w:tplc="D06AFC88">
      <w:start w:val="1"/>
      <w:numFmt w:val="decimal"/>
      <w:lvlText w:val="%4."/>
      <w:lvlJc w:val="left"/>
      <w:pPr>
        <w:ind w:left="3960" w:hanging="360"/>
      </w:pPr>
    </w:lvl>
    <w:lvl w:ilvl="4" w:tplc="BB02E024">
      <w:start w:val="1"/>
      <w:numFmt w:val="lowerLetter"/>
      <w:lvlText w:val="%5."/>
      <w:lvlJc w:val="left"/>
      <w:pPr>
        <w:ind w:left="4680" w:hanging="360"/>
      </w:pPr>
    </w:lvl>
    <w:lvl w:ilvl="5" w:tplc="7840C4E4">
      <w:start w:val="1"/>
      <w:numFmt w:val="lowerRoman"/>
      <w:lvlText w:val="%6."/>
      <w:lvlJc w:val="right"/>
      <w:pPr>
        <w:ind w:left="5400" w:hanging="180"/>
      </w:pPr>
    </w:lvl>
    <w:lvl w:ilvl="6" w:tplc="EBA0FFAC">
      <w:start w:val="1"/>
      <w:numFmt w:val="decimal"/>
      <w:lvlText w:val="%7."/>
      <w:lvlJc w:val="left"/>
      <w:pPr>
        <w:ind w:left="6120" w:hanging="360"/>
      </w:pPr>
    </w:lvl>
    <w:lvl w:ilvl="7" w:tplc="064038F4">
      <w:start w:val="1"/>
      <w:numFmt w:val="lowerLetter"/>
      <w:lvlText w:val="%8."/>
      <w:lvlJc w:val="left"/>
      <w:pPr>
        <w:ind w:left="6840" w:hanging="360"/>
      </w:pPr>
    </w:lvl>
    <w:lvl w:ilvl="8" w:tplc="78B8A35A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5547F7"/>
    <w:multiLevelType w:val="hybridMultilevel"/>
    <w:tmpl w:val="ED56B542"/>
    <w:lvl w:ilvl="0" w:tplc="31E2F0C6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676E7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E3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80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EA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C3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22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09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CF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4052A"/>
    <w:multiLevelType w:val="hybridMultilevel"/>
    <w:tmpl w:val="FFFFFFFF"/>
    <w:lvl w:ilvl="0" w:tplc="BB1E17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ADA0F2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CA87D5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EA8225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B06AA7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292E13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6FAA14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9008EA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956E0E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B211787"/>
    <w:multiLevelType w:val="hybridMultilevel"/>
    <w:tmpl w:val="88CEC1CA"/>
    <w:lvl w:ilvl="0" w:tplc="316A3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6FA36">
      <w:start w:val="1"/>
      <w:numFmt w:val="lowerLetter"/>
      <w:lvlText w:val="%2."/>
      <w:lvlJc w:val="left"/>
      <w:pPr>
        <w:ind w:left="1440" w:hanging="360"/>
      </w:pPr>
    </w:lvl>
    <w:lvl w:ilvl="2" w:tplc="984E4E56" w:tentative="1">
      <w:start w:val="1"/>
      <w:numFmt w:val="lowerRoman"/>
      <w:lvlText w:val="%3."/>
      <w:lvlJc w:val="right"/>
      <w:pPr>
        <w:ind w:left="2160" w:hanging="180"/>
      </w:pPr>
    </w:lvl>
    <w:lvl w:ilvl="3" w:tplc="C94CEC56" w:tentative="1">
      <w:start w:val="1"/>
      <w:numFmt w:val="decimal"/>
      <w:lvlText w:val="%4."/>
      <w:lvlJc w:val="left"/>
      <w:pPr>
        <w:ind w:left="2880" w:hanging="360"/>
      </w:pPr>
    </w:lvl>
    <w:lvl w:ilvl="4" w:tplc="65AE50BA" w:tentative="1">
      <w:start w:val="1"/>
      <w:numFmt w:val="lowerLetter"/>
      <w:lvlText w:val="%5."/>
      <w:lvlJc w:val="left"/>
      <w:pPr>
        <w:ind w:left="3600" w:hanging="360"/>
      </w:pPr>
    </w:lvl>
    <w:lvl w:ilvl="5" w:tplc="618A7064" w:tentative="1">
      <w:start w:val="1"/>
      <w:numFmt w:val="lowerRoman"/>
      <w:lvlText w:val="%6."/>
      <w:lvlJc w:val="right"/>
      <w:pPr>
        <w:ind w:left="4320" w:hanging="180"/>
      </w:pPr>
    </w:lvl>
    <w:lvl w:ilvl="6" w:tplc="3B0A519C" w:tentative="1">
      <w:start w:val="1"/>
      <w:numFmt w:val="decimal"/>
      <w:lvlText w:val="%7."/>
      <w:lvlJc w:val="left"/>
      <w:pPr>
        <w:ind w:left="5040" w:hanging="360"/>
      </w:pPr>
    </w:lvl>
    <w:lvl w:ilvl="7" w:tplc="3C8067CE" w:tentative="1">
      <w:start w:val="1"/>
      <w:numFmt w:val="lowerLetter"/>
      <w:lvlText w:val="%8."/>
      <w:lvlJc w:val="left"/>
      <w:pPr>
        <w:ind w:left="5760" w:hanging="360"/>
      </w:pPr>
    </w:lvl>
    <w:lvl w:ilvl="8" w:tplc="D0060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5373E"/>
    <w:multiLevelType w:val="hybridMultilevel"/>
    <w:tmpl w:val="FF6A2248"/>
    <w:lvl w:ilvl="0" w:tplc="14C2D026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DD0CBB02" w:tentative="1">
      <w:start w:val="1"/>
      <w:numFmt w:val="lowerLetter"/>
      <w:lvlText w:val="%2."/>
      <w:lvlJc w:val="left"/>
      <w:pPr>
        <w:ind w:left="1440" w:hanging="360"/>
      </w:pPr>
    </w:lvl>
    <w:lvl w:ilvl="2" w:tplc="D130D778" w:tentative="1">
      <w:start w:val="1"/>
      <w:numFmt w:val="lowerRoman"/>
      <w:lvlText w:val="%3."/>
      <w:lvlJc w:val="right"/>
      <w:pPr>
        <w:ind w:left="2160" w:hanging="180"/>
      </w:pPr>
    </w:lvl>
    <w:lvl w:ilvl="3" w:tplc="CCB490BE" w:tentative="1">
      <w:start w:val="1"/>
      <w:numFmt w:val="decimal"/>
      <w:lvlText w:val="%4."/>
      <w:lvlJc w:val="left"/>
      <w:pPr>
        <w:ind w:left="2880" w:hanging="360"/>
      </w:pPr>
    </w:lvl>
    <w:lvl w:ilvl="4" w:tplc="42064706" w:tentative="1">
      <w:start w:val="1"/>
      <w:numFmt w:val="lowerLetter"/>
      <w:lvlText w:val="%5."/>
      <w:lvlJc w:val="left"/>
      <w:pPr>
        <w:ind w:left="3600" w:hanging="360"/>
      </w:pPr>
    </w:lvl>
    <w:lvl w:ilvl="5" w:tplc="42D66D74" w:tentative="1">
      <w:start w:val="1"/>
      <w:numFmt w:val="lowerRoman"/>
      <w:lvlText w:val="%6."/>
      <w:lvlJc w:val="right"/>
      <w:pPr>
        <w:ind w:left="4320" w:hanging="180"/>
      </w:pPr>
    </w:lvl>
    <w:lvl w:ilvl="6" w:tplc="6FF8FBC0" w:tentative="1">
      <w:start w:val="1"/>
      <w:numFmt w:val="decimal"/>
      <w:lvlText w:val="%7."/>
      <w:lvlJc w:val="left"/>
      <w:pPr>
        <w:ind w:left="5040" w:hanging="360"/>
      </w:pPr>
    </w:lvl>
    <w:lvl w:ilvl="7" w:tplc="B7F24AF6" w:tentative="1">
      <w:start w:val="1"/>
      <w:numFmt w:val="lowerLetter"/>
      <w:lvlText w:val="%8."/>
      <w:lvlJc w:val="left"/>
      <w:pPr>
        <w:ind w:left="5760" w:hanging="360"/>
      </w:pPr>
    </w:lvl>
    <w:lvl w:ilvl="8" w:tplc="351CF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492"/>
    <w:multiLevelType w:val="hybridMultilevel"/>
    <w:tmpl w:val="1E3C328E"/>
    <w:lvl w:ilvl="0" w:tplc="8898A152">
      <w:start w:val="1"/>
      <w:numFmt w:val="decimal"/>
      <w:lvlText w:val="%1."/>
      <w:lvlJc w:val="left"/>
      <w:pPr>
        <w:ind w:left="720" w:hanging="360"/>
      </w:pPr>
    </w:lvl>
    <w:lvl w:ilvl="1" w:tplc="4058EF0C" w:tentative="1">
      <w:start w:val="1"/>
      <w:numFmt w:val="lowerLetter"/>
      <w:lvlText w:val="%2."/>
      <w:lvlJc w:val="left"/>
      <w:pPr>
        <w:ind w:left="1440" w:hanging="360"/>
      </w:pPr>
    </w:lvl>
    <w:lvl w:ilvl="2" w:tplc="6394B298" w:tentative="1">
      <w:start w:val="1"/>
      <w:numFmt w:val="lowerRoman"/>
      <w:lvlText w:val="%3."/>
      <w:lvlJc w:val="right"/>
      <w:pPr>
        <w:ind w:left="2160" w:hanging="180"/>
      </w:pPr>
    </w:lvl>
    <w:lvl w:ilvl="3" w:tplc="EEEEE0AE" w:tentative="1">
      <w:start w:val="1"/>
      <w:numFmt w:val="decimal"/>
      <w:lvlText w:val="%4."/>
      <w:lvlJc w:val="left"/>
      <w:pPr>
        <w:ind w:left="2880" w:hanging="360"/>
      </w:pPr>
    </w:lvl>
    <w:lvl w:ilvl="4" w:tplc="287C8390" w:tentative="1">
      <w:start w:val="1"/>
      <w:numFmt w:val="lowerLetter"/>
      <w:lvlText w:val="%5."/>
      <w:lvlJc w:val="left"/>
      <w:pPr>
        <w:ind w:left="3600" w:hanging="360"/>
      </w:pPr>
    </w:lvl>
    <w:lvl w:ilvl="5" w:tplc="AFD40950" w:tentative="1">
      <w:start w:val="1"/>
      <w:numFmt w:val="lowerRoman"/>
      <w:lvlText w:val="%6."/>
      <w:lvlJc w:val="right"/>
      <w:pPr>
        <w:ind w:left="4320" w:hanging="180"/>
      </w:pPr>
    </w:lvl>
    <w:lvl w:ilvl="6" w:tplc="96F6ED82" w:tentative="1">
      <w:start w:val="1"/>
      <w:numFmt w:val="decimal"/>
      <w:lvlText w:val="%7."/>
      <w:lvlJc w:val="left"/>
      <w:pPr>
        <w:ind w:left="5040" w:hanging="360"/>
      </w:pPr>
    </w:lvl>
    <w:lvl w:ilvl="7" w:tplc="53F092EA" w:tentative="1">
      <w:start w:val="1"/>
      <w:numFmt w:val="lowerLetter"/>
      <w:lvlText w:val="%8."/>
      <w:lvlJc w:val="left"/>
      <w:pPr>
        <w:ind w:left="5760" w:hanging="360"/>
      </w:pPr>
    </w:lvl>
    <w:lvl w:ilvl="8" w:tplc="BC50F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A37C1"/>
    <w:multiLevelType w:val="multilevel"/>
    <w:tmpl w:val="6D608B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5E57D6"/>
    <w:multiLevelType w:val="hybridMultilevel"/>
    <w:tmpl w:val="1BD8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94D35"/>
    <w:multiLevelType w:val="multilevel"/>
    <w:tmpl w:val="DC82F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B0386E"/>
    <w:multiLevelType w:val="hybridMultilevel"/>
    <w:tmpl w:val="027E15DA"/>
    <w:lvl w:ilvl="0" w:tplc="854AE9C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24DF8"/>
    <w:multiLevelType w:val="hybridMultilevel"/>
    <w:tmpl w:val="AEB00898"/>
    <w:lvl w:ilvl="0" w:tplc="4A6CA294">
      <w:start w:val="1"/>
      <w:numFmt w:val="decimal"/>
      <w:lvlText w:val="%1"/>
      <w:lvlJc w:val="left"/>
      <w:pPr>
        <w:ind w:left="113" w:hanging="56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414042"/>
        <w:w w:val="100"/>
        <w:sz w:val="18"/>
        <w:szCs w:val="18"/>
        <w:lang w:val="en-US" w:eastAsia="en-US" w:bidi="ar-SA"/>
      </w:rPr>
    </w:lvl>
    <w:lvl w:ilvl="1" w:tplc="9C862A7E">
      <w:numFmt w:val="bullet"/>
      <w:lvlText w:val="•"/>
      <w:lvlJc w:val="left"/>
      <w:pPr>
        <w:ind w:left="811" w:hanging="567"/>
      </w:pPr>
      <w:rPr>
        <w:rFonts w:hint="default"/>
        <w:lang w:val="en-US" w:eastAsia="en-US" w:bidi="ar-SA"/>
      </w:rPr>
    </w:lvl>
    <w:lvl w:ilvl="2" w:tplc="8352725E">
      <w:numFmt w:val="bullet"/>
      <w:lvlText w:val="•"/>
      <w:lvlJc w:val="left"/>
      <w:pPr>
        <w:ind w:left="1502" w:hanging="567"/>
      </w:pPr>
      <w:rPr>
        <w:rFonts w:hint="default"/>
        <w:lang w:val="en-US" w:eastAsia="en-US" w:bidi="ar-SA"/>
      </w:rPr>
    </w:lvl>
    <w:lvl w:ilvl="3" w:tplc="0E762708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A02AF5CC">
      <w:numFmt w:val="bullet"/>
      <w:lvlText w:val="•"/>
      <w:lvlJc w:val="left"/>
      <w:pPr>
        <w:ind w:left="2884" w:hanging="567"/>
      </w:pPr>
      <w:rPr>
        <w:rFonts w:hint="default"/>
        <w:lang w:val="en-US" w:eastAsia="en-US" w:bidi="ar-SA"/>
      </w:rPr>
    </w:lvl>
    <w:lvl w:ilvl="5" w:tplc="413E4278">
      <w:numFmt w:val="bullet"/>
      <w:lvlText w:val="•"/>
      <w:lvlJc w:val="left"/>
      <w:pPr>
        <w:ind w:left="3575" w:hanging="567"/>
      </w:pPr>
      <w:rPr>
        <w:rFonts w:hint="default"/>
        <w:lang w:val="en-US" w:eastAsia="en-US" w:bidi="ar-SA"/>
      </w:rPr>
    </w:lvl>
    <w:lvl w:ilvl="6" w:tplc="6C4E7802">
      <w:numFmt w:val="bullet"/>
      <w:lvlText w:val="•"/>
      <w:lvlJc w:val="left"/>
      <w:pPr>
        <w:ind w:left="4266" w:hanging="567"/>
      </w:pPr>
      <w:rPr>
        <w:rFonts w:hint="default"/>
        <w:lang w:val="en-US" w:eastAsia="en-US" w:bidi="ar-SA"/>
      </w:rPr>
    </w:lvl>
    <w:lvl w:ilvl="7" w:tplc="6DCCCE1E">
      <w:numFmt w:val="bullet"/>
      <w:lvlText w:val="•"/>
      <w:lvlJc w:val="left"/>
      <w:pPr>
        <w:ind w:left="4957" w:hanging="567"/>
      </w:pPr>
      <w:rPr>
        <w:rFonts w:hint="default"/>
        <w:lang w:val="en-US" w:eastAsia="en-US" w:bidi="ar-SA"/>
      </w:rPr>
    </w:lvl>
    <w:lvl w:ilvl="8" w:tplc="E8687E46">
      <w:numFmt w:val="bullet"/>
      <w:lvlText w:val="•"/>
      <w:lvlJc w:val="left"/>
      <w:pPr>
        <w:ind w:left="5648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4D3A5FC8"/>
    <w:multiLevelType w:val="hybridMultilevel"/>
    <w:tmpl w:val="95E27F98"/>
    <w:lvl w:ilvl="0" w:tplc="D5DE5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EB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C5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6B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61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E1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2D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C1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57041"/>
    <w:multiLevelType w:val="multilevel"/>
    <w:tmpl w:val="B97A2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4B70DC2"/>
    <w:multiLevelType w:val="hybridMultilevel"/>
    <w:tmpl w:val="15CC9970"/>
    <w:lvl w:ilvl="0" w:tplc="4998D808">
      <w:start w:val="1"/>
      <w:numFmt w:val="decimal"/>
      <w:lvlText w:val="%1."/>
      <w:lvlJc w:val="left"/>
      <w:pPr>
        <w:ind w:left="720" w:hanging="360"/>
      </w:pPr>
    </w:lvl>
    <w:lvl w:ilvl="1" w:tplc="6524ABC0" w:tentative="1">
      <w:start w:val="1"/>
      <w:numFmt w:val="lowerLetter"/>
      <w:lvlText w:val="%2."/>
      <w:lvlJc w:val="left"/>
      <w:pPr>
        <w:ind w:left="1440" w:hanging="360"/>
      </w:pPr>
    </w:lvl>
    <w:lvl w:ilvl="2" w:tplc="5A80697A" w:tentative="1">
      <w:start w:val="1"/>
      <w:numFmt w:val="lowerRoman"/>
      <w:lvlText w:val="%3."/>
      <w:lvlJc w:val="right"/>
      <w:pPr>
        <w:ind w:left="2160" w:hanging="180"/>
      </w:pPr>
    </w:lvl>
    <w:lvl w:ilvl="3" w:tplc="D8528316" w:tentative="1">
      <w:start w:val="1"/>
      <w:numFmt w:val="decimal"/>
      <w:lvlText w:val="%4."/>
      <w:lvlJc w:val="left"/>
      <w:pPr>
        <w:ind w:left="2880" w:hanging="360"/>
      </w:pPr>
    </w:lvl>
    <w:lvl w:ilvl="4" w:tplc="70B8CC0E" w:tentative="1">
      <w:start w:val="1"/>
      <w:numFmt w:val="lowerLetter"/>
      <w:lvlText w:val="%5."/>
      <w:lvlJc w:val="left"/>
      <w:pPr>
        <w:ind w:left="3600" w:hanging="360"/>
      </w:pPr>
    </w:lvl>
    <w:lvl w:ilvl="5" w:tplc="B658F026" w:tentative="1">
      <w:start w:val="1"/>
      <w:numFmt w:val="lowerRoman"/>
      <w:lvlText w:val="%6."/>
      <w:lvlJc w:val="right"/>
      <w:pPr>
        <w:ind w:left="4320" w:hanging="180"/>
      </w:pPr>
    </w:lvl>
    <w:lvl w:ilvl="6" w:tplc="A6548350" w:tentative="1">
      <w:start w:val="1"/>
      <w:numFmt w:val="decimal"/>
      <w:lvlText w:val="%7."/>
      <w:lvlJc w:val="left"/>
      <w:pPr>
        <w:ind w:left="5040" w:hanging="360"/>
      </w:pPr>
    </w:lvl>
    <w:lvl w:ilvl="7" w:tplc="0C66DFBA" w:tentative="1">
      <w:start w:val="1"/>
      <w:numFmt w:val="lowerLetter"/>
      <w:lvlText w:val="%8."/>
      <w:lvlJc w:val="left"/>
      <w:pPr>
        <w:ind w:left="5760" w:hanging="360"/>
      </w:pPr>
    </w:lvl>
    <w:lvl w:ilvl="8" w:tplc="70A4A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51CA5"/>
    <w:multiLevelType w:val="hybridMultilevel"/>
    <w:tmpl w:val="53F43E88"/>
    <w:lvl w:ilvl="0" w:tplc="6DCE0AEE">
      <w:start w:val="1"/>
      <w:numFmt w:val="decimal"/>
      <w:lvlText w:val="%1."/>
      <w:lvlJc w:val="left"/>
      <w:pPr>
        <w:ind w:left="833" w:hanging="360"/>
      </w:pPr>
    </w:lvl>
    <w:lvl w:ilvl="1" w:tplc="C33ED518" w:tentative="1">
      <w:start w:val="1"/>
      <w:numFmt w:val="lowerLetter"/>
      <w:lvlText w:val="%2."/>
      <w:lvlJc w:val="left"/>
      <w:pPr>
        <w:ind w:left="1553" w:hanging="360"/>
      </w:pPr>
    </w:lvl>
    <w:lvl w:ilvl="2" w:tplc="74DE0462" w:tentative="1">
      <w:start w:val="1"/>
      <w:numFmt w:val="lowerRoman"/>
      <w:lvlText w:val="%3."/>
      <w:lvlJc w:val="right"/>
      <w:pPr>
        <w:ind w:left="2273" w:hanging="180"/>
      </w:pPr>
    </w:lvl>
    <w:lvl w:ilvl="3" w:tplc="74EE535E" w:tentative="1">
      <w:start w:val="1"/>
      <w:numFmt w:val="decimal"/>
      <w:lvlText w:val="%4."/>
      <w:lvlJc w:val="left"/>
      <w:pPr>
        <w:ind w:left="2993" w:hanging="360"/>
      </w:pPr>
    </w:lvl>
    <w:lvl w:ilvl="4" w:tplc="B618532C" w:tentative="1">
      <w:start w:val="1"/>
      <w:numFmt w:val="lowerLetter"/>
      <w:lvlText w:val="%5."/>
      <w:lvlJc w:val="left"/>
      <w:pPr>
        <w:ind w:left="3713" w:hanging="360"/>
      </w:pPr>
    </w:lvl>
    <w:lvl w:ilvl="5" w:tplc="50B8F888" w:tentative="1">
      <w:start w:val="1"/>
      <w:numFmt w:val="lowerRoman"/>
      <w:lvlText w:val="%6."/>
      <w:lvlJc w:val="right"/>
      <w:pPr>
        <w:ind w:left="4433" w:hanging="180"/>
      </w:pPr>
    </w:lvl>
    <w:lvl w:ilvl="6" w:tplc="4558BD80" w:tentative="1">
      <w:start w:val="1"/>
      <w:numFmt w:val="decimal"/>
      <w:lvlText w:val="%7."/>
      <w:lvlJc w:val="left"/>
      <w:pPr>
        <w:ind w:left="5153" w:hanging="360"/>
      </w:pPr>
    </w:lvl>
    <w:lvl w:ilvl="7" w:tplc="66F09B98" w:tentative="1">
      <w:start w:val="1"/>
      <w:numFmt w:val="lowerLetter"/>
      <w:lvlText w:val="%8."/>
      <w:lvlJc w:val="left"/>
      <w:pPr>
        <w:ind w:left="5873" w:hanging="360"/>
      </w:pPr>
    </w:lvl>
    <w:lvl w:ilvl="8" w:tplc="8AD6BF2A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6B93360C"/>
    <w:multiLevelType w:val="hybridMultilevel"/>
    <w:tmpl w:val="6D72369C"/>
    <w:lvl w:ilvl="0" w:tplc="1BBC6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8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A21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5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2B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4E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AD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09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E5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6007D"/>
    <w:multiLevelType w:val="multilevel"/>
    <w:tmpl w:val="DC82F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0ED0C9B"/>
    <w:multiLevelType w:val="hybridMultilevel"/>
    <w:tmpl w:val="B3BE1C44"/>
    <w:lvl w:ilvl="0" w:tplc="02ACF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48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0AC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63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67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4E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A0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F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C1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07011"/>
    <w:multiLevelType w:val="multilevel"/>
    <w:tmpl w:val="F4EED7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38F7977"/>
    <w:multiLevelType w:val="hybridMultilevel"/>
    <w:tmpl w:val="546C29C0"/>
    <w:lvl w:ilvl="0" w:tplc="58704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8A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CC2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ED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2E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24C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42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41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288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F38AE"/>
    <w:multiLevelType w:val="hybridMultilevel"/>
    <w:tmpl w:val="2262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924139571">
    <w:abstractNumId w:val="15"/>
  </w:num>
  <w:num w:numId="3" w16cid:durableId="1159685834">
    <w:abstractNumId w:val="7"/>
  </w:num>
  <w:num w:numId="4" w16cid:durableId="437649889">
    <w:abstractNumId w:val="2"/>
  </w:num>
  <w:num w:numId="5" w16cid:durableId="1881278277">
    <w:abstractNumId w:val="16"/>
  </w:num>
  <w:num w:numId="6" w16cid:durableId="182718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232959">
    <w:abstractNumId w:val="22"/>
  </w:num>
  <w:num w:numId="8" w16cid:durableId="659310726">
    <w:abstractNumId w:val="26"/>
  </w:num>
  <w:num w:numId="9" w16cid:durableId="1335112650">
    <w:abstractNumId w:val="1"/>
  </w:num>
  <w:num w:numId="10" w16cid:durableId="1292705609">
    <w:abstractNumId w:val="18"/>
  </w:num>
  <w:num w:numId="11" w16cid:durableId="740300283">
    <w:abstractNumId w:val="28"/>
  </w:num>
  <w:num w:numId="12" w16cid:durableId="1708526986">
    <w:abstractNumId w:val="13"/>
  </w:num>
  <w:num w:numId="13" w16cid:durableId="237904179">
    <w:abstractNumId w:val="12"/>
  </w:num>
  <w:num w:numId="14" w16cid:durableId="1436367312">
    <w:abstractNumId w:val="10"/>
  </w:num>
  <w:num w:numId="15" w16cid:durableId="1750231442">
    <w:abstractNumId w:val="9"/>
  </w:num>
  <w:num w:numId="16" w16cid:durableId="1961111777">
    <w:abstractNumId w:val="14"/>
  </w:num>
  <w:num w:numId="17" w16cid:durableId="539976468">
    <w:abstractNumId w:val="6"/>
  </w:num>
  <w:num w:numId="18" w16cid:durableId="1963221719">
    <w:abstractNumId w:val="23"/>
  </w:num>
  <w:num w:numId="19" w16cid:durableId="676343573">
    <w:abstractNumId w:val="11"/>
  </w:num>
  <w:num w:numId="20" w16cid:durableId="324207347">
    <w:abstractNumId w:val="8"/>
  </w:num>
  <w:num w:numId="21" w16cid:durableId="246154933">
    <w:abstractNumId w:val="21"/>
  </w:num>
  <w:num w:numId="22" w16cid:durableId="545876463">
    <w:abstractNumId w:val="25"/>
  </w:num>
  <w:num w:numId="23" w16cid:durableId="1551839850">
    <w:abstractNumId w:val="3"/>
  </w:num>
  <w:num w:numId="24" w16cid:durableId="2124765114">
    <w:abstractNumId w:val="29"/>
  </w:num>
  <w:num w:numId="25" w16cid:durableId="1165243172">
    <w:abstractNumId w:val="27"/>
  </w:num>
  <w:num w:numId="26" w16cid:durableId="824903867">
    <w:abstractNumId w:val="20"/>
  </w:num>
  <w:num w:numId="27" w16cid:durableId="73821620">
    <w:abstractNumId w:val="24"/>
  </w:num>
  <w:num w:numId="28" w16cid:durableId="966398903">
    <w:abstractNumId w:val="4"/>
  </w:num>
  <w:num w:numId="29" w16cid:durableId="1632978683">
    <w:abstractNumId w:val="19"/>
  </w:num>
  <w:num w:numId="30" w16cid:durableId="1417478796">
    <w:abstractNumId w:val="17"/>
  </w:num>
  <w:num w:numId="31" w16cid:durableId="934754066">
    <w:abstractNumId w:val="30"/>
  </w:num>
  <w:num w:numId="32" w16cid:durableId="2143452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2D0F"/>
    <w:rsid w:val="0014734F"/>
    <w:rsid w:val="0015710D"/>
    <w:rsid w:val="00163A32"/>
    <w:rsid w:val="00165D06"/>
    <w:rsid w:val="00192B41"/>
    <w:rsid w:val="001B7B09"/>
    <w:rsid w:val="001E6719"/>
    <w:rsid w:val="001E7F50"/>
    <w:rsid w:val="001F50D9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33C30"/>
    <w:rsid w:val="00442515"/>
    <w:rsid w:val="00447D6D"/>
    <w:rsid w:val="0045686C"/>
    <w:rsid w:val="00465428"/>
    <w:rsid w:val="004918C4"/>
    <w:rsid w:val="00497703"/>
    <w:rsid w:val="004A0374"/>
    <w:rsid w:val="004A45B5"/>
    <w:rsid w:val="004D0129"/>
    <w:rsid w:val="005A64D5"/>
    <w:rsid w:val="005B2BBD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21B6B"/>
    <w:rsid w:val="00840A14"/>
    <w:rsid w:val="00883252"/>
    <w:rsid w:val="008A5BAE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AF11F3"/>
    <w:rsid w:val="00B12A37"/>
    <w:rsid w:val="00B41837"/>
    <w:rsid w:val="00B42F5B"/>
    <w:rsid w:val="00B63EF2"/>
    <w:rsid w:val="00B70753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DB46E9"/>
    <w:rsid w:val="00E176BA"/>
    <w:rsid w:val="00E423EC"/>
    <w:rsid w:val="00E55121"/>
    <w:rsid w:val="00EB4FCB"/>
    <w:rsid w:val="00EC6BC5"/>
    <w:rsid w:val="00F32E52"/>
    <w:rsid w:val="00F35898"/>
    <w:rsid w:val="00F4546D"/>
    <w:rsid w:val="00F5225B"/>
    <w:rsid w:val="00FD115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D8794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LTS FOOTNOTE,DNV-FT,Footnote Text Char Char1,Footnote Text Char Char1 Char1 Char Char,Footnote Text Char1 Char1 Char1 Char,Footnote Text Char1 Char1 Char1 Char Char Char1,Footnote Text Char4 Char Char,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B42F5B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unhideWhenUsed/>
    <w:rsid w:val="00B42F5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42F5B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42F5B"/>
    <w:rPr>
      <w:rFonts w:asciiTheme="minorHAnsi" w:hAnsiTheme="minorHAnsi"/>
      <w:b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42F5B"/>
    <w:rPr>
      <w:rFonts w:ascii="Calibri" w:hAnsi="Calibri"/>
      <w:b/>
      <w:sz w:val="26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42F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2F5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B42F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Theme="minorEastAsia" w:cs="Calibri"/>
      <w:szCs w:val="22"/>
      <w:lang w:val="en-US"/>
      <w14:ligatures w14:val="standardContextual"/>
    </w:rPr>
  </w:style>
  <w:style w:type="paragraph" w:customStyle="1" w:styleId="msonormal0">
    <w:name w:val="msonormal"/>
    <w:basedOn w:val="Normal"/>
    <w:rsid w:val="00B42F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eastAsia="en-GB"/>
    </w:rPr>
  </w:style>
  <w:style w:type="table" w:customStyle="1" w:styleId="GridTable3-Accent11">
    <w:name w:val="Grid Table 3 - Accent 11"/>
    <w:basedOn w:val="TableNormal"/>
    <w:uiPriority w:val="48"/>
    <w:rsid w:val="00B42F5B"/>
    <w:rPr>
      <w:rFonts w:asciiTheme="minorHAnsi" w:eastAsia="SimSun" w:hAnsiTheme="minorHAnsi" w:cstheme="minorBidi"/>
      <w:kern w:val="2"/>
      <w:sz w:val="22"/>
      <w:szCs w:val="22"/>
      <w:lang w:val="en-GB" w:eastAsia="en-US"/>
      <w14:ligatures w14:val="standardContextu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B42F5B"/>
    <w:rPr>
      <w:rFonts w:asciiTheme="minorHAnsi" w:eastAsia="SimSun" w:hAnsiTheme="minorHAnsi" w:cstheme="minorBidi"/>
      <w:kern w:val="2"/>
      <w:sz w:val="22"/>
      <w:szCs w:val="22"/>
      <w:lang w:val="en-GB"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FootnoteTextChar">
    <w:name w:val="Footnote Text Char"/>
    <w:aliases w:val="ALTS FOOTNOTE Char,DNV-FT Char,Footnote Text Char Char1 Char,Footnote Text Char Char1 Char1 Char Char Char,Footnote Text Char1 Char1 Char1 Char Char,Footnote Text Char1 Char1 Char1 Char Char Char1 Char,footnote text Char1"/>
    <w:basedOn w:val="DefaultParagraphFont"/>
    <w:link w:val="FootnoteText"/>
    <w:rsid w:val="00B42F5B"/>
    <w:rPr>
      <w:rFonts w:ascii="Calibri" w:hAnsi="Calibr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42F5B"/>
    <w:rPr>
      <w:rFonts w:ascii="Calibri" w:hAnsi="Calibri"/>
      <w:caps/>
      <w:noProof/>
      <w:sz w:val="16"/>
      <w:lang w:val="fr-FR" w:eastAsia="en-US"/>
    </w:rPr>
  </w:style>
  <w:style w:type="character" w:customStyle="1" w:styleId="ui-provider">
    <w:name w:val="ui-provider"/>
    <w:basedOn w:val="DefaultParagraphFont"/>
    <w:rsid w:val="00B42F5B"/>
  </w:style>
  <w:style w:type="paragraph" w:customStyle="1" w:styleId="xl65">
    <w:name w:val="xl65"/>
    <w:basedOn w:val="Normal"/>
    <w:rsid w:val="00B4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B42F5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B42F5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B42F5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B42F5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B42F5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75">
    <w:name w:val="xl75"/>
    <w:basedOn w:val="Normal"/>
    <w:rsid w:val="00B42F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SimSun" w:cs="Calibri"/>
      <w:color w:val="000000"/>
      <w:sz w:val="24"/>
      <w:szCs w:val="24"/>
      <w:lang w:eastAsia="en-GB"/>
    </w:rPr>
  </w:style>
  <w:style w:type="paragraph" w:customStyle="1" w:styleId="xl76">
    <w:name w:val="xl76"/>
    <w:basedOn w:val="Normal"/>
    <w:rsid w:val="00B42F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SimSun" w:cs="Calibri"/>
      <w:color w:val="000000"/>
      <w:sz w:val="24"/>
      <w:szCs w:val="24"/>
      <w:lang w:eastAsia="en-GB"/>
    </w:rPr>
  </w:style>
  <w:style w:type="paragraph" w:customStyle="1" w:styleId="xl77">
    <w:name w:val="xl77"/>
    <w:basedOn w:val="Normal"/>
    <w:rsid w:val="00B42F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Calibri"/>
      <w:color w:val="000000"/>
      <w:sz w:val="24"/>
      <w:szCs w:val="24"/>
      <w:lang w:eastAsia="en-GB"/>
    </w:rPr>
  </w:style>
  <w:style w:type="character" w:customStyle="1" w:styleId="FootnoteTextChar1">
    <w:name w:val="Footnote Text Char1"/>
    <w:aliases w:val="ALTS FOOTNOTE Char1,DNV-FT Char1,Footnote Text Char Char1 Char1,Footnote Text Char Char1 Char1 Char Char Char1,Footnote Text Char1 Char1 Char1 Char Char1,Footnote Text Char4 Char Char Char1,footnote text Char"/>
    <w:locked/>
    <w:rsid w:val="00B42F5B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B42F5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B42F5B"/>
    <w:rPr>
      <w:rFonts w:ascii="Calibri" w:eastAsiaTheme="minorEastAsia" w:hAnsi="Calibri" w:cs="Calibri"/>
      <w:sz w:val="22"/>
      <w:szCs w:val="22"/>
      <w:lang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B42F5B"/>
    <w:rPr>
      <w:rFonts w:asciiTheme="minorHAnsi" w:hAnsiTheme="minorHAnsi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42F5B"/>
    <w:rPr>
      <w:rFonts w:asciiTheme="minorHAnsi" w:hAnsiTheme="minorHAnsi"/>
      <w:sz w:val="22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B42F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Theme="minorEastAsia" w:hAnsi="Times New Roman"/>
      <w:sz w:val="24"/>
      <w:szCs w:val="24"/>
      <w:lang w:val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B42F5B"/>
    <w:rPr>
      <w:rFonts w:ascii="Times New Roman" w:eastAsiaTheme="minorEastAsia" w:hAnsi="Times New Roman"/>
      <w:sz w:val="24"/>
      <w:szCs w:val="24"/>
      <w:lang w:eastAsia="en-US"/>
      <w14:ligatures w14:val="standardContextual"/>
    </w:rPr>
  </w:style>
  <w:style w:type="character" w:styleId="CommentReference">
    <w:name w:val="annotation reference"/>
    <w:basedOn w:val="DefaultParagraphFont"/>
    <w:semiHidden/>
    <w:unhideWhenUsed/>
    <w:rsid w:val="00B42F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2F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eastAsia="SimSun"/>
      <w:sz w:val="20"/>
    </w:rPr>
  </w:style>
  <w:style w:type="character" w:customStyle="1" w:styleId="CommentTextChar">
    <w:name w:val="Comment Text Char"/>
    <w:basedOn w:val="DefaultParagraphFont"/>
    <w:link w:val="CommentText"/>
    <w:rsid w:val="00B42F5B"/>
    <w:rPr>
      <w:rFonts w:ascii="Calibri" w:eastAsia="SimSun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2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2F5B"/>
    <w:rPr>
      <w:rFonts w:ascii="Calibri" w:eastAsia="SimSun" w:hAnsi="Calibri"/>
      <w:b/>
      <w:bCs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B42F5B"/>
    <w:rPr>
      <w:rFonts w:eastAsia="SimSu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B42F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numlev1Char">
    <w:name w:val="enumlev1 Char"/>
    <w:basedOn w:val="DefaultParagraphFont"/>
    <w:link w:val="enumlev1"/>
    <w:locked/>
    <w:rsid w:val="00B42F5B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42F5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2F5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R-RES-R.74-2023" TargetMode="External"/><Relationship Id="rId18" Type="http://schemas.openxmlformats.org/officeDocument/2006/relationships/hyperlink" Target="https://www.itu.int/en/council/Documents/2024/036e-Table9.pdf" TargetMode="External"/><Relationship Id="rId26" Type="http://schemas.openxmlformats.org/officeDocument/2006/relationships/hyperlink" Target="https://www.itu.int/en/ITU-D/Emergency-Telecommunications/Pages/Events/2023/COP-28-EW4All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pub/R-RES-R.74-2023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d/meetings/gsr-24/programme/schedule/session-details/?sessionid=21" TargetMode="External"/><Relationship Id="rId17" Type="http://schemas.openxmlformats.org/officeDocument/2006/relationships/hyperlink" Target="https://www.itu.int/en/council/Documents/2024/036e-Table6.pdf" TargetMode="External"/><Relationship Id="rId25" Type="http://schemas.openxmlformats.org/officeDocument/2006/relationships/hyperlink" Target="https://www.itu.int/en/ITU-D/Emergency-Telecommunications/Pages/Early-Warnings-for-All-Initiative.aspx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ocuments/2024/036e-Table1.pdf" TargetMode="External"/><Relationship Id="rId20" Type="http://schemas.openxmlformats.org/officeDocument/2006/relationships/hyperlink" Target="https://www.itu.int/pub/R-HDB-65-2023" TargetMode="External"/><Relationship Id="rId29" Type="http://schemas.openxmlformats.org/officeDocument/2006/relationships/hyperlink" Target="https://www.un.org/sites/un2.un.org/files/our-common-agenda-policy-brief-outer-space-e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d/meetings/gsr-24/programme/schedule/session-details/?sessionid=8" TargetMode="External"/><Relationship Id="rId24" Type="http://schemas.openxmlformats.org/officeDocument/2006/relationships/hyperlink" Target="https://www.itu.int/dms_pub/itu-d/opb/tdc/D-TDC-WTDC-2022-PDF-R.pdf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00-CA-CIR-0272/en" TargetMode="External"/><Relationship Id="rId23" Type="http://schemas.openxmlformats.org/officeDocument/2006/relationships/hyperlink" Target="https://www.itu.int/en/council/Documents/basic-texts-2023/RES-136-R.pdf" TargetMode="External"/><Relationship Id="rId28" Type="http://schemas.openxmlformats.org/officeDocument/2006/relationships/hyperlink" Target="https://www.unoosa.org/res/oosadoc/data/documents/2023/a/a7820_0_html/A_78_020E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net4/wsis/forum/2024/ru/Agenda/Session/491" TargetMode="External"/><Relationship Id="rId19" Type="http://schemas.openxmlformats.org/officeDocument/2006/relationships/hyperlink" Target="https://www.itu.int/md/S24-CL-C-0055/en" TargetMode="External"/><Relationship Id="rId31" Type="http://schemas.openxmlformats.org/officeDocument/2006/relationships/hyperlink" Target="https://www.unoosa.org/oosa/oosadoc/data/documents/2022/aac.105/aac.1051264_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58/en" TargetMode="External"/><Relationship Id="rId14" Type="http://schemas.openxmlformats.org/officeDocument/2006/relationships/hyperlink" Target="https://www.itu.int/space-sustainability/" TargetMode="External"/><Relationship Id="rId22" Type="http://schemas.openxmlformats.org/officeDocument/2006/relationships/hyperlink" Target="http://earlywarningsforall.org/" TargetMode="External"/><Relationship Id="rId27" Type="http://schemas.openxmlformats.org/officeDocument/2006/relationships/hyperlink" Target="https://www.unoosa.org/oosa/en/ourwork/un-space/po.html" TargetMode="External"/><Relationship Id="rId30" Type="http://schemas.openxmlformats.org/officeDocument/2006/relationships/hyperlink" Target="https://www.unoosa.org/oosa/en/ourwork/un-space/reports_publications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itu.int/en/council/Documents/basic-texts-2023/RES-218-R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dms_pub/itu-d/opb/tdc/D-TDC-WTDC-2022-PDF-R.pdf" TargetMode="External"/><Relationship Id="rId1" Type="http://schemas.openxmlformats.org/officeDocument/2006/relationships/hyperlink" Target="https://www.itu.int/en/council/Documents/basic-texts-2023/RES-136-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9F93-CA1C-4ECF-A438-252FE480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32</TotalTime>
  <Pages>20</Pages>
  <Words>6077</Words>
  <Characters>42867</Characters>
  <Application>Microsoft Office Word</Application>
  <DocSecurity>0</DocSecurity>
  <Lines>357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48847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Fedosova, Elena</cp:lastModifiedBy>
  <cp:revision>5</cp:revision>
  <cp:lastPrinted>2006-03-28T16:12:00Z</cp:lastPrinted>
  <dcterms:created xsi:type="dcterms:W3CDTF">2024-05-29T08:50:00Z</dcterms:created>
  <dcterms:modified xsi:type="dcterms:W3CDTF">2024-05-29T09:56:00Z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