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796BD3" w:rsidRPr="00813E5E" w14:paraId="590FB253" w14:textId="77777777" w:rsidTr="00E31DCE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09D32FD7" w14:textId="7AF0A92E" w:rsidR="00796BD3" w:rsidRPr="00E85629" w:rsidRDefault="0033025A" w:rsidP="0033025A">
            <w:pPr>
              <w:tabs>
                <w:tab w:val="clear" w:pos="1588"/>
                <w:tab w:val="clear" w:pos="1985"/>
                <w:tab w:val="left" w:pos="851"/>
                <w:tab w:val="center" w:pos="1930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r w:rsidRPr="0033025A">
              <w:rPr>
                <w:b/>
              </w:rPr>
              <w:t>Пункт повестки дня:</w:t>
            </w:r>
            <w:r w:rsidR="007F23B5" w:rsidRPr="007F23B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7F23B5" w:rsidRPr="007F23B5">
              <w:rPr>
                <w:b/>
                <w:bCs/>
                <w:lang w:val="ru-RU"/>
              </w:rPr>
              <w:t>PL 1</w:t>
            </w:r>
          </w:p>
        </w:tc>
        <w:tc>
          <w:tcPr>
            <w:tcW w:w="5245" w:type="dxa"/>
          </w:tcPr>
          <w:p w14:paraId="05DF0D59" w14:textId="5F825CE5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 xml:space="preserve">Документ </w:t>
            </w:r>
            <w:r w:rsidR="00796BD3">
              <w:rPr>
                <w:b/>
              </w:rPr>
              <w:t>C2</w:t>
            </w:r>
            <w:r w:rsidR="00660449">
              <w:rPr>
                <w:b/>
              </w:rPr>
              <w:t>4</w:t>
            </w:r>
            <w:r w:rsidR="00796BD3">
              <w:rPr>
                <w:b/>
              </w:rPr>
              <w:t>/</w:t>
            </w:r>
            <w:r w:rsidR="007F23B5">
              <w:rPr>
                <w:b/>
                <w:lang w:val="ru-RU"/>
              </w:rPr>
              <w:t>35</w:t>
            </w:r>
            <w:r w:rsidR="00796BD3">
              <w:rPr>
                <w:b/>
              </w:rPr>
              <w:t>-R</w:t>
            </w:r>
          </w:p>
        </w:tc>
      </w:tr>
      <w:tr w:rsidR="00796BD3" w:rsidRPr="00813E5E" w14:paraId="52B5D509" w14:textId="77777777" w:rsidTr="00E31DCE">
        <w:trPr>
          <w:cantSplit/>
        </w:trPr>
        <w:tc>
          <w:tcPr>
            <w:tcW w:w="3969" w:type="dxa"/>
            <w:vMerge/>
          </w:tcPr>
          <w:p w14:paraId="4A38ED53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3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04F55476" w14:textId="33B6FE60" w:rsidR="00796BD3" w:rsidRPr="007F23B5" w:rsidRDefault="00E557F9" w:rsidP="00E31DCE">
            <w:pPr>
              <w:tabs>
                <w:tab w:val="left" w:pos="851"/>
              </w:tabs>
              <w:spacing w:before="0"/>
              <w:jc w:val="right"/>
              <w:rPr>
                <w:b/>
                <w:lang w:val="ru-RU"/>
              </w:rPr>
            </w:pPr>
            <w:r>
              <w:rPr>
                <w:b/>
                <w:lang w:val="en-US"/>
              </w:rPr>
              <w:t xml:space="preserve">9 </w:t>
            </w:r>
            <w:r>
              <w:rPr>
                <w:b/>
                <w:lang w:val="ru-RU"/>
              </w:rPr>
              <w:t>мая</w:t>
            </w:r>
            <w:r w:rsidR="007F23B5" w:rsidRPr="007F23B5">
              <w:rPr>
                <w:b/>
                <w:bCs/>
                <w:lang w:val="ru-RU"/>
              </w:rPr>
              <w:t xml:space="preserve"> </w:t>
            </w:r>
            <w:r w:rsidR="00796BD3">
              <w:rPr>
                <w:b/>
              </w:rPr>
              <w:t>202</w:t>
            </w:r>
            <w:r w:rsidR="00660449">
              <w:rPr>
                <w:b/>
              </w:rPr>
              <w:t>4</w:t>
            </w:r>
            <w:r w:rsidR="007F23B5">
              <w:rPr>
                <w:b/>
                <w:lang w:val="ru-RU"/>
              </w:rPr>
              <w:t xml:space="preserve"> года</w:t>
            </w:r>
          </w:p>
        </w:tc>
      </w:tr>
      <w:tr w:rsidR="00796BD3" w:rsidRPr="00813E5E" w14:paraId="105B1C7C" w14:textId="77777777" w:rsidTr="00E31DCE">
        <w:trPr>
          <w:cantSplit/>
          <w:trHeight w:val="23"/>
        </w:trPr>
        <w:tc>
          <w:tcPr>
            <w:tcW w:w="3969" w:type="dxa"/>
            <w:vMerge/>
          </w:tcPr>
          <w:p w14:paraId="24BA8D84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orlang" w:colFirst="1" w:colLast="1"/>
            <w:bookmarkEnd w:id="3"/>
          </w:p>
        </w:tc>
        <w:tc>
          <w:tcPr>
            <w:tcW w:w="5245" w:type="dxa"/>
          </w:tcPr>
          <w:p w14:paraId="23D3D33A" w14:textId="77777777" w:rsidR="00796BD3" w:rsidRPr="00E85629" w:rsidRDefault="0033025A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33025A">
              <w:rPr>
                <w:b/>
              </w:rPr>
              <w:t>Оригинал: английский</w:t>
            </w:r>
          </w:p>
        </w:tc>
      </w:tr>
      <w:tr w:rsidR="00796BD3" w:rsidRPr="00813E5E" w14:paraId="46BCA329" w14:textId="77777777" w:rsidTr="00E31DCE">
        <w:trPr>
          <w:cantSplit/>
          <w:trHeight w:val="23"/>
        </w:trPr>
        <w:tc>
          <w:tcPr>
            <w:tcW w:w="3969" w:type="dxa"/>
          </w:tcPr>
          <w:p w14:paraId="12606E4F" w14:textId="77777777" w:rsidR="00796BD3" w:rsidRPr="00813E5E" w:rsidRDefault="00796BD3" w:rsidP="00E31DCE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18747517" w14:textId="77777777" w:rsidR="00796BD3" w:rsidRDefault="00796BD3" w:rsidP="00E31DCE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796BD3" w:rsidRPr="00813E5E" w14:paraId="2D8F8679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4DCC3163" w14:textId="77777777" w:rsidR="00796BD3" w:rsidRPr="00672F8A" w:rsidRDefault="0033025A" w:rsidP="00672F8A">
            <w:pPr>
              <w:pStyle w:val="Source"/>
              <w:jc w:val="left"/>
              <w:rPr>
                <w:sz w:val="32"/>
                <w:szCs w:val="32"/>
              </w:rPr>
            </w:pPr>
            <w:bookmarkStart w:id="5" w:name="dsource" w:colFirst="0" w:colLast="0"/>
            <w:bookmarkEnd w:id="4"/>
            <w:r w:rsidRPr="00672F8A">
              <w:rPr>
                <w:rFonts w:cstheme="minorHAnsi"/>
                <w:sz w:val="32"/>
                <w:szCs w:val="32"/>
                <w:lang w:val="ru-RU"/>
              </w:rPr>
              <w:t>Отчет Генерального секретаря</w:t>
            </w:r>
          </w:p>
        </w:tc>
      </w:tr>
      <w:tr w:rsidR="00796BD3" w:rsidRPr="00177CCD" w14:paraId="3FCEFC83" w14:textId="77777777" w:rsidTr="00E31DCE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6268BD2" w14:textId="12698433" w:rsidR="00796BD3" w:rsidRPr="007F23B5" w:rsidRDefault="007F23B5" w:rsidP="00E31DCE">
            <w:pPr>
              <w:pStyle w:val="Subtitle"/>
              <w:framePr w:hSpace="0" w:wrap="auto" w:hAnchor="text" w:xAlign="left" w:yAlign="inline"/>
              <w:rPr>
                <w:sz w:val="32"/>
                <w:szCs w:val="32"/>
                <w:lang w:val="ru-RU"/>
              </w:rPr>
            </w:pPr>
            <w:bookmarkStart w:id="6" w:name="dtitle1" w:colFirst="0" w:colLast="0"/>
            <w:bookmarkEnd w:id="5"/>
            <w:r w:rsidRPr="007F23B5">
              <w:rPr>
                <w:rFonts w:cstheme="minorHAnsi"/>
                <w:sz w:val="32"/>
                <w:szCs w:val="32"/>
                <w:lang w:val="ru-RU"/>
              </w:rPr>
              <w:t xml:space="preserve">ОТЧЕТ О ВЫПОЛНЕНИИ СТРАТЕГИЧЕСКОГО ПЛАНА </w:t>
            </w:r>
            <w:r>
              <w:rPr>
                <w:rFonts w:cstheme="minorHAnsi"/>
                <w:sz w:val="32"/>
                <w:szCs w:val="32"/>
                <w:lang w:val="ru-RU"/>
              </w:rPr>
              <w:br/>
            </w:r>
            <w:r w:rsidRPr="007F23B5">
              <w:rPr>
                <w:rFonts w:cstheme="minorHAnsi"/>
                <w:sz w:val="32"/>
                <w:szCs w:val="32"/>
                <w:lang w:val="ru-RU"/>
              </w:rPr>
              <w:t xml:space="preserve">И О ДЕЯТЕЛЬНОСТИ СОЮЗА, МАЙ 2023 ГОДА </w:t>
            </w:r>
            <w:r w:rsidR="00E41F68" w:rsidRPr="00E41F68">
              <w:rPr>
                <w:rFonts w:cstheme="minorHAnsi"/>
                <w:sz w:val="32"/>
                <w:szCs w:val="32"/>
                <w:lang w:val="ru-RU"/>
              </w:rPr>
              <w:t>−</w:t>
            </w:r>
            <w:r w:rsidRPr="007F23B5">
              <w:rPr>
                <w:rFonts w:cstheme="minorHAnsi"/>
                <w:sz w:val="32"/>
                <w:szCs w:val="32"/>
                <w:lang w:val="ru-RU"/>
              </w:rPr>
              <w:t xml:space="preserve"> АПРЕЛЬ 2024 ГОДА</w:t>
            </w:r>
          </w:p>
        </w:tc>
      </w:tr>
      <w:tr w:rsidR="00796BD3" w:rsidRPr="00177CCD" w14:paraId="7D5D9643" w14:textId="77777777" w:rsidTr="00E31DCE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02BA05EF" w14:textId="69C546C7" w:rsidR="00796BD3" w:rsidRPr="007F23B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F23B5">
              <w:rPr>
                <w:b/>
                <w:bCs/>
                <w:sz w:val="24"/>
                <w:szCs w:val="24"/>
                <w:lang w:val="ru-RU"/>
              </w:rPr>
              <w:t>Назначение</w:t>
            </w:r>
          </w:p>
          <w:p w14:paraId="35825B38" w14:textId="0441F1FF" w:rsidR="00796BD3" w:rsidRPr="007F23B5" w:rsidRDefault="007F23B5" w:rsidP="00E31DCE">
            <w:pPr>
              <w:rPr>
                <w:lang w:val="ru-RU"/>
              </w:rPr>
            </w:pPr>
            <w:r w:rsidRPr="007F23B5">
              <w:rPr>
                <w:lang w:val="ru-RU"/>
              </w:rPr>
              <w:t>Отчет о выполнении Стратегических планов Союза на 2019</w:t>
            </w:r>
            <w:r w:rsidR="002D0264" w:rsidRPr="002D0264">
              <w:rPr>
                <w:lang w:val="ru-RU"/>
              </w:rPr>
              <w:t>−</w:t>
            </w:r>
            <w:r w:rsidRPr="007F23B5">
              <w:rPr>
                <w:lang w:val="ru-RU"/>
              </w:rPr>
              <w:t>2023 годы и 2024</w:t>
            </w:r>
            <w:r w:rsidR="002D0264" w:rsidRPr="002D0264">
              <w:rPr>
                <w:lang w:val="ru-RU"/>
              </w:rPr>
              <w:t>−</w:t>
            </w:r>
            <w:r w:rsidRPr="007F23B5">
              <w:rPr>
                <w:lang w:val="ru-RU"/>
              </w:rPr>
              <w:t>2027 годы, соответствующий деятельности/результатам за период с мая 2023 года по апрель 2024 года.</w:t>
            </w:r>
          </w:p>
          <w:p w14:paraId="64F2526E" w14:textId="77777777" w:rsidR="00796BD3" w:rsidRPr="007F23B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F23B5">
              <w:rPr>
                <w:b/>
                <w:bCs/>
                <w:sz w:val="24"/>
                <w:szCs w:val="24"/>
                <w:lang w:val="ru-RU"/>
              </w:rPr>
              <w:t>Необходимые действия Совета</w:t>
            </w:r>
          </w:p>
          <w:p w14:paraId="3F5123B2" w14:textId="54F77721" w:rsidR="00796BD3" w:rsidRPr="007F23B5" w:rsidRDefault="007F23B5" w:rsidP="00E31DCE">
            <w:pPr>
              <w:rPr>
                <w:lang w:val="ru-RU"/>
              </w:rPr>
            </w:pPr>
            <w:r w:rsidRPr="007F23B5">
              <w:rPr>
                <w:lang w:val="ru-RU"/>
              </w:rPr>
              <w:t xml:space="preserve">Совету предлагается </w:t>
            </w:r>
            <w:r w:rsidRPr="007F23B5">
              <w:rPr>
                <w:b/>
                <w:bCs/>
                <w:lang w:val="ru-RU"/>
              </w:rPr>
              <w:t>утвердить</w:t>
            </w:r>
            <w:r w:rsidRPr="007F23B5">
              <w:rPr>
                <w:lang w:val="ru-RU"/>
              </w:rPr>
              <w:t xml:space="preserve"> отчет.</w:t>
            </w:r>
          </w:p>
          <w:p w14:paraId="26D3466C" w14:textId="77777777" w:rsidR="00796BD3" w:rsidRPr="007F23B5" w:rsidRDefault="0033025A" w:rsidP="00E31DCE">
            <w:pPr>
              <w:spacing w:before="160"/>
              <w:rPr>
                <w:b/>
                <w:bCs/>
                <w:sz w:val="24"/>
                <w:szCs w:val="24"/>
                <w:lang w:val="ru-RU"/>
              </w:rPr>
            </w:pPr>
            <w:r w:rsidRPr="007F23B5">
              <w:rPr>
                <w:b/>
                <w:bCs/>
                <w:sz w:val="24"/>
                <w:szCs w:val="24"/>
                <w:lang w:val="ru-RU"/>
              </w:rPr>
              <w:t>Соответствующая увязка со Стратегическим планом</w:t>
            </w:r>
          </w:p>
          <w:p w14:paraId="12416026" w14:textId="0BAA06D2" w:rsidR="00796BD3" w:rsidRPr="007F23B5" w:rsidRDefault="007F23B5" w:rsidP="00E31DCE">
            <w:pPr>
              <w:rPr>
                <w:lang w:val="ru-RU"/>
              </w:rPr>
            </w:pPr>
            <w:r w:rsidRPr="007F23B5">
              <w:rPr>
                <w:lang w:val="ru-RU"/>
              </w:rPr>
              <w:t xml:space="preserve">В соответствии с Резолюцией 71 (Пересм. Бухарест, 2022 г.) Полномочной конференции </w:t>
            </w:r>
            <w:r w:rsidR="00E557F9">
              <w:rPr>
                <w:lang w:val="ru-RU"/>
              </w:rPr>
              <w:t xml:space="preserve">МСЭ </w:t>
            </w:r>
            <w:r w:rsidRPr="007F23B5">
              <w:rPr>
                <w:lang w:val="ru-RU"/>
              </w:rPr>
              <w:t>в настоящем документе представлен ежегодный отчет для Совета о выполнении Стратегического плана и о деятельности Союза (сочетающий требования п. 102 Конвенции, т. е. ежегодный отчет о деятельности, и п. 61 Конвенции, т. е. отчет о выполнении Стратегического плана).</w:t>
            </w:r>
          </w:p>
          <w:p w14:paraId="66267F3F" w14:textId="77777777" w:rsidR="00796BD3" w:rsidRPr="007F23B5" w:rsidRDefault="00796BD3" w:rsidP="00E31DCE">
            <w:pPr>
              <w:spacing w:before="160"/>
              <w:rPr>
                <w:caps/>
                <w:sz w:val="20"/>
                <w:szCs w:val="18"/>
                <w:lang w:val="ru-RU"/>
              </w:rPr>
            </w:pPr>
            <w:r w:rsidRPr="007F23B5">
              <w:rPr>
                <w:sz w:val="20"/>
                <w:szCs w:val="18"/>
                <w:lang w:val="ru-RU"/>
              </w:rPr>
              <w:t>__________________</w:t>
            </w:r>
          </w:p>
          <w:p w14:paraId="6DEC88FF" w14:textId="77777777" w:rsidR="00796BD3" w:rsidRPr="007F23B5" w:rsidRDefault="0033025A" w:rsidP="00E31DCE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 w:rsidRPr="007F23B5">
              <w:rPr>
                <w:b/>
                <w:bCs/>
                <w:sz w:val="24"/>
                <w:szCs w:val="24"/>
                <w:lang w:val="ru-RU"/>
              </w:rPr>
              <w:t>Справочные материалы</w:t>
            </w:r>
          </w:p>
          <w:p w14:paraId="26509B2B" w14:textId="759A95CC" w:rsidR="00796BD3" w:rsidRPr="007F23B5" w:rsidRDefault="00177CCD" w:rsidP="00E31DCE">
            <w:pPr>
              <w:spacing w:after="160"/>
              <w:rPr>
                <w:lang w:val="ru-RU"/>
              </w:rPr>
            </w:pPr>
            <w:hyperlink r:id="rId8" w:history="1">
              <w:r w:rsidR="007F23B5" w:rsidRPr="007F23B5">
                <w:rPr>
                  <w:rStyle w:val="Hyperlink"/>
                  <w:i/>
                  <w:iCs/>
                  <w:lang w:val="ru-RU"/>
                </w:rPr>
                <w:t>Резолюция 71</w:t>
              </w:r>
            </w:hyperlink>
            <w:r w:rsidR="007F23B5" w:rsidRPr="007F23B5">
              <w:rPr>
                <w:i/>
                <w:iCs/>
                <w:lang w:val="ru-RU"/>
              </w:rPr>
              <w:t xml:space="preserve"> (</w:t>
            </w:r>
            <w:proofErr w:type="spellStart"/>
            <w:r w:rsidR="007F23B5" w:rsidRPr="007F23B5">
              <w:rPr>
                <w:i/>
                <w:iCs/>
                <w:lang w:val="ru-RU"/>
              </w:rPr>
              <w:t>Пересм</w:t>
            </w:r>
            <w:proofErr w:type="spellEnd"/>
            <w:r w:rsidR="007F23B5" w:rsidRPr="007F23B5">
              <w:rPr>
                <w:i/>
                <w:iCs/>
                <w:lang w:val="ru-RU"/>
              </w:rPr>
              <w:t xml:space="preserve">. Бухарест, 2022 г.) Полномочной конференции, </w:t>
            </w:r>
            <w:hyperlink r:id="rId9" w:history="1">
              <w:r w:rsidR="007F23B5" w:rsidRPr="007F23B5">
                <w:rPr>
                  <w:rStyle w:val="Hyperlink"/>
                  <w:i/>
                  <w:iCs/>
                  <w:lang w:val="ru-RU"/>
                </w:rPr>
                <w:t>Резолюция 151</w:t>
              </w:r>
            </w:hyperlink>
            <w:r w:rsidR="007F23B5" w:rsidRPr="007F23B5">
              <w:rPr>
                <w:i/>
                <w:iCs/>
                <w:lang w:val="ru-RU"/>
              </w:rPr>
              <w:t xml:space="preserve"> (</w:t>
            </w:r>
            <w:proofErr w:type="spellStart"/>
            <w:r w:rsidR="007F23B5" w:rsidRPr="007F23B5">
              <w:rPr>
                <w:i/>
                <w:iCs/>
                <w:lang w:val="ru-RU"/>
              </w:rPr>
              <w:t>Пересм</w:t>
            </w:r>
            <w:proofErr w:type="spellEnd"/>
            <w:r w:rsidR="007F23B5" w:rsidRPr="007F23B5">
              <w:rPr>
                <w:i/>
                <w:iCs/>
                <w:lang w:val="ru-RU"/>
              </w:rPr>
              <w:t xml:space="preserve">. Бухарест, 2022 г.) Полномочной конференции, </w:t>
            </w:r>
            <w:hyperlink r:id="rId10" w:history="1">
              <w:r w:rsidR="007F23B5" w:rsidRPr="007F23B5">
                <w:rPr>
                  <w:rStyle w:val="Hyperlink"/>
                  <w:i/>
                  <w:iCs/>
                  <w:lang w:val="ru-RU"/>
                </w:rPr>
                <w:t>Резолюция 200</w:t>
              </w:r>
            </w:hyperlink>
            <w:r w:rsidR="007F23B5" w:rsidRPr="007F23B5">
              <w:rPr>
                <w:i/>
                <w:iCs/>
                <w:lang w:val="ru-RU"/>
              </w:rPr>
              <w:t xml:space="preserve"> (</w:t>
            </w:r>
            <w:proofErr w:type="spellStart"/>
            <w:r w:rsidR="007F23B5" w:rsidRPr="007F23B5">
              <w:rPr>
                <w:i/>
                <w:iCs/>
                <w:lang w:val="ru-RU"/>
              </w:rPr>
              <w:t>Пересм</w:t>
            </w:r>
            <w:proofErr w:type="spellEnd"/>
            <w:r w:rsidR="007F23B5" w:rsidRPr="007F23B5">
              <w:rPr>
                <w:i/>
                <w:iCs/>
                <w:lang w:val="ru-RU"/>
              </w:rPr>
              <w:t>. Бухарест, 2022 г.) Полномочной конференции, а также</w:t>
            </w:r>
            <w:r w:rsidR="007F23B5" w:rsidRPr="007F23B5">
              <w:rPr>
                <w:lang w:val="ru-RU"/>
              </w:rPr>
              <w:t xml:space="preserve"> </w:t>
            </w:r>
            <w:r w:rsidR="007F23B5" w:rsidRPr="007F23B5">
              <w:rPr>
                <w:i/>
                <w:iCs/>
                <w:lang w:val="ru-RU"/>
              </w:rPr>
              <w:t xml:space="preserve">пункты </w:t>
            </w:r>
            <w:hyperlink r:id="rId11" w:history="1">
              <w:r w:rsidR="007F23B5" w:rsidRPr="007F23B5">
                <w:rPr>
                  <w:rStyle w:val="Hyperlink"/>
                  <w:i/>
                  <w:iCs/>
                  <w:lang w:val="ru-RU"/>
                </w:rPr>
                <w:t>К102</w:t>
              </w:r>
              <w:r w:rsidR="007F23B5" w:rsidRPr="003F24DA">
                <w:rPr>
                  <w:rStyle w:val="Hyperlink"/>
                  <w:i/>
                  <w:iCs/>
                  <w:u w:val="none"/>
                  <w:lang w:val="ru-RU"/>
                </w:rPr>
                <w:t xml:space="preserve"> </w:t>
              </w:r>
              <w:r w:rsidR="007F23B5" w:rsidRPr="00F80885">
                <w:rPr>
                  <w:i/>
                  <w:iCs/>
                  <w:lang w:val="ru-RU"/>
                </w:rPr>
                <w:t>и</w:t>
              </w:r>
              <w:r w:rsidR="007F23B5" w:rsidRPr="003F24DA">
                <w:rPr>
                  <w:rStyle w:val="Hyperlink"/>
                  <w:i/>
                  <w:iCs/>
                  <w:u w:val="none"/>
                  <w:lang w:val="ru-RU"/>
                </w:rPr>
                <w:t xml:space="preserve"> </w:t>
              </w:r>
              <w:r w:rsidR="007F23B5" w:rsidRPr="007F23B5">
                <w:rPr>
                  <w:rStyle w:val="Hyperlink"/>
                  <w:i/>
                  <w:iCs/>
                  <w:lang w:val="ru-RU"/>
                </w:rPr>
                <w:t>К61</w:t>
              </w:r>
            </w:hyperlink>
          </w:p>
        </w:tc>
      </w:tr>
      <w:bookmarkEnd w:id="2"/>
      <w:bookmarkEnd w:id="6"/>
    </w:tbl>
    <w:p w14:paraId="0A5A79C9" w14:textId="77777777" w:rsidR="00796BD3" w:rsidRPr="007F23B5" w:rsidRDefault="00796BD3" w:rsidP="00796BD3">
      <w:pPr>
        <w:rPr>
          <w:lang w:val="ru-RU"/>
        </w:rPr>
      </w:pPr>
    </w:p>
    <w:p w14:paraId="4BFEC7CB" w14:textId="77777777" w:rsidR="00165D06" w:rsidRPr="007F23B5" w:rsidRDefault="00165D0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 w:rsidRPr="007F23B5">
        <w:rPr>
          <w:lang w:val="ru-RU"/>
        </w:rPr>
        <w:br w:type="page"/>
      </w:r>
    </w:p>
    <w:p w14:paraId="10283622" w14:textId="4D3523D3" w:rsidR="007F23B5" w:rsidRPr="00964D8D" w:rsidRDefault="007F23B5" w:rsidP="007F23B5">
      <w:pPr>
        <w:pStyle w:val="Headingb"/>
        <w:rPr>
          <w:rFonts w:cstheme="majorHAnsi"/>
          <w:lang w:val="ru-RU"/>
        </w:rPr>
      </w:pPr>
      <w:bookmarkStart w:id="7" w:name="_Hlk67565195"/>
      <w:r w:rsidRPr="00F644BA">
        <w:rPr>
          <w:lang w:val="ru-RU"/>
        </w:rPr>
        <w:lastRenderedPageBreak/>
        <w:t>Предисловие</w:t>
      </w:r>
    </w:p>
    <w:bookmarkEnd w:id="7"/>
    <w:p w14:paraId="71B16F12" w14:textId="77777777" w:rsidR="007F23B5" w:rsidRPr="00F644BA" w:rsidRDefault="007F23B5" w:rsidP="007F23B5">
      <w:pPr>
        <w:rPr>
          <w:rFonts w:asciiTheme="minorHAnsi" w:hAnsiTheme="minorHAnsi" w:cstheme="minorHAnsi"/>
          <w:lang w:val="ru-RU"/>
        </w:rPr>
      </w:pPr>
      <w:r w:rsidRPr="00F644BA">
        <w:rPr>
          <w:lang w:val="ru-RU"/>
        </w:rPr>
        <w:t>Уважаемые члены сообщества МСЭ,</w:t>
      </w:r>
      <w:bookmarkStart w:id="8" w:name="_Hlk67565419"/>
    </w:p>
    <w:p w14:paraId="3EFEF2A3" w14:textId="58EC8D42" w:rsidR="007F23B5" w:rsidRPr="00F644BA" w:rsidRDefault="007F23B5" w:rsidP="007F23B5">
      <w:pPr>
        <w:rPr>
          <w:lang w:val="ru-RU"/>
        </w:rPr>
      </w:pPr>
      <w:r w:rsidRPr="00F644BA">
        <w:rPr>
          <w:lang w:val="ru-RU"/>
        </w:rPr>
        <w:t xml:space="preserve">В 2023 году цифровые технологии вышли на передний план в глобальной повестке дня, </w:t>
      </w:r>
      <w:r>
        <w:rPr>
          <w:lang w:val="ru-RU"/>
        </w:rPr>
        <w:t xml:space="preserve">став центральной темой обсуждения </w:t>
      </w:r>
      <w:r w:rsidRPr="00F644BA">
        <w:rPr>
          <w:lang w:val="ru-RU"/>
        </w:rPr>
        <w:t>на встречах Группы семи</w:t>
      </w:r>
      <w:r w:rsidR="00744CDE">
        <w:rPr>
          <w:lang w:val="ru-RU"/>
        </w:rPr>
        <w:t>,</w:t>
      </w:r>
      <w:r w:rsidRPr="00F644BA">
        <w:rPr>
          <w:lang w:val="ru-RU"/>
        </w:rPr>
        <w:t xml:space="preserve"> Группы двадцати,</w:t>
      </w:r>
      <w:r w:rsidR="00744CDE">
        <w:rPr>
          <w:lang w:val="ru-RU"/>
        </w:rPr>
        <w:t xml:space="preserve"> Группы 77, а также в рамках ключевых процессов Организации Объединенных Наций,</w:t>
      </w:r>
      <w:r w:rsidRPr="00F644BA">
        <w:rPr>
          <w:lang w:val="ru-RU"/>
        </w:rPr>
        <w:t xml:space="preserve"> </w:t>
      </w:r>
      <w:r w:rsidR="00744CDE">
        <w:rPr>
          <w:lang w:val="ru-RU"/>
        </w:rPr>
        <w:t xml:space="preserve">например </w:t>
      </w:r>
      <w:r w:rsidR="00A8628E">
        <w:rPr>
          <w:lang w:val="ru-RU"/>
        </w:rPr>
        <w:t xml:space="preserve">на </w:t>
      </w:r>
      <w:r w:rsidRPr="00F644BA">
        <w:rPr>
          <w:lang w:val="ru-RU"/>
        </w:rPr>
        <w:t xml:space="preserve">5-й конференции </w:t>
      </w:r>
      <w:r w:rsidR="00744CDE">
        <w:rPr>
          <w:lang w:val="ru-RU"/>
        </w:rPr>
        <w:t>ООН</w:t>
      </w:r>
      <w:r w:rsidRPr="00F644BA">
        <w:rPr>
          <w:lang w:val="ru-RU"/>
        </w:rPr>
        <w:t xml:space="preserve"> по наименее развитым странам</w:t>
      </w:r>
      <w:r w:rsidR="00744CDE">
        <w:rPr>
          <w:lang w:val="ru-RU"/>
        </w:rPr>
        <w:t xml:space="preserve"> </w:t>
      </w:r>
      <w:r w:rsidRPr="00F644BA">
        <w:rPr>
          <w:lang w:val="ru-RU"/>
        </w:rPr>
        <w:t xml:space="preserve">и </w:t>
      </w:r>
      <w:r w:rsidR="00744CDE" w:rsidRPr="00964D8D">
        <w:rPr>
          <w:lang w:val="ru-RU"/>
        </w:rPr>
        <w:t>Саммит</w:t>
      </w:r>
      <w:r w:rsidR="00A8628E">
        <w:rPr>
          <w:lang w:val="ru-RU"/>
        </w:rPr>
        <w:t>е</w:t>
      </w:r>
      <w:r w:rsidR="00744CDE" w:rsidRPr="00964D8D">
        <w:rPr>
          <w:lang w:val="ru-RU"/>
        </w:rPr>
        <w:t xml:space="preserve"> по ЦУР 2023 года, </w:t>
      </w:r>
      <w:r w:rsidR="0081781D">
        <w:rPr>
          <w:lang w:val="ru-RU"/>
        </w:rPr>
        <w:t>на котором прозвучал призыв ускорить</w:t>
      </w:r>
      <w:r w:rsidR="00744CDE" w:rsidRPr="00964D8D">
        <w:rPr>
          <w:lang w:val="ru-RU"/>
        </w:rPr>
        <w:t xml:space="preserve"> прогресс в</w:t>
      </w:r>
      <w:r w:rsidR="0081781D">
        <w:rPr>
          <w:lang w:val="ru-RU"/>
        </w:rPr>
        <w:t xml:space="preserve"> деле</w:t>
      </w:r>
      <w:r w:rsidR="00744CDE" w:rsidRPr="00964D8D">
        <w:rPr>
          <w:lang w:val="ru-RU"/>
        </w:rPr>
        <w:t xml:space="preserve"> достижени</w:t>
      </w:r>
      <w:r w:rsidR="0081781D">
        <w:rPr>
          <w:lang w:val="ru-RU"/>
        </w:rPr>
        <w:t>я</w:t>
      </w:r>
      <w:r w:rsidR="00744CDE" w:rsidRPr="00964D8D">
        <w:rPr>
          <w:lang w:val="ru-RU"/>
        </w:rPr>
        <w:t xml:space="preserve"> </w:t>
      </w:r>
      <w:r w:rsidR="0081781D">
        <w:rPr>
          <w:lang w:val="ru-RU"/>
        </w:rPr>
        <w:t>ц</w:t>
      </w:r>
      <w:r w:rsidR="00744CDE" w:rsidRPr="00964D8D">
        <w:rPr>
          <w:lang w:val="ru-RU"/>
        </w:rPr>
        <w:t>елей</w:t>
      </w:r>
      <w:r w:rsidR="0081781D">
        <w:rPr>
          <w:lang w:val="ru-RU"/>
        </w:rPr>
        <w:t xml:space="preserve"> в области</w:t>
      </w:r>
      <w:r w:rsidR="00744CDE" w:rsidRPr="00964D8D">
        <w:rPr>
          <w:lang w:val="ru-RU"/>
        </w:rPr>
        <w:t xml:space="preserve"> устойчивого развития ООН</w:t>
      </w:r>
      <w:r w:rsidRPr="00F644BA">
        <w:rPr>
          <w:lang w:val="ru-RU"/>
        </w:rPr>
        <w:t>.</w:t>
      </w:r>
    </w:p>
    <w:p w14:paraId="39EBDAEF" w14:textId="05F3F060" w:rsidR="007F23B5" w:rsidRPr="00F644BA" w:rsidRDefault="007F23B5" w:rsidP="007F23B5">
      <w:pPr>
        <w:rPr>
          <w:lang w:val="ru-RU"/>
        </w:rPr>
      </w:pPr>
      <w:r w:rsidRPr="00F644BA">
        <w:rPr>
          <w:lang w:val="ru-RU"/>
        </w:rPr>
        <w:t xml:space="preserve">Международный союз электросвязи (МСЭ) стремится расширить возможности установления цифровых соединений и </w:t>
      </w:r>
      <w:r w:rsidR="00A8628E">
        <w:rPr>
          <w:lang w:val="ru-RU"/>
        </w:rPr>
        <w:t xml:space="preserve">использовать технологии, чтобы </w:t>
      </w:r>
      <w:r w:rsidRPr="00F644BA">
        <w:rPr>
          <w:lang w:val="ru-RU"/>
        </w:rPr>
        <w:t xml:space="preserve">улучшить жизнь и средства к существованию, </w:t>
      </w:r>
      <w:r w:rsidR="00A8628E">
        <w:rPr>
          <w:lang w:val="ru-RU"/>
        </w:rPr>
        <w:t>в том числе</w:t>
      </w:r>
      <w:r w:rsidR="00A8628E" w:rsidRPr="00F644BA">
        <w:rPr>
          <w:lang w:val="ru-RU"/>
        </w:rPr>
        <w:t xml:space="preserve"> </w:t>
      </w:r>
      <w:r w:rsidRPr="00F644BA">
        <w:rPr>
          <w:lang w:val="ru-RU"/>
        </w:rPr>
        <w:t>для 2,6 м</w:t>
      </w:r>
      <w:r>
        <w:rPr>
          <w:lang w:val="ru-RU"/>
        </w:rPr>
        <w:t xml:space="preserve">лрд. </w:t>
      </w:r>
      <w:r w:rsidRPr="00F644BA">
        <w:rPr>
          <w:lang w:val="ru-RU"/>
        </w:rPr>
        <w:t xml:space="preserve">человек, которые, по оценкам, в настоящее время все еще не имеют доступа к интернету. </w:t>
      </w:r>
    </w:p>
    <w:p w14:paraId="464C03C8" w14:textId="7A594CB7" w:rsidR="00A8628E" w:rsidRDefault="007F23B5" w:rsidP="007F23B5">
      <w:pPr>
        <w:rPr>
          <w:lang w:val="ru-RU"/>
        </w:rPr>
      </w:pPr>
      <w:r w:rsidRPr="00F644BA">
        <w:rPr>
          <w:lang w:val="ru-RU"/>
        </w:rPr>
        <w:t xml:space="preserve">Цифровые решения могут помочь в решении самых насущных проблем человечества </w:t>
      </w:r>
      <w:r w:rsidR="00E41F68" w:rsidRPr="00E41F68">
        <w:rPr>
          <w:lang w:val="ru-RU"/>
        </w:rPr>
        <w:t>−</w:t>
      </w:r>
      <w:r w:rsidRPr="00F644BA">
        <w:rPr>
          <w:lang w:val="ru-RU"/>
        </w:rPr>
        <w:t xml:space="preserve"> не в последнюю очередь за счет ускорения </w:t>
      </w:r>
      <w:r w:rsidR="00A8628E">
        <w:rPr>
          <w:lang w:val="ru-RU"/>
        </w:rPr>
        <w:t>инклюзивного устойчивого развития</w:t>
      </w:r>
      <w:r w:rsidRPr="00F644BA">
        <w:rPr>
          <w:lang w:val="ru-RU"/>
        </w:rPr>
        <w:t>.</w:t>
      </w:r>
      <w:r w:rsidR="00A8628E">
        <w:rPr>
          <w:lang w:val="ru-RU"/>
        </w:rPr>
        <w:t xml:space="preserve"> </w:t>
      </w:r>
      <w:r w:rsidR="00A8628E" w:rsidRPr="00A8628E">
        <w:rPr>
          <w:lang w:val="ru-RU"/>
        </w:rPr>
        <w:t>Это, конечно, зависит от использования инновационных технологий, таких как искусственный интеллект (ИИ)</w:t>
      </w:r>
      <w:r w:rsidR="00A8628E">
        <w:rPr>
          <w:lang w:val="ru-RU"/>
        </w:rPr>
        <w:t xml:space="preserve"> во благо всех. </w:t>
      </w:r>
    </w:p>
    <w:p w14:paraId="7660E9B8" w14:textId="2B646452" w:rsidR="007F23B5" w:rsidRPr="00952A66" w:rsidRDefault="007F23B5" w:rsidP="007F23B5">
      <w:pPr>
        <w:rPr>
          <w:lang w:val="ru-RU"/>
        </w:rPr>
      </w:pPr>
      <w:r w:rsidRPr="00952A66">
        <w:rPr>
          <w:lang w:val="ru-RU"/>
        </w:rPr>
        <w:t>Несмотря на реальные риски и растущие опасения, цифровая трансформация дает луч надежды на более светлое будущее.</w:t>
      </w:r>
    </w:p>
    <w:p w14:paraId="6414143B" w14:textId="26ED7F12" w:rsidR="007F23B5" w:rsidRPr="00F644BA" w:rsidRDefault="007F23B5" w:rsidP="007F23B5">
      <w:pPr>
        <w:rPr>
          <w:lang w:val="ru-RU"/>
        </w:rPr>
      </w:pPr>
      <w:r w:rsidRPr="00F644BA">
        <w:rPr>
          <w:lang w:val="ru-RU"/>
        </w:rPr>
        <w:t xml:space="preserve">Цифровой прогресс во всем мире неоспорим, как в технической, так и в политической сфере. Тем не менее цифровой разрыв </w:t>
      </w:r>
      <w:r w:rsidR="00EB771E">
        <w:rPr>
          <w:lang w:val="ru-RU"/>
        </w:rPr>
        <w:t xml:space="preserve">в глобальном масштабе </w:t>
      </w:r>
      <w:r w:rsidRPr="00F644BA">
        <w:rPr>
          <w:lang w:val="ru-RU"/>
        </w:rPr>
        <w:t>сохраняется: доступ к цифровым технологиям и их использование значительно различаются в зависимости от региона, пола, возраста, дохода и других социально-экономических параметров.</w:t>
      </w:r>
    </w:p>
    <w:p w14:paraId="5BA4E61F" w14:textId="262623A1" w:rsidR="00A8628E" w:rsidRPr="00A8628E" w:rsidRDefault="00A8628E" w:rsidP="00A8628E">
      <w:pPr>
        <w:rPr>
          <w:lang w:val="ru-RU"/>
        </w:rPr>
      </w:pPr>
      <w:r w:rsidRPr="00A8628E">
        <w:rPr>
          <w:lang w:val="ru-RU"/>
        </w:rPr>
        <w:t xml:space="preserve">Наряду с теми, кто </w:t>
      </w:r>
      <w:r w:rsidR="00EB771E">
        <w:rPr>
          <w:lang w:val="ru-RU"/>
        </w:rPr>
        <w:t>полностью лишен соединений</w:t>
      </w:r>
      <w:r w:rsidRPr="00A8628E">
        <w:rPr>
          <w:lang w:val="ru-RU"/>
        </w:rPr>
        <w:t>, миллиарды</w:t>
      </w:r>
      <w:r w:rsidR="0081781D">
        <w:rPr>
          <w:lang w:val="ru-RU"/>
        </w:rPr>
        <w:t xml:space="preserve"> других </w:t>
      </w:r>
      <w:r w:rsidRPr="00A8628E">
        <w:rPr>
          <w:lang w:val="ru-RU"/>
        </w:rPr>
        <w:t xml:space="preserve">людей находятся по ту сторону разрыва из-за низкой скорости </w:t>
      </w:r>
      <w:r w:rsidR="00EB771E">
        <w:rPr>
          <w:lang w:val="ru-RU"/>
        </w:rPr>
        <w:t>и</w:t>
      </w:r>
      <w:r w:rsidRPr="00A8628E">
        <w:rPr>
          <w:lang w:val="ru-RU"/>
        </w:rPr>
        <w:t xml:space="preserve">нтернета, недостаточных навыков, отсутствия нужного контента или </w:t>
      </w:r>
      <w:r w:rsidR="00EB771E">
        <w:rPr>
          <w:lang w:val="ru-RU"/>
        </w:rPr>
        <w:t>неприемлемости</w:t>
      </w:r>
      <w:r w:rsidRPr="00A8628E">
        <w:rPr>
          <w:lang w:val="ru-RU"/>
        </w:rPr>
        <w:t xml:space="preserve"> </w:t>
      </w:r>
      <w:r w:rsidR="00EB771E">
        <w:rPr>
          <w:lang w:val="ru-RU"/>
        </w:rPr>
        <w:t>в ценовом отношении</w:t>
      </w:r>
      <w:r w:rsidR="0081781D">
        <w:rPr>
          <w:lang w:val="ru-RU"/>
        </w:rPr>
        <w:t xml:space="preserve"> доступа</w:t>
      </w:r>
      <w:r w:rsidRPr="00A8628E">
        <w:rPr>
          <w:lang w:val="ru-RU"/>
        </w:rPr>
        <w:t>. Примечательно, что сети</w:t>
      </w:r>
      <w:r w:rsidR="00EB771E">
        <w:rPr>
          <w:lang w:val="ru-RU"/>
        </w:rPr>
        <w:t xml:space="preserve"> электросвязи</w:t>
      </w:r>
      <w:r w:rsidRPr="00A8628E">
        <w:rPr>
          <w:lang w:val="ru-RU"/>
        </w:rPr>
        <w:t xml:space="preserve"> 5G, которые сегодня широко распространены в странах с высоким уровнем дохода, по-прежнему практически отсутствуют в странах с низким уровнем дохода</w:t>
      </w:r>
      <w:r w:rsidR="003F24DA">
        <w:rPr>
          <w:lang w:val="ru-RU"/>
        </w:rPr>
        <w:t>.</w:t>
      </w:r>
    </w:p>
    <w:p w14:paraId="3297DCE4" w14:textId="20319349" w:rsidR="00C3247B" w:rsidRDefault="007F23B5" w:rsidP="007F23B5">
      <w:pPr>
        <w:rPr>
          <w:lang w:val="ru-RU"/>
        </w:rPr>
      </w:pPr>
      <w:r w:rsidRPr="00952A66">
        <w:rPr>
          <w:lang w:val="ru-RU"/>
        </w:rPr>
        <w:t>К сожалению, 2023 год также принес гуманитарные кризисы и конфликты в сочетании с экономической неопределенностью, которая усилила масштабы неравенства в мире.</w:t>
      </w:r>
      <w:r w:rsidRPr="00F644BA">
        <w:rPr>
          <w:lang w:val="ru-RU"/>
        </w:rPr>
        <w:t xml:space="preserve"> </w:t>
      </w:r>
      <w:r w:rsidR="00C3247B" w:rsidRPr="00C3247B">
        <w:rPr>
          <w:lang w:val="ru-RU"/>
        </w:rPr>
        <w:t xml:space="preserve">Изменение климата стало повседневной реальностью: </w:t>
      </w:r>
      <w:r w:rsidR="00C3247B">
        <w:rPr>
          <w:lang w:val="ru-RU"/>
        </w:rPr>
        <w:t>паводки</w:t>
      </w:r>
      <w:r w:rsidR="00C3247B" w:rsidRPr="00C3247B">
        <w:rPr>
          <w:lang w:val="ru-RU"/>
        </w:rPr>
        <w:t xml:space="preserve">, засухи и новые </w:t>
      </w:r>
      <w:r w:rsidR="00C3247B">
        <w:rPr>
          <w:lang w:val="ru-RU"/>
        </w:rPr>
        <w:t>рекордные показатели</w:t>
      </w:r>
      <w:r w:rsidR="00C3247B" w:rsidRPr="00C3247B">
        <w:rPr>
          <w:lang w:val="ru-RU"/>
        </w:rPr>
        <w:t xml:space="preserve"> средн</w:t>
      </w:r>
      <w:r w:rsidR="0081781D">
        <w:rPr>
          <w:lang w:val="ru-RU"/>
        </w:rPr>
        <w:t>их</w:t>
      </w:r>
      <w:r w:rsidR="00C3247B" w:rsidRPr="00C3247B">
        <w:rPr>
          <w:lang w:val="ru-RU"/>
        </w:rPr>
        <w:t xml:space="preserve"> температур усугубляют глобальные проблемы</w:t>
      </w:r>
      <w:r w:rsidR="003F24DA">
        <w:rPr>
          <w:lang w:val="ru-RU"/>
        </w:rPr>
        <w:t>.</w:t>
      </w:r>
    </w:p>
    <w:p w14:paraId="7E477EC5" w14:textId="10DE7859" w:rsidR="007F23B5" w:rsidRPr="00333825" w:rsidRDefault="007F23B5" w:rsidP="007F23B5">
      <w:pPr>
        <w:rPr>
          <w:lang w:val="ru-RU"/>
        </w:rPr>
      </w:pPr>
      <w:r w:rsidRPr="00F644BA">
        <w:rPr>
          <w:lang w:val="ru-RU"/>
        </w:rPr>
        <w:t>В этот сложный год МСЭ, выступая в своей современной роли учреждения ООН по цифровым технологиям, активизировал знаковые инициативы, направленные на обеспечение реальной возможности установления соединений для всех и повсюду.</w:t>
      </w:r>
      <w:r w:rsidR="00C3247B">
        <w:rPr>
          <w:lang w:val="ru-RU"/>
        </w:rPr>
        <w:t xml:space="preserve"> </w:t>
      </w:r>
      <w:r w:rsidR="00C3247B" w:rsidRPr="00C3247B">
        <w:rPr>
          <w:lang w:val="ru-RU"/>
        </w:rPr>
        <w:t xml:space="preserve">В конце 2023 года на Всемирной конференции радиосвязи (ВКР-23) </w:t>
      </w:r>
      <w:r w:rsidR="00333825">
        <w:rPr>
          <w:lang w:val="ru-RU"/>
        </w:rPr>
        <w:t>были согласованы</w:t>
      </w:r>
      <w:r w:rsidR="00C3247B" w:rsidRPr="00C3247B">
        <w:rPr>
          <w:lang w:val="ru-RU"/>
        </w:rPr>
        <w:t xml:space="preserve"> ключевые глобальные </w:t>
      </w:r>
      <w:r w:rsidR="00333825">
        <w:rPr>
          <w:lang w:val="ru-RU"/>
        </w:rPr>
        <w:t xml:space="preserve">обновления регламентарной основы </w:t>
      </w:r>
      <w:r w:rsidR="00C3247B" w:rsidRPr="00C3247B">
        <w:rPr>
          <w:lang w:val="ru-RU"/>
        </w:rPr>
        <w:t>по распределению радиочастотного спектра для беспроводн</w:t>
      </w:r>
      <w:r w:rsidR="00333825">
        <w:rPr>
          <w:lang w:val="ru-RU"/>
        </w:rPr>
        <w:t>ой связи</w:t>
      </w:r>
      <w:r w:rsidR="00C3247B" w:rsidRPr="00C3247B">
        <w:rPr>
          <w:lang w:val="ru-RU"/>
        </w:rPr>
        <w:t xml:space="preserve"> и других услуг</w:t>
      </w:r>
      <w:r w:rsidR="00C3247B">
        <w:rPr>
          <w:lang w:val="ru-RU"/>
        </w:rPr>
        <w:t>.</w:t>
      </w:r>
    </w:p>
    <w:p w14:paraId="0E4CA144" w14:textId="77777777" w:rsidR="007F23B5" w:rsidRDefault="007F23B5" w:rsidP="007F23B5">
      <w:pPr>
        <w:rPr>
          <w:lang w:val="ru-RU"/>
        </w:rPr>
      </w:pPr>
      <w:r w:rsidRPr="00F644BA">
        <w:rPr>
          <w:lang w:val="ru-RU"/>
        </w:rPr>
        <w:t xml:space="preserve">Как никогда ранее, деятельность МСЭ в области радиосвязи, стандартизации и развития помогает соединить мир на </w:t>
      </w:r>
      <w:r>
        <w:rPr>
          <w:lang w:val="ru-RU"/>
        </w:rPr>
        <w:t>инклюзивной</w:t>
      </w:r>
      <w:r w:rsidRPr="00F644BA">
        <w:rPr>
          <w:lang w:val="ru-RU"/>
        </w:rPr>
        <w:t xml:space="preserve"> и устойчивой основе. Неустанное внимание к вопросам </w:t>
      </w:r>
      <w:r>
        <w:rPr>
          <w:lang w:val="ru-RU"/>
        </w:rPr>
        <w:t xml:space="preserve">установления соединений </w:t>
      </w:r>
      <w:r w:rsidRPr="00F644BA">
        <w:rPr>
          <w:lang w:val="ru-RU"/>
        </w:rPr>
        <w:t xml:space="preserve">определяет наше глобальное </w:t>
      </w:r>
      <w:r>
        <w:rPr>
          <w:lang w:val="ru-RU"/>
        </w:rPr>
        <w:t>воздействие</w:t>
      </w:r>
      <w:r w:rsidRPr="00F644BA">
        <w:rPr>
          <w:lang w:val="ru-RU"/>
        </w:rPr>
        <w:t>, мотивирует нас к созданию инновационных партнерств и вдохновляет нас в стремлении к организационно</w:t>
      </w:r>
      <w:r>
        <w:rPr>
          <w:lang w:val="ru-RU"/>
        </w:rPr>
        <w:t>й</w:t>
      </w:r>
      <w:r w:rsidRPr="00F644BA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F644BA">
        <w:rPr>
          <w:lang w:val="ru-RU"/>
        </w:rPr>
        <w:t xml:space="preserve">. </w:t>
      </w:r>
    </w:p>
    <w:p w14:paraId="322D087E" w14:textId="190AC49E" w:rsidR="00952A66" w:rsidRDefault="00333825" w:rsidP="00333825">
      <w:pPr>
        <w:rPr>
          <w:lang w:val="ru-RU"/>
        </w:rPr>
      </w:pPr>
      <w:r w:rsidRPr="00F644BA">
        <w:rPr>
          <w:lang w:val="ru-RU"/>
        </w:rPr>
        <w:t>На сегодняшний день в рамках инициативы "Партнерства для подключения" (Partner2Connect), возглавляемой МСЭ, собрано более 46 мл</w:t>
      </w:r>
      <w:r>
        <w:rPr>
          <w:lang w:val="ru-RU"/>
        </w:rPr>
        <w:t xml:space="preserve">рд. </w:t>
      </w:r>
      <w:r w:rsidRPr="00F644BA">
        <w:rPr>
          <w:lang w:val="ru-RU"/>
        </w:rPr>
        <w:t xml:space="preserve">долларов США в виде </w:t>
      </w:r>
      <w:r w:rsidR="00F712D4">
        <w:rPr>
          <w:lang w:val="ru-RU"/>
        </w:rPr>
        <w:t>обязательств</w:t>
      </w:r>
      <w:r w:rsidRPr="00F644BA">
        <w:rPr>
          <w:lang w:val="ru-RU"/>
        </w:rPr>
        <w:t xml:space="preserve"> по финансированию проектов по обеспечению возможности установления соединений </w:t>
      </w:r>
      <w:r>
        <w:rPr>
          <w:lang w:val="ru-RU"/>
        </w:rPr>
        <w:t>в</w:t>
      </w:r>
      <w:r w:rsidRPr="00F644BA">
        <w:rPr>
          <w:lang w:val="ru-RU"/>
        </w:rPr>
        <w:t>о всем мир</w:t>
      </w:r>
      <w:r>
        <w:rPr>
          <w:lang w:val="ru-RU"/>
        </w:rPr>
        <w:t>е</w:t>
      </w:r>
      <w:r w:rsidRPr="00F644BA">
        <w:rPr>
          <w:lang w:val="ru-RU"/>
        </w:rPr>
        <w:t xml:space="preserve">. Мы продолжаем наращивать масштабы усилий по преодолению пресловутой "последней мили", мобилизуя обязательства представителей государственного и частного </w:t>
      </w:r>
      <w:r w:rsidRPr="00F644BA">
        <w:rPr>
          <w:lang w:val="ru-RU"/>
        </w:rPr>
        <w:lastRenderedPageBreak/>
        <w:t>секторов, чтобы обеспечить преимущества цифровых технологий самым труднодоступным для подключения сообществам в мире.</w:t>
      </w:r>
      <w:r w:rsidR="00952A66">
        <w:rPr>
          <w:lang w:val="ru-RU"/>
        </w:rPr>
        <w:t xml:space="preserve"> </w:t>
      </w:r>
    </w:p>
    <w:p w14:paraId="77DDD020" w14:textId="2BF6B290" w:rsidR="00333825" w:rsidRPr="00333825" w:rsidRDefault="00333825" w:rsidP="00333825">
      <w:pPr>
        <w:rPr>
          <w:lang w:val="ru-RU"/>
        </w:rPr>
      </w:pPr>
      <w:r w:rsidRPr="00333825">
        <w:rPr>
          <w:lang w:val="ru-RU"/>
        </w:rPr>
        <w:t xml:space="preserve">Giga </w:t>
      </w:r>
      <w:r>
        <w:rPr>
          <w:lang w:val="ru-RU"/>
        </w:rPr>
        <w:t>–</w:t>
      </w:r>
      <w:r w:rsidRPr="00333825">
        <w:rPr>
          <w:lang w:val="ru-RU"/>
        </w:rPr>
        <w:t xml:space="preserve"> совместная инициатива МСЭ и ЮНИСЕФ по подключению каждой школы в мире к </w:t>
      </w:r>
      <w:r>
        <w:rPr>
          <w:lang w:val="ru-RU"/>
        </w:rPr>
        <w:t>и</w:t>
      </w:r>
      <w:r w:rsidRPr="00333825">
        <w:rPr>
          <w:lang w:val="ru-RU"/>
        </w:rPr>
        <w:t xml:space="preserve">нтернету </w:t>
      </w:r>
      <w:r>
        <w:rPr>
          <w:lang w:val="ru-RU"/>
        </w:rPr>
        <w:t>–</w:t>
      </w:r>
      <w:r w:rsidRPr="00333825">
        <w:rPr>
          <w:lang w:val="ru-RU"/>
        </w:rPr>
        <w:t xml:space="preserve"> представляет собой еще один смелый шаг в решении серьезных проблем с помощью глобальных партнерств. </w:t>
      </w:r>
    </w:p>
    <w:p w14:paraId="138665F2" w14:textId="197CCA94" w:rsidR="00333825" w:rsidRPr="00333825" w:rsidRDefault="00333825" w:rsidP="00333825">
      <w:pPr>
        <w:rPr>
          <w:lang w:val="ru-RU"/>
        </w:rPr>
      </w:pPr>
      <w:r w:rsidRPr="00333825">
        <w:rPr>
          <w:lang w:val="ru-RU"/>
        </w:rPr>
        <w:t xml:space="preserve">Мы также сотрудничаем с партнерами из системы ООН и за ее пределами в продвижении инициативы Генерального секретаря ООН "Раннее предупреждение для всех", а также в мониторинге и сокращении </w:t>
      </w:r>
      <w:r w:rsidR="00755125">
        <w:rPr>
          <w:lang w:val="ru-RU"/>
        </w:rPr>
        <w:t>объемов электронных отходов</w:t>
      </w:r>
      <w:r w:rsidRPr="00333825">
        <w:rPr>
          <w:lang w:val="ru-RU"/>
        </w:rPr>
        <w:t xml:space="preserve">, борьбе с выбросами парниковых газов в нашей отрасли и </w:t>
      </w:r>
      <w:r w:rsidR="00952A66">
        <w:rPr>
          <w:lang w:val="ru-RU"/>
        </w:rPr>
        <w:t>формировании</w:t>
      </w:r>
      <w:r w:rsidRPr="00333825">
        <w:rPr>
          <w:lang w:val="ru-RU"/>
        </w:rPr>
        <w:t xml:space="preserve"> основ "зеленой" цифровой экономики.</w:t>
      </w:r>
    </w:p>
    <w:p w14:paraId="017F6A1A" w14:textId="0223EDAD" w:rsidR="00333825" w:rsidRDefault="00333825" w:rsidP="00333825">
      <w:pPr>
        <w:rPr>
          <w:lang w:val="ru-RU"/>
        </w:rPr>
      </w:pPr>
      <w:r w:rsidRPr="00333825">
        <w:rPr>
          <w:lang w:val="ru-RU"/>
        </w:rPr>
        <w:t xml:space="preserve">В </w:t>
      </w:r>
      <w:r w:rsidR="00755125">
        <w:rPr>
          <w:lang w:val="ru-RU"/>
        </w:rPr>
        <w:t>настоящем ежегодном</w:t>
      </w:r>
      <w:r w:rsidRPr="00333825">
        <w:rPr>
          <w:lang w:val="ru-RU"/>
        </w:rPr>
        <w:t xml:space="preserve"> отчете отражен ключевой </w:t>
      </w:r>
      <w:r w:rsidR="00755125">
        <w:rPr>
          <w:lang w:val="ru-RU"/>
        </w:rPr>
        <w:t>этап</w:t>
      </w:r>
      <w:r w:rsidRPr="00333825">
        <w:rPr>
          <w:lang w:val="ru-RU"/>
        </w:rPr>
        <w:t xml:space="preserve"> для МСЭ </w:t>
      </w:r>
      <w:r w:rsidR="00755125">
        <w:rPr>
          <w:lang w:val="ru-RU"/>
        </w:rPr>
        <w:t>–</w:t>
      </w:r>
      <w:r w:rsidRPr="00333825">
        <w:rPr>
          <w:lang w:val="ru-RU"/>
        </w:rPr>
        <w:t xml:space="preserve"> начало реализации нового </w:t>
      </w:r>
      <w:r w:rsidR="00755125">
        <w:rPr>
          <w:lang w:val="ru-RU"/>
        </w:rPr>
        <w:t>масштабного</w:t>
      </w:r>
      <w:r w:rsidRPr="00333825">
        <w:rPr>
          <w:lang w:val="ru-RU"/>
        </w:rPr>
        <w:t xml:space="preserve"> стратегического плана. Наш Стратегический план на 2024</w:t>
      </w:r>
      <w:r w:rsidR="00755125">
        <w:rPr>
          <w:lang w:val="ru-RU"/>
        </w:rPr>
        <w:t>–</w:t>
      </w:r>
      <w:r w:rsidRPr="00333825">
        <w:rPr>
          <w:lang w:val="ru-RU"/>
        </w:rPr>
        <w:t>2027 годы основан на плане на 2020</w:t>
      </w:r>
      <w:r w:rsidR="00755125">
        <w:rPr>
          <w:lang w:val="ru-RU"/>
        </w:rPr>
        <w:t>–</w:t>
      </w:r>
      <w:r w:rsidRPr="00333825">
        <w:rPr>
          <w:lang w:val="ru-RU"/>
        </w:rPr>
        <w:t xml:space="preserve">2024 годы и </w:t>
      </w:r>
      <w:r w:rsidR="00BB60AF">
        <w:rPr>
          <w:lang w:val="ru-RU"/>
        </w:rPr>
        <w:t>служит обновлением для</w:t>
      </w:r>
      <w:r w:rsidRPr="00333825">
        <w:rPr>
          <w:lang w:val="ru-RU"/>
        </w:rPr>
        <w:t xml:space="preserve"> наш</w:t>
      </w:r>
      <w:r w:rsidR="00BB60AF">
        <w:rPr>
          <w:lang w:val="ru-RU"/>
        </w:rPr>
        <w:t xml:space="preserve">ей </w:t>
      </w:r>
      <w:r w:rsidR="00BB60AF" w:rsidRPr="00BB60AF">
        <w:rPr>
          <w:lang w:val="ru-RU"/>
        </w:rPr>
        <w:t>Повестк</w:t>
      </w:r>
      <w:r w:rsidR="00862497">
        <w:rPr>
          <w:lang w:val="ru-RU"/>
        </w:rPr>
        <w:t>и</w:t>
      </w:r>
      <w:r w:rsidR="00BB60AF" w:rsidRPr="00BB60AF">
        <w:rPr>
          <w:lang w:val="ru-RU"/>
        </w:rPr>
        <w:t xml:space="preserve"> дня "Соединим к 2030</w:t>
      </w:r>
      <w:r w:rsidR="003F24DA">
        <w:rPr>
          <w:lang w:val="ru-RU"/>
        </w:rPr>
        <w:t> </w:t>
      </w:r>
      <w:r w:rsidR="00BB60AF" w:rsidRPr="00BB60AF">
        <w:rPr>
          <w:lang w:val="ru-RU"/>
        </w:rPr>
        <w:t>году"</w:t>
      </w:r>
      <w:r w:rsidRPr="00333825">
        <w:rPr>
          <w:lang w:val="ru-RU"/>
        </w:rPr>
        <w:t xml:space="preserve">, </w:t>
      </w:r>
      <w:r w:rsidR="00BB60AF">
        <w:rPr>
          <w:lang w:val="ru-RU"/>
        </w:rPr>
        <w:t>что позволяет</w:t>
      </w:r>
      <w:r w:rsidRPr="00333825">
        <w:rPr>
          <w:lang w:val="ru-RU"/>
        </w:rPr>
        <w:t xml:space="preserve"> сосредоточиться на двух </w:t>
      </w:r>
      <w:r w:rsidR="00BB60AF">
        <w:rPr>
          <w:lang w:val="ru-RU"/>
        </w:rPr>
        <w:t>общих</w:t>
      </w:r>
      <w:r w:rsidRPr="00333825">
        <w:rPr>
          <w:lang w:val="ru-RU"/>
        </w:rPr>
        <w:t xml:space="preserve"> приоритетах: универсальной </w:t>
      </w:r>
      <w:r w:rsidR="00BB60AF">
        <w:rPr>
          <w:lang w:val="ru-RU"/>
        </w:rPr>
        <w:t>возможности установления соединений</w:t>
      </w:r>
      <w:r w:rsidRPr="00333825">
        <w:rPr>
          <w:lang w:val="ru-RU"/>
        </w:rPr>
        <w:t xml:space="preserve"> и устойчивой цифровой трансформации.</w:t>
      </w:r>
    </w:p>
    <w:p w14:paraId="5E51B6BD" w14:textId="589CD549" w:rsidR="0067103C" w:rsidRPr="0067103C" w:rsidRDefault="0067103C" w:rsidP="0067103C">
      <w:pPr>
        <w:rPr>
          <w:lang w:val="ru-RU"/>
        </w:rPr>
      </w:pPr>
      <w:r w:rsidRPr="0067103C">
        <w:rPr>
          <w:lang w:val="ru-RU"/>
        </w:rPr>
        <w:t xml:space="preserve">Предстоящая Всемирная ассамблея по стандартизации электросвязи (ВАСЭ-24) будет способствовать внедрению </w:t>
      </w:r>
      <w:r>
        <w:rPr>
          <w:lang w:val="ru-RU"/>
        </w:rPr>
        <w:t>всеобъемлющих</w:t>
      </w:r>
      <w:r w:rsidRPr="0067103C">
        <w:rPr>
          <w:lang w:val="ru-RU"/>
        </w:rPr>
        <w:t xml:space="preserve"> стандартов в соответствии с принципами устойчивого развития и </w:t>
      </w:r>
      <w:r w:rsidR="00862497">
        <w:rPr>
          <w:lang w:val="ru-RU"/>
        </w:rPr>
        <w:t xml:space="preserve">мерами по борьбе с изменением </w:t>
      </w:r>
      <w:r w:rsidRPr="0067103C">
        <w:rPr>
          <w:lang w:val="ru-RU"/>
        </w:rPr>
        <w:t xml:space="preserve">климата. </w:t>
      </w:r>
      <w:r w:rsidR="00915357">
        <w:rPr>
          <w:lang w:val="ru-RU"/>
        </w:rPr>
        <w:t>Одним из ключевых активов являются у</w:t>
      </w:r>
      <w:r w:rsidRPr="0067103C">
        <w:rPr>
          <w:lang w:val="ru-RU"/>
        </w:rPr>
        <w:t>ниверсальность и авторитетность стандартов МСЭ</w:t>
      </w:r>
      <w:r w:rsidR="00915357">
        <w:rPr>
          <w:lang w:val="ru-RU"/>
        </w:rPr>
        <w:t xml:space="preserve">, так как </w:t>
      </w:r>
      <w:r w:rsidR="00E05A14" w:rsidRPr="00E05A14">
        <w:rPr>
          <w:lang w:val="ru-RU"/>
        </w:rPr>
        <w:t>сегмент "Зеленая цифровая кампания"</w:t>
      </w:r>
      <w:r w:rsidR="00915357">
        <w:rPr>
          <w:lang w:val="ru-RU"/>
        </w:rPr>
        <w:t xml:space="preserve"> будет включен также в программу </w:t>
      </w:r>
      <w:r w:rsidRPr="0067103C">
        <w:rPr>
          <w:lang w:val="ru-RU"/>
        </w:rPr>
        <w:t xml:space="preserve">следующей конференции ООН по климату </w:t>
      </w:r>
      <w:r>
        <w:rPr>
          <w:lang w:val="ru-RU"/>
        </w:rPr>
        <w:t>КС-</w:t>
      </w:r>
      <w:r w:rsidRPr="0067103C">
        <w:rPr>
          <w:lang w:val="ru-RU"/>
        </w:rPr>
        <w:t xml:space="preserve">29. </w:t>
      </w:r>
    </w:p>
    <w:p w14:paraId="7EDCEA29" w14:textId="12018680" w:rsidR="0067103C" w:rsidRDefault="0067103C" w:rsidP="0067103C">
      <w:pPr>
        <w:rPr>
          <w:lang w:val="ru-RU"/>
        </w:rPr>
      </w:pPr>
      <w:r w:rsidRPr="0067103C">
        <w:rPr>
          <w:lang w:val="ru-RU"/>
        </w:rPr>
        <w:t xml:space="preserve">Новые и </w:t>
      </w:r>
      <w:r w:rsidR="00952A66">
        <w:rPr>
          <w:lang w:val="ru-RU"/>
        </w:rPr>
        <w:t>появляющиеся</w:t>
      </w:r>
      <w:r w:rsidRPr="0067103C">
        <w:rPr>
          <w:lang w:val="ru-RU"/>
        </w:rPr>
        <w:t xml:space="preserve"> технологии, </w:t>
      </w:r>
      <w:r w:rsidR="00915357">
        <w:rPr>
          <w:lang w:val="ru-RU"/>
        </w:rPr>
        <w:t>в том числе</w:t>
      </w:r>
      <w:r w:rsidRPr="0067103C">
        <w:rPr>
          <w:lang w:val="ru-RU"/>
        </w:rPr>
        <w:t xml:space="preserve"> приложения </w:t>
      </w:r>
      <w:r w:rsidR="00E05A14">
        <w:rPr>
          <w:lang w:val="ru-RU"/>
        </w:rPr>
        <w:t xml:space="preserve">на основе генеративного </w:t>
      </w:r>
      <w:r w:rsidRPr="0067103C">
        <w:rPr>
          <w:lang w:val="ru-RU"/>
        </w:rPr>
        <w:t xml:space="preserve">ИИ, которые привлекут внимание общественности в 2023 году, продолжают создавать беспрецедентное сочетание возможностей и </w:t>
      </w:r>
      <w:r w:rsidR="00120D86">
        <w:rPr>
          <w:lang w:val="ru-RU"/>
        </w:rPr>
        <w:t>вызовов</w:t>
      </w:r>
      <w:r w:rsidRPr="0067103C">
        <w:rPr>
          <w:lang w:val="ru-RU"/>
        </w:rPr>
        <w:t>. МСЭ стремится к тому, чтобы ИИ служил человечеству, чтобы космос оставался устойчивым для будущих поколений и чтобы каждый мог воспользоваться преимуществами квантовых технологий.</w:t>
      </w:r>
    </w:p>
    <w:p w14:paraId="1DAFD8FE" w14:textId="70915062" w:rsidR="00F96A46" w:rsidRPr="00F96A46" w:rsidRDefault="00F96A46" w:rsidP="00F96A46">
      <w:pPr>
        <w:rPr>
          <w:lang w:val="ru-RU"/>
        </w:rPr>
      </w:pPr>
      <w:r w:rsidRPr="00F96A46">
        <w:rPr>
          <w:lang w:val="ru-RU"/>
        </w:rPr>
        <w:t xml:space="preserve">Предстоящий Саммит будущего </w:t>
      </w:r>
      <w:r>
        <w:rPr>
          <w:lang w:val="ru-RU"/>
        </w:rPr>
        <w:t>станет</w:t>
      </w:r>
      <w:r w:rsidRPr="00F96A46">
        <w:rPr>
          <w:lang w:val="ru-RU"/>
        </w:rPr>
        <w:t xml:space="preserve"> поворотны</w:t>
      </w:r>
      <w:r>
        <w:rPr>
          <w:lang w:val="ru-RU"/>
        </w:rPr>
        <w:t xml:space="preserve">м </w:t>
      </w:r>
      <w:r w:rsidRPr="00F96A46">
        <w:rPr>
          <w:lang w:val="ru-RU"/>
        </w:rPr>
        <w:t>момент</w:t>
      </w:r>
      <w:r>
        <w:rPr>
          <w:lang w:val="ru-RU"/>
        </w:rPr>
        <w:t>ом</w:t>
      </w:r>
      <w:r w:rsidRPr="00F96A46">
        <w:rPr>
          <w:lang w:val="ru-RU"/>
        </w:rPr>
        <w:t xml:space="preserve"> для создания прочн</w:t>
      </w:r>
      <w:r w:rsidR="00952A66">
        <w:rPr>
          <w:lang w:val="ru-RU"/>
        </w:rPr>
        <w:t xml:space="preserve">ого фундамента </w:t>
      </w:r>
      <w:r>
        <w:rPr>
          <w:lang w:val="ru-RU"/>
        </w:rPr>
        <w:t>всеобъемлющего</w:t>
      </w:r>
      <w:r w:rsidRPr="00F96A46">
        <w:rPr>
          <w:lang w:val="ru-RU"/>
        </w:rPr>
        <w:t xml:space="preserve">, жизнеспособного и устойчивого цифрового развития на ближайшие годы. На фоне дискуссий, </w:t>
      </w:r>
      <w:r w:rsidR="00792546">
        <w:rPr>
          <w:lang w:val="ru-RU"/>
        </w:rPr>
        <w:t xml:space="preserve">которые </w:t>
      </w:r>
      <w:r w:rsidR="00952A66">
        <w:rPr>
          <w:lang w:val="ru-RU"/>
        </w:rPr>
        <w:t>формируют</w:t>
      </w:r>
      <w:r w:rsidR="00792546">
        <w:rPr>
          <w:lang w:val="ru-RU"/>
        </w:rPr>
        <w:t xml:space="preserve"> основу</w:t>
      </w:r>
      <w:r w:rsidRPr="00F96A46">
        <w:rPr>
          <w:lang w:val="ru-RU"/>
        </w:rPr>
        <w:t xml:space="preserve"> ожидаем</w:t>
      </w:r>
      <w:r w:rsidR="00792546">
        <w:rPr>
          <w:lang w:val="ru-RU"/>
        </w:rPr>
        <w:t>ого</w:t>
      </w:r>
      <w:r w:rsidRPr="00F96A46">
        <w:rPr>
          <w:lang w:val="ru-RU"/>
        </w:rPr>
        <w:t xml:space="preserve"> Глобальн</w:t>
      </w:r>
      <w:r w:rsidR="00792546">
        <w:rPr>
          <w:lang w:val="ru-RU"/>
        </w:rPr>
        <w:t>ого</w:t>
      </w:r>
      <w:r w:rsidRPr="00F96A46">
        <w:rPr>
          <w:lang w:val="ru-RU"/>
        </w:rPr>
        <w:t xml:space="preserve"> цифрово</w:t>
      </w:r>
      <w:r w:rsidR="00792546">
        <w:rPr>
          <w:lang w:val="ru-RU"/>
        </w:rPr>
        <w:t>го</w:t>
      </w:r>
      <w:r w:rsidRPr="00F96A46">
        <w:rPr>
          <w:lang w:val="ru-RU"/>
        </w:rPr>
        <w:t xml:space="preserve"> договор</w:t>
      </w:r>
      <w:r w:rsidR="00792546">
        <w:rPr>
          <w:lang w:val="ru-RU"/>
        </w:rPr>
        <w:t>а</w:t>
      </w:r>
      <w:r w:rsidRPr="00F96A46">
        <w:rPr>
          <w:lang w:val="ru-RU"/>
        </w:rPr>
        <w:t xml:space="preserve">, МСЭ подтверждает свою приверженность </w:t>
      </w:r>
      <w:r w:rsidR="00792546">
        <w:rPr>
          <w:lang w:val="ru-RU"/>
        </w:rPr>
        <w:t>обеспечению универсальной возможности установления соединений</w:t>
      </w:r>
      <w:r w:rsidRPr="00F96A46">
        <w:rPr>
          <w:lang w:val="ru-RU"/>
        </w:rPr>
        <w:t xml:space="preserve"> и устойчив</w:t>
      </w:r>
      <w:r w:rsidR="00792546">
        <w:rPr>
          <w:lang w:val="ru-RU"/>
        </w:rPr>
        <w:t>о</w:t>
      </w:r>
      <w:r w:rsidR="00915357">
        <w:rPr>
          <w:lang w:val="ru-RU"/>
        </w:rPr>
        <w:t>й</w:t>
      </w:r>
      <w:r w:rsidRPr="00F96A46">
        <w:rPr>
          <w:lang w:val="ru-RU"/>
        </w:rPr>
        <w:t xml:space="preserve"> цифров</w:t>
      </w:r>
      <w:r w:rsidR="00792546">
        <w:rPr>
          <w:lang w:val="ru-RU"/>
        </w:rPr>
        <w:t>о</w:t>
      </w:r>
      <w:r w:rsidR="00915357">
        <w:rPr>
          <w:lang w:val="ru-RU"/>
        </w:rPr>
        <w:t>й</w:t>
      </w:r>
      <w:r w:rsidRPr="00F96A46">
        <w:rPr>
          <w:lang w:val="ru-RU"/>
        </w:rPr>
        <w:t xml:space="preserve"> </w:t>
      </w:r>
      <w:r w:rsidR="00915357">
        <w:rPr>
          <w:lang w:val="ru-RU"/>
        </w:rPr>
        <w:t>трансформации</w:t>
      </w:r>
      <w:r w:rsidRPr="00F96A46">
        <w:rPr>
          <w:lang w:val="ru-RU"/>
        </w:rPr>
        <w:t xml:space="preserve">. </w:t>
      </w:r>
    </w:p>
    <w:p w14:paraId="0AF60593" w14:textId="2EA8D5B1" w:rsidR="00F96A46" w:rsidRPr="00F644BA" w:rsidRDefault="00F96A46" w:rsidP="00F96A46">
      <w:pPr>
        <w:rPr>
          <w:lang w:val="ru-RU"/>
        </w:rPr>
      </w:pPr>
      <w:r w:rsidRPr="00F96A46">
        <w:rPr>
          <w:lang w:val="ru-RU"/>
        </w:rPr>
        <w:t xml:space="preserve">Вместе с нашими партнерами нам есть что предложить </w:t>
      </w:r>
      <w:r w:rsidR="00792546">
        <w:rPr>
          <w:lang w:val="ru-RU"/>
        </w:rPr>
        <w:t>–</w:t>
      </w:r>
      <w:r w:rsidRPr="00F96A46">
        <w:rPr>
          <w:lang w:val="ru-RU"/>
        </w:rPr>
        <w:t xml:space="preserve"> от сотрудничества по стандартам в области новых технологий до глобального обсуждения вопросов ИИ и управления </w:t>
      </w:r>
      <w:r w:rsidR="00915357">
        <w:rPr>
          <w:lang w:val="ru-RU"/>
        </w:rPr>
        <w:t xml:space="preserve">использованием </w:t>
      </w:r>
      <w:r w:rsidRPr="00F96A46">
        <w:rPr>
          <w:lang w:val="ru-RU"/>
        </w:rPr>
        <w:t>интернет</w:t>
      </w:r>
      <w:r w:rsidR="00915357">
        <w:rPr>
          <w:lang w:val="ru-RU"/>
        </w:rPr>
        <w:t>а</w:t>
      </w:r>
      <w:r w:rsidRPr="00F96A46">
        <w:rPr>
          <w:lang w:val="ru-RU"/>
        </w:rPr>
        <w:t xml:space="preserve">. Мы с нетерпением ждем дальнейшей поддержки этого ключевого переговорного процесса под руководством </w:t>
      </w:r>
      <w:r w:rsidR="00792546">
        <w:rPr>
          <w:lang w:val="ru-RU"/>
        </w:rPr>
        <w:t>Г</w:t>
      </w:r>
      <w:r w:rsidRPr="00F96A46">
        <w:rPr>
          <w:lang w:val="ru-RU"/>
        </w:rPr>
        <w:t>осударств-</w:t>
      </w:r>
      <w:r w:rsidR="00792546">
        <w:rPr>
          <w:lang w:val="ru-RU"/>
        </w:rPr>
        <w:t>Ч</w:t>
      </w:r>
      <w:r w:rsidRPr="00F96A46">
        <w:rPr>
          <w:lang w:val="ru-RU"/>
        </w:rPr>
        <w:t>ленов.</w:t>
      </w:r>
    </w:p>
    <w:p w14:paraId="594DBC57" w14:textId="05B01486" w:rsidR="00BB60AF" w:rsidRDefault="007F23B5" w:rsidP="007F23B5">
      <w:pPr>
        <w:rPr>
          <w:lang w:val="ru-RU"/>
        </w:rPr>
      </w:pPr>
      <w:r w:rsidRPr="00F644BA">
        <w:rPr>
          <w:lang w:val="ru-RU"/>
        </w:rPr>
        <w:t xml:space="preserve">Сейчас, когда МСЭ готовится к будущему, я благодарна за поддержку </w:t>
      </w:r>
      <w:r w:rsidR="00792546">
        <w:rPr>
          <w:lang w:val="ru-RU"/>
        </w:rPr>
        <w:t xml:space="preserve">наших активных Членов, </w:t>
      </w:r>
      <w:r w:rsidRPr="00F644BA">
        <w:rPr>
          <w:lang w:val="ru-RU"/>
        </w:rPr>
        <w:t>выдающейся команды руководства</w:t>
      </w:r>
      <w:r w:rsidR="00792546">
        <w:rPr>
          <w:lang w:val="ru-RU"/>
        </w:rPr>
        <w:t xml:space="preserve"> и самоотверженного персонала</w:t>
      </w:r>
      <w:r w:rsidRPr="00F644BA">
        <w:rPr>
          <w:lang w:val="ru-RU"/>
        </w:rPr>
        <w:t xml:space="preserve">. </w:t>
      </w:r>
    </w:p>
    <w:p w14:paraId="46719A4B" w14:textId="3AC2AC03" w:rsidR="007F23B5" w:rsidRPr="00F644BA" w:rsidRDefault="007F23B5" w:rsidP="007F23B5">
      <w:pPr>
        <w:rPr>
          <w:lang w:val="ru-RU"/>
        </w:rPr>
      </w:pPr>
      <w:r w:rsidRPr="00F644BA">
        <w:rPr>
          <w:lang w:val="ru-RU"/>
        </w:rPr>
        <w:t xml:space="preserve">Предлагаю вам </w:t>
      </w:r>
      <w:r>
        <w:rPr>
          <w:lang w:val="ru-RU"/>
        </w:rPr>
        <w:t xml:space="preserve">ознакомиться с нашими </w:t>
      </w:r>
      <w:r w:rsidR="00BB60AF">
        <w:rPr>
          <w:lang w:val="ru-RU"/>
        </w:rPr>
        <w:t xml:space="preserve">совместными </w:t>
      </w:r>
      <w:r w:rsidRPr="00F644BA">
        <w:rPr>
          <w:lang w:val="ru-RU"/>
        </w:rPr>
        <w:t>дости</w:t>
      </w:r>
      <w:r>
        <w:rPr>
          <w:lang w:val="ru-RU"/>
        </w:rPr>
        <w:t xml:space="preserve">жениями </w:t>
      </w:r>
      <w:r w:rsidRPr="00F644BA">
        <w:rPr>
          <w:lang w:val="ru-RU"/>
        </w:rPr>
        <w:t>в 2023</w:t>
      </w:r>
      <w:r>
        <w:rPr>
          <w:lang w:val="ru-RU"/>
        </w:rPr>
        <w:t> </w:t>
      </w:r>
      <w:r w:rsidRPr="00F644BA">
        <w:rPr>
          <w:lang w:val="ru-RU"/>
        </w:rPr>
        <w:t>году.</w:t>
      </w:r>
    </w:p>
    <w:p w14:paraId="1AF8D8D6" w14:textId="77777777" w:rsidR="007F23B5" w:rsidRPr="00F644BA" w:rsidRDefault="007F23B5" w:rsidP="00E41F68">
      <w:pPr>
        <w:spacing w:before="1080"/>
        <w:rPr>
          <w:lang w:val="ru-RU"/>
        </w:rPr>
      </w:pPr>
      <w:r w:rsidRPr="00F644BA">
        <w:rPr>
          <w:lang w:val="ru-RU"/>
        </w:rPr>
        <w:t>Дорин Богдан-Мартин</w:t>
      </w:r>
    </w:p>
    <w:p w14:paraId="57A35CD6" w14:textId="77777777" w:rsidR="007F23B5" w:rsidRPr="00F644BA" w:rsidRDefault="007F23B5" w:rsidP="007F23B5">
      <w:pPr>
        <w:rPr>
          <w:rFonts w:asciiTheme="minorHAnsi" w:hAnsiTheme="minorHAnsi" w:cstheme="minorHAnsi"/>
          <w:lang w:val="ru-RU"/>
        </w:rPr>
      </w:pPr>
      <w:r w:rsidRPr="00F644BA">
        <w:rPr>
          <w:lang w:val="ru-RU"/>
        </w:rPr>
        <w:t>Генеральный секретарь</w:t>
      </w:r>
      <w:r w:rsidRPr="00F644BA">
        <w:rPr>
          <w:lang w:val="ru-RU"/>
        </w:rPr>
        <w:br/>
        <w:t>Международный союз электросвязи</w:t>
      </w:r>
      <w:bookmarkEnd w:id="8"/>
    </w:p>
    <w:p w14:paraId="0843A44C" w14:textId="4B878606" w:rsidR="007F23B5" w:rsidRPr="00964D8D" w:rsidRDefault="007F23B5" w:rsidP="00E41F68">
      <w:pPr>
        <w:rPr>
          <w:lang w:val="ru-RU"/>
        </w:rPr>
      </w:pPr>
      <w:r w:rsidRPr="00964D8D">
        <w:rPr>
          <w:lang w:val="ru-RU"/>
        </w:rPr>
        <w:br w:type="page"/>
      </w:r>
    </w:p>
    <w:p w14:paraId="170994FD" w14:textId="32038F96" w:rsidR="00106B18" w:rsidRPr="00964D8D" w:rsidRDefault="00106B18" w:rsidP="00106B18">
      <w:pPr>
        <w:jc w:val="center"/>
        <w:rPr>
          <w:b/>
          <w:bCs/>
          <w:lang w:val="ru-RU"/>
        </w:rPr>
      </w:pPr>
      <w:r w:rsidRPr="00106B18">
        <w:rPr>
          <w:b/>
          <w:bCs/>
          <w:lang w:val="ru-RU"/>
        </w:rPr>
        <w:lastRenderedPageBreak/>
        <w:t>Содержание</w:t>
      </w:r>
    </w:p>
    <w:p w14:paraId="322BB4B7" w14:textId="4C9C3564" w:rsidR="00723844" w:rsidRDefault="00723844" w:rsidP="00723844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TOC \o "1-2" \h \z </w:instrText>
      </w:r>
      <w:r>
        <w:rPr>
          <w:lang w:val="ru-RU"/>
        </w:rPr>
        <w:fldChar w:fldCharType="separate"/>
      </w:r>
      <w:hyperlink w:anchor="_Toc168050260" w:history="1">
        <w:r w:rsidRPr="00965599">
          <w:rPr>
            <w:rStyle w:val="Hyperlink"/>
            <w:noProof/>
            <w:lang w:val="en-US"/>
          </w:rPr>
          <w:t>i</w:t>
        </w:r>
        <w:r w:rsidRPr="00C70871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Pr="00965599">
          <w:rPr>
            <w:rStyle w:val="Hyperlink"/>
            <w:noProof/>
            <w:lang w:val="ru-RU"/>
          </w:rPr>
          <w:t>Ключевые выводы</w:t>
        </w:r>
        <w:r>
          <w:rPr>
            <w:noProof/>
            <w:webHidden/>
          </w:rPr>
          <w:tab/>
        </w:r>
        <w:r>
          <w:rPr>
            <w:noProof/>
            <w:webHidden/>
            <w:lang w:val="ru-RU"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_Toc168050260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1C09D48" w14:textId="1FB92DB9" w:rsidR="00723844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1" w:history="1">
        <w:r w:rsidR="00723844" w:rsidRPr="00965599">
          <w:rPr>
            <w:rStyle w:val="Hyperlink"/>
            <w:noProof/>
            <w:lang w:val="ru-RU"/>
          </w:rPr>
          <w:t>1</w:t>
        </w:r>
        <w:r w:rsidR="00723844" w:rsidRPr="00C70871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965599">
          <w:rPr>
            <w:rStyle w:val="Hyperlink"/>
            <w:noProof/>
            <w:lang w:val="ru-RU"/>
          </w:rPr>
          <w:t>Введение</w:t>
        </w:r>
        <w:r w:rsidR="00723844">
          <w:rPr>
            <w:noProof/>
            <w:webHidden/>
          </w:rPr>
          <w:tab/>
        </w:r>
        <w:r w:rsidR="00723844">
          <w:rPr>
            <w:noProof/>
            <w:webHidden/>
            <w:lang w:val="ru-RU"/>
          </w:rPr>
          <w:tab/>
        </w:r>
        <w:r w:rsidR="00723844">
          <w:rPr>
            <w:noProof/>
            <w:webHidden/>
          </w:rPr>
          <w:fldChar w:fldCharType="begin"/>
        </w:r>
        <w:r w:rsidR="00723844">
          <w:rPr>
            <w:noProof/>
            <w:webHidden/>
          </w:rPr>
          <w:instrText xml:space="preserve"> PAGEREF _Toc168050261 \h </w:instrText>
        </w:r>
        <w:r w:rsidR="00723844">
          <w:rPr>
            <w:noProof/>
            <w:webHidden/>
          </w:rPr>
        </w:r>
        <w:r w:rsidR="00723844">
          <w:rPr>
            <w:noProof/>
            <w:webHidden/>
          </w:rPr>
          <w:fldChar w:fldCharType="separate"/>
        </w:r>
        <w:r w:rsidR="00723844">
          <w:rPr>
            <w:noProof/>
            <w:webHidden/>
          </w:rPr>
          <w:t>9</w:t>
        </w:r>
        <w:r w:rsidR="00723844">
          <w:rPr>
            <w:noProof/>
            <w:webHidden/>
          </w:rPr>
          <w:fldChar w:fldCharType="end"/>
        </w:r>
      </w:hyperlink>
    </w:p>
    <w:p w14:paraId="655EB3F6" w14:textId="1E1BD75E" w:rsidR="00723844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2" w:history="1">
        <w:r w:rsidR="00723844" w:rsidRPr="00965599">
          <w:rPr>
            <w:rStyle w:val="Hyperlink"/>
            <w:noProof/>
            <w:lang w:val="ru-RU"/>
          </w:rPr>
          <w:t>2</w:t>
        </w:r>
        <w:r w:rsidR="00723844" w:rsidRPr="00C70871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965599">
          <w:rPr>
            <w:rStyle w:val="Hyperlink"/>
            <w:noProof/>
            <w:lang w:val="ru-RU"/>
          </w:rPr>
          <w:t>Предусмотренные Уставом глобальные конференции в 2023 году</w:t>
        </w:r>
        <w:r w:rsidR="00723844">
          <w:rPr>
            <w:noProof/>
            <w:webHidden/>
          </w:rPr>
          <w:tab/>
        </w:r>
        <w:r w:rsidR="00723844">
          <w:rPr>
            <w:noProof/>
            <w:webHidden/>
            <w:lang w:val="ru-RU"/>
          </w:rPr>
          <w:tab/>
        </w:r>
        <w:r w:rsidR="00723844">
          <w:rPr>
            <w:noProof/>
            <w:webHidden/>
          </w:rPr>
          <w:fldChar w:fldCharType="begin"/>
        </w:r>
        <w:r w:rsidR="00723844">
          <w:rPr>
            <w:noProof/>
            <w:webHidden/>
          </w:rPr>
          <w:instrText xml:space="preserve"> PAGEREF _Toc168050262 \h </w:instrText>
        </w:r>
        <w:r w:rsidR="00723844">
          <w:rPr>
            <w:noProof/>
            <w:webHidden/>
          </w:rPr>
        </w:r>
        <w:r w:rsidR="00723844">
          <w:rPr>
            <w:noProof/>
            <w:webHidden/>
          </w:rPr>
          <w:fldChar w:fldCharType="separate"/>
        </w:r>
        <w:r w:rsidR="00723844">
          <w:rPr>
            <w:noProof/>
            <w:webHidden/>
          </w:rPr>
          <w:t>17</w:t>
        </w:r>
        <w:r w:rsidR="00723844">
          <w:rPr>
            <w:noProof/>
            <w:webHidden/>
          </w:rPr>
          <w:fldChar w:fldCharType="end"/>
        </w:r>
      </w:hyperlink>
    </w:p>
    <w:p w14:paraId="7D2AD847" w14:textId="2D21FDBA" w:rsidR="00723844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3" w:history="1">
        <w:r w:rsidR="00723844" w:rsidRPr="00965599">
          <w:rPr>
            <w:rStyle w:val="Hyperlink"/>
            <w:noProof/>
            <w:lang w:val="ru-RU"/>
          </w:rPr>
          <w:t>2.1</w:t>
        </w:r>
        <w:r w:rsidR="00723844" w:rsidRPr="00C70871">
          <w:rPr>
            <w:rStyle w:val="Hyperlink"/>
            <w:lang w:val="ru-RU"/>
          </w:rPr>
          <w:tab/>
        </w:r>
        <w:r w:rsidR="00723844" w:rsidRPr="00965599">
          <w:rPr>
            <w:rStyle w:val="Hyperlink"/>
            <w:noProof/>
            <w:lang w:val="ru-RU"/>
          </w:rPr>
          <w:t>ВКР-23</w:t>
        </w:r>
        <w:r w:rsidR="00723844" w:rsidRPr="00C70871">
          <w:rPr>
            <w:rStyle w:val="Hyperlink"/>
            <w:webHidden/>
            <w:lang w:val="ru-RU"/>
          </w:rPr>
          <w:tab/>
        </w:r>
        <w:r w:rsidR="00723844" w:rsidRPr="00C70871">
          <w:rPr>
            <w:rStyle w:val="Hyperlink"/>
            <w:webHidden/>
          </w:rPr>
          <w:tab/>
        </w:r>
        <w:r w:rsidR="00723844" w:rsidRPr="00C70871">
          <w:rPr>
            <w:rStyle w:val="Hyperlink"/>
            <w:webHidden/>
            <w:lang w:val="ru-RU"/>
          </w:rPr>
          <w:fldChar w:fldCharType="begin"/>
        </w:r>
        <w:r w:rsidR="00723844" w:rsidRPr="00C70871">
          <w:rPr>
            <w:rStyle w:val="Hyperlink"/>
            <w:webHidden/>
            <w:lang w:val="ru-RU"/>
          </w:rPr>
          <w:instrText xml:space="preserve"> PAGEREF _Toc168050263 \h </w:instrText>
        </w:r>
        <w:r w:rsidR="00723844" w:rsidRPr="00C70871">
          <w:rPr>
            <w:rStyle w:val="Hyperlink"/>
            <w:webHidden/>
            <w:lang w:val="ru-RU"/>
          </w:rPr>
        </w:r>
        <w:r w:rsidR="00723844" w:rsidRPr="00C70871">
          <w:rPr>
            <w:rStyle w:val="Hyperlink"/>
            <w:webHidden/>
            <w:lang w:val="ru-RU"/>
          </w:rPr>
          <w:fldChar w:fldCharType="separate"/>
        </w:r>
        <w:r w:rsidR="00723844" w:rsidRPr="00C70871">
          <w:rPr>
            <w:rStyle w:val="Hyperlink"/>
            <w:webHidden/>
            <w:lang w:val="ru-RU"/>
          </w:rPr>
          <w:t>17</w:t>
        </w:r>
        <w:r w:rsidR="00723844" w:rsidRPr="00C70871">
          <w:rPr>
            <w:rStyle w:val="Hyperlink"/>
            <w:webHidden/>
            <w:lang w:val="ru-RU"/>
          </w:rPr>
          <w:fldChar w:fldCharType="end"/>
        </w:r>
      </w:hyperlink>
    </w:p>
    <w:p w14:paraId="6FB81BEB" w14:textId="0C0F947A" w:rsidR="00723844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4" w:history="1">
        <w:r w:rsidR="00723844" w:rsidRPr="00965599">
          <w:rPr>
            <w:rStyle w:val="Hyperlink"/>
            <w:noProof/>
            <w:lang w:val="ru-RU"/>
          </w:rPr>
          <w:t>2.2</w:t>
        </w:r>
        <w:r w:rsidR="00723844" w:rsidRPr="00C70871">
          <w:rPr>
            <w:rStyle w:val="Hyperlink"/>
            <w:lang w:val="ru-RU"/>
          </w:rPr>
          <w:tab/>
        </w:r>
        <w:r w:rsidR="00723844" w:rsidRPr="00965599">
          <w:rPr>
            <w:rStyle w:val="Hyperlink"/>
            <w:noProof/>
            <w:lang w:val="ru-RU"/>
          </w:rPr>
          <w:t>АР-23</w:t>
        </w:r>
        <w:r w:rsidR="00723844" w:rsidRPr="00C70871">
          <w:rPr>
            <w:rStyle w:val="Hyperlink"/>
            <w:webHidden/>
            <w:lang w:val="ru-RU"/>
          </w:rPr>
          <w:tab/>
        </w:r>
        <w:r w:rsidR="00723844" w:rsidRPr="00C70871">
          <w:rPr>
            <w:rStyle w:val="Hyperlink"/>
            <w:webHidden/>
          </w:rPr>
          <w:tab/>
        </w:r>
        <w:r w:rsidR="00723844" w:rsidRPr="00C70871">
          <w:rPr>
            <w:rStyle w:val="Hyperlink"/>
            <w:webHidden/>
            <w:lang w:val="ru-RU"/>
          </w:rPr>
          <w:fldChar w:fldCharType="begin"/>
        </w:r>
        <w:r w:rsidR="00723844" w:rsidRPr="00C70871">
          <w:rPr>
            <w:rStyle w:val="Hyperlink"/>
            <w:webHidden/>
            <w:lang w:val="ru-RU"/>
          </w:rPr>
          <w:instrText xml:space="preserve"> PAGEREF _Toc168050264 \h </w:instrText>
        </w:r>
        <w:r w:rsidR="00723844" w:rsidRPr="00C70871">
          <w:rPr>
            <w:rStyle w:val="Hyperlink"/>
            <w:webHidden/>
            <w:lang w:val="ru-RU"/>
          </w:rPr>
        </w:r>
        <w:r w:rsidR="00723844" w:rsidRPr="00C70871">
          <w:rPr>
            <w:rStyle w:val="Hyperlink"/>
            <w:webHidden/>
            <w:lang w:val="ru-RU"/>
          </w:rPr>
          <w:fldChar w:fldCharType="separate"/>
        </w:r>
        <w:r w:rsidR="00723844" w:rsidRPr="00C70871">
          <w:rPr>
            <w:rStyle w:val="Hyperlink"/>
            <w:webHidden/>
            <w:lang w:val="ru-RU"/>
          </w:rPr>
          <w:t>19</w:t>
        </w:r>
        <w:r w:rsidR="00723844" w:rsidRPr="00C70871">
          <w:rPr>
            <w:rStyle w:val="Hyperlink"/>
            <w:webHidden/>
            <w:lang w:val="ru-RU"/>
          </w:rPr>
          <w:fldChar w:fldCharType="end"/>
        </w:r>
      </w:hyperlink>
    </w:p>
    <w:p w14:paraId="0513F797" w14:textId="0896AF3C" w:rsidR="00723844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5" w:history="1">
        <w:r w:rsidR="00723844" w:rsidRPr="00965599">
          <w:rPr>
            <w:rStyle w:val="Hyperlink"/>
            <w:noProof/>
            <w:lang w:val="ru-RU"/>
          </w:rPr>
          <w:t>3</w:t>
        </w:r>
        <w:r w:rsidR="00723844" w:rsidRPr="00C70871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965599">
          <w:rPr>
            <w:rStyle w:val="Hyperlink"/>
            <w:noProof/>
            <w:lang w:val="ru-RU"/>
          </w:rPr>
          <w:t>Воздействие работы МСЭ: ход выполнения Повестки дня "Соединим к 2030 году"</w:t>
        </w:r>
        <w:r w:rsidR="00723844">
          <w:rPr>
            <w:noProof/>
            <w:webHidden/>
          </w:rPr>
          <w:tab/>
        </w:r>
        <w:r w:rsidR="00723844">
          <w:rPr>
            <w:noProof/>
            <w:webHidden/>
          </w:rPr>
          <w:fldChar w:fldCharType="begin"/>
        </w:r>
        <w:r w:rsidR="00723844">
          <w:rPr>
            <w:noProof/>
            <w:webHidden/>
          </w:rPr>
          <w:instrText xml:space="preserve"> PAGEREF _Toc168050265 \h </w:instrText>
        </w:r>
        <w:r w:rsidR="00723844">
          <w:rPr>
            <w:noProof/>
            <w:webHidden/>
          </w:rPr>
        </w:r>
        <w:r w:rsidR="00723844">
          <w:rPr>
            <w:noProof/>
            <w:webHidden/>
          </w:rPr>
          <w:fldChar w:fldCharType="separate"/>
        </w:r>
        <w:r w:rsidR="00723844">
          <w:rPr>
            <w:noProof/>
            <w:webHidden/>
          </w:rPr>
          <w:t>20</w:t>
        </w:r>
        <w:r w:rsidR="00723844">
          <w:rPr>
            <w:noProof/>
            <w:webHidden/>
          </w:rPr>
          <w:fldChar w:fldCharType="end"/>
        </w:r>
      </w:hyperlink>
    </w:p>
    <w:p w14:paraId="6A0E2103" w14:textId="4CBFBFDF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66" w:history="1">
        <w:r w:rsidR="00723844" w:rsidRPr="00965599">
          <w:rPr>
            <w:rStyle w:val="Hyperlink"/>
            <w:noProof/>
            <w:lang w:val="ru-RU"/>
          </w:rPr>
          <w:t>3.1</w:t>
        </w:r>
        <w:r w:rsidR="00723844" w:rsidRPr="00723844">
          <w:rPr>
            <w:rStyle w:val="Hyperlink"/>
            <w:lang w:val="ru-RU"/>
          </w:rPr>
          <w:tab/>
        </w:r>
        <w:r w:rsidR="00723844" w:rsidRPr="00965599">
          <w:rPr>
            <w:rStyle w:val="Hyperlink"/>
            <w:noProof/>
            <w:lang w:val="ru-RU"/>
          </w:rPr>
          <w:t>Стратегический план МСЭ на 2020−2023 годы: конечные результаты</w:t>
        </w:r>
        <w:r w:rsidR="00723844" w:rsidRPr="00723844">
          <w:rPr>
            <w:rStyle w:val="Hyperlink"/>
            <w:webHidden/>
            <w:lang w:val="ru-RU"/>
          </w:rPr>
          <w:tab/>
        </w:r>
        <w:r w:rsidR="00723844" w:rsidRPr="00723844">
          <w:rPr>
            <w:rStyle w:val="Hyperlink"/>
            <w:webHidden/>
          </w:rPr>
          <w:tab/>
        </w:r>
        <w:r w:rsidR="00723844" w:rsidRPr="00723844">
          <w:rPr>
            <w:rStyle w:val="Hyperlink"/>
            <w:webHidden/>
            <w:lang w:val="ru-RU"/>
          </w:rPr>
          <w:fldChar w:fldCharType="begin"/>
        </w:r>
        <w:r w:rsidR="00723844" w:rsidRPr="00723844">
          <w:rPr>
            <w:rStyle w:val="Hyperlink"/>
            <w:webHidden/>
            <w:lang w:val="ru-RU"/>
          </w:rPr>
          <w:instrText xml:space="preserve"> PAGEREF _Toc168050266 \h </w:instrText>
        </w:r>
        <w:r w:rsidR="00723844" w:rsidRPr="00723844">
          <w:rPr>
            <w:rStyle w:val="Hyperlink"/>
            <w:webHidden/>
            <w:lang w:val="ru-RU"/>
          </w:rPr>
        </w:r>
        <w:r w:rsidR="00723844" w:rsidRPr="00723844">
          <w:rPr>
            <w:rStyle w:val="Hyperlink"/>
            <w:webHidden/>
            <w:lang w:val="ru-RU"/>
          </w:rPr>
          <w:fldChar w:fldCharType="separate"/>
        </w:r>
        <w:r w:rsidR="00723844" w:rsidRPr="00723844">
          <w:rPr>
            <w:rStyle w:val="Hyperlink"/>
            <w:webHidden/>
            <w:lang w:val="ru-RU"/>
          </w:rPr>
          <w:t>20</w:t>
        </w:r>
        <w:r w:rsidR="00723844" w:rsidRPr="00723844">
          <w:rPr>
            <w:rStyle w:val="Hyperlink"/>
            <w:webHidden/>
            <w:lang w:val="ru-RU"/>
          </w:rPr>
          <w:fldChar w:fldCharType="end"/>
        </w:r>
      </w:hyperlink>
    </w:p>
    <w:p w14:paraId="3B156308" w14:textId="552A8030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67" w:history="1">
        <w:r w:rsidR="00723844" w:rsidRPr="00177CCD">
          <w:rPr>
            <w:rStyle w:val="Hyperlink"/>
            <w:noProof/>
            <w:color w:val="auto"/>
            <w:lang w:val="ru-RU"/>
          </w:rPr>
          <w:t>3.2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 xml:space="preserve">Сравнение с целевыми показателями Стратегического плана МСЭ на 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>2024−2027 годы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_Toc168050267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24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3E84F5CF" w14:textId="7330A6A6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68" w:history="1">
        <w:r w:rsidR="00723844" w:rsidRPr="00177CCD">
          <w:rPr>
            <w:rStyle w:val="Hyperlink"/>
            <w:noProof/>
            <w:color w:val="auto"/>
            <w:lang w:val="ru-RU"/>
          </w:rPr>
          <w:t>4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Основные темы работы МСЭ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_Toc168050268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26</w:t>
        </w:r>
        <w:r w:rsidR="00723844" w:rsidRPr="00177CCD">
          <w:rPr>
            <w:noProof/>
            <w:webHidden/>
          </w:rPr>
          <w:fldChar w:fldCharType="end"/>
        </w:r>
      </w:hyperlink>
    </w:p>
    <w:p w14:paraId="0DD6E01E" w14:textId="3DD34ED4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69" w:history="1">
        <w:r w:rsidR="00723844" w:rsidRPr="00177CCD">
          <w:rPr>
            <w:rStyle w:val="Hyperlink"/>
            <w:noProof/>
            <w:color w:val="auto"/>
            <w:lang w:val="ru-RU"/>
          </w:rPr>
          <w:t>4.1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 xml:space="preserve">Регулирование использования и управление использованием 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>спектра и орбит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_Toc168050269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26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0760912E" w14:textId="6A8650B6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70" w:history="1">
        <w:r w:rsidR="00723844" w:rsidRPr="00177CCD">
          <w:rPr>
            <w:rStyle w:val="Hyperlink"/>
            <w:noProof/>
            <w:color w:val="auto"/>
            <w:lang w:val="ru-RU"/>
          </w:rPr>
          <w:t>4.2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 xml:space="preserve">Появляющиеся технологии – формирование основ для устойчивой 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>цифровой трансформации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_Toc168050270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28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1EAE409E" w14:textId="7BE3BAE8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71" w:history="1">
        <w:r w:rsidR="00723844" w:rsidRPr="00177CCD">
          <w:rPr>
            <w:rStyle w:val="Hyperlink"/>
            <w:noProof/>
            <w:color w:val="auto"/>
            <w:lang w:val="ru-RU"/>
          </w:rPr>
          <w:t>4.3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Климат и окружающая среда: мониторинг и сокращение выбросов и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 xml:space="preserve"> электронных отходов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_Toc168050271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29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1DF1BC00" w14:textId="09556B8E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  <w:lang w:val="ru-RU"/>
        </w:rPr>
      </w:pPr>
      <w:hyperlink w:anchor="_Toc168050272" w:history="1">
        <w:r w:rsidR="00723844" w:rsidRPr="00177CCD">
          <w:rPr>
            <w:rStyle w:val="Hyperlink"/>
            <w:noProof/>
            <w:color w:val="auto"/>
            <w:lang w:val="ru-RU"/>
          </w:rPr>
          <w:t>4.4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Кибербезопасность: укрепление доверия и безопасности в ИКТ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_Toc168050272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32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5DC6143B" w14:textId="3A020E19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73" w:history="1">
        <w:r w:rsidR="00723844" w:rsidRPr="00177CCD">
          <w:rPr>
            <w:rStyle w:val="Hyperlink"/>
            <w:noProof/>
            <w:color w:val="auto"/>
            <w:lang w:val="ru-RU"/>
          </w:rPr>
          <w:t>4.5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 xml:space="preserve">Охват цифровыми технологиями: обеспечение открытого 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>и равного для всех доступа к ИКТ и их использования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_Toc168050273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32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1302F92C" w14:textId="52847C90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74" w:history="1">
        <w:r w:rsidR="00723844" w:rsidRPr="00177CCD">
          <w:rPr>
            <w:rStyle w:val="Hyperlink"/>
            <w:noProof/>
            <w:color w:val="auto"/>
            <w:lang w:val="ru-RU"/>
          </w:rPr>
          <w:t>5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Стандартизация: основы для формирования технологий сегодняшнего и</w:t>
        </w:r>
        <w:r w:rsidR="00C70871" w:rsidRPr="00177CCD">
          <w:rPr>
            <w:rStyle w:val="Hyperlink"/>
            <w:noProof/>
            <w:color w:val="auto"/>
            <w:lang w:val="ru-RU"/>
          </w:rPr>
          <w:t xml:space="preserve"> </w:t>
        </w:r>
        <w:r w:rsidR="00723844" w:rsidRPr="00177CCD">
          <w:rPr>
            <w:rStyle w:val="Hyperlink"/>
            <w:noProof/>
            <w:color w:val="auto"/>
            <w:lang w:val="ru-RU"/>
          </w:rPr>
          <w:br/>
          <w:t>завтрашнего дня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_Toc168050274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37</w:t>
        </w:r>
        <w:r w:rsidR="00723844" w:rsidRPr="00177CCD">
          <w:rPr>
            <w:noProof/>
            <w:webHidden/>
          </w:rPr>
          <w:fldChar w:fldCharType="end"/>
        </w:r>
      </w:hyperlink>
    </w:p>
    <w:p w14:paraId="741DC960" w14:textId="75D25938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75" w:history="1">
        <w:r w:rsidR="00723844" w:rsidRPr="00177CCD">
          <w:rPr>
            <w:rStyle w:val="Hyperlink"/>
            <w:noProof/>
            <w:color w:val="auto"/>
            <w:lang w:val="ru-RU"/>
          </w:rPr>
          <w:t>6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Стратегические партнерства в интересах устойчивого развития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_Toc168050275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37</w:t>
        </w:r>
        <w:r w:rsidR="00723844" w:rsidRPr="00177CCD">
          <w:rPr>
            <w:noProof/>
            <w:webHidden/>
          </w:rPr>
          <w:fldChar w:fldCharType="end"/>
        </w:r>
      </w:hyperlink>
    </w:p>
    <w:p w14:paraId="35C35126" w14:textId="21B5B846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76" w:history="1">
        <w:r w:rsidR="00723844" w:rsidRPr="00177CCD">
          <w:rPr>
            <w:rStyle w:val="Hyperlink"/>
            <w:noProof/>
            <w:color w:val="auto"/>
            <w:lang w:val="ru-RU"/>
          </w:rPr>
          <w:t>7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Соединение людей и идей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_Toc168050276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43</w:t>
        </w:r>
        <w:r w:rsidR="00723844" w:rsidRPr="00177CCD">
          <w:rPr>
            <w:noProof/>
            <w:webHidden/>
          </w:rPr>
          <w:fldChar w:fldCharType="end"/>
        </w:r>
      </w:hyperlink>
    </w:p>
    <w:p w14:paraId="210D0097" w14:textId="536B23E1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</w:rPr>
      </w:pPr>
      <w:hyperlink w:anchor="_Toc168050277" w:history="1">
        <w:r w:rsidR="00723844" w:rsidRPr="00177CCD">
          <w:rPr>
            <w:rStyle w:val="Hyperlink"/>
            <w:noProof/>
            <w:color w:val="auto"/>
            <w:lang w:val="ru-RU"/>
          </w:rPr>
          <w:t>7.1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Собрания высокого уровня − соединение людей и идей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_Toc168050277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43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0ADC55E9" w14:textId="504C4F65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</w:rPr>
      </w:pPr>
      <w:hyperlink w:anchor="_Toc168050278" w:history="1">
        <w:r w:rsidR="00723844" w:rsidRPr="00177CCD">
          <w:rPr>
            <w:rStyle w:val="Hyperlink"/>
            <w:noProof/>
            <w:color w:val="auto"/>
            <w:lang w:val="ru-RU"/>
          </w:rPr>
          <w:t>7.2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Семинары и семинары-практикумы: подробное изучение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_Toc168050278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44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41D86FD6" w14:textId="1A8EBBAC" w:rsidR="00723844" w:rsidRPr="00177CCD" w:rsidRDefault="00177CCD" w:rsidP="00723844">
      <w:pPr>
        <w:pStyle w:val="TOC2"/>
        <w:tabs>
          <w:tab w:val="clear" w:pos="7938"/>
          <w:tab w:val="clear" w:pos="8789"/>
          <w:tab w:val="left" w:leader="dot" w:pos="8222"/>
          <w:tab w:val="center" w:pos="8931"/>
        </w:tabs>
        <w:spacing w:before="120"/>
        <w:ind w:left="1134"/>
        <w:rPr>
          <w:rStyle w:val="Hyperlink"/>
          <w:color w:val="auto"/>
        </w:rPr>
      </w:pPr>
      <w:hyperlink w:anchor="_Toc168050279" w:history="1">
        <w:r w:rsidR="00723844" w:rsidRPr="00177CCD">
          <w:rPr>
            <w:rStyle w:val="Hyperlink"/>
            <w:noProof/>
            <w:color w:val="auto"/>
            <w:lang w:val="ru-RU"/>
          </w:rPr>
          <w:t>7.3</w:t>
        </w:r>
        <w:r w:rsidR="00723844" w:rsidRPr="00177CCD">
          <w:rPr>
            <w:rStyle w:val="Hyperlink"/>
            <w:color w:val="auto"/>
            <w:lang w:val="ru-RU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Привлечение академических организаций к работе МСЭ</w:t>
        </w:r>
        <w:r w:rsidR="00723844" w:rsidRPr="00177CCD">
          <w:rPr>
            <w:rStyle w:val="Hyperlink"/>
            <w:webHidden/>
            <w:color w:val="auto"/>
            <w:lang w:val="ru-RU"/>
          </w:rPr>
          <w:tab/>
        </w:r>
        <w:r w:rsidR="00723844" w:rsidRPr="00177CCD">
          <w:rPr>
            <w:rStyle w:val="Hyperlink"/>
            <w:webHidden/>
            <w:color w:val="auto"/>
          </w:rPr>
          <w:tab/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begin"/>
        </w:r>
        <w:r w:rsidR="00723844" w:rsidRPr="00177CCD">
          <w:rPr>
            <w:rStyle w:val="Hyperlink"/>
            <w:webHidden/>
            <w:color w:val="auto"/>
            <w:lang w:val="ru-RU"/>
          </w:rPr>
          <w:instrText xml:space="preserve"> PAGEREF _Toc168050279 \h </w:instrText>
        </w:r>
        <w:r w:rsidR="00723844" w:rsidRPr="00177CCD">
          <w:rPr>
            <w:rStyle w:val="Hyperlink"/>
            <w:webHidden/>
            <w:color w:val="auto"/>
            <w:lang w:val="ru-RU"/>
          </w:rPr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separate"/>
        </w:r>
        <w:r w:rsidR="00723844" w:rsidRPr="00177CCD">
          <w:rPr>
            <w:rStyle w:val="Hyperlink"/>
            <w:webHidden/>
            <w:color w:val="auto"/>
            <w:lang w:val="ru-RU"/>
          </w:rPr>
          <w:t>44</w:t>
        </w:r>
        <w:r w:rsidR="00723844" w:rsidRPr="00177CCD">
          <w:rPr>
            <w:rStyle w:val="Hyperlink"/>
            <w:webHidden/>
            <w:color w:val="auto"/>
            <w:lang w:val="ru-RU"/>
          </w:rPr>
          <w:fldChar w:fldCharType="end"/>
        </w:r>
      </w:hyperlink>
    </w:p>
    <w:p w14:paraId="27473451" w14:textId="70C27120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80" w:history="1">
        <w:r w:rsidR="00723844" w:rsidRPr="00177CCD">
          <w:rPr>
            <w:rStyle w:val="Hyperlink"/>
            <w:noProof/>
            <w:color w:val="auto"/>
            <w:lang w:val="ru-RU"/>
          </w:rPr>
          <w:t>8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Техническая поддержка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_Toc168050280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45</w:t>
        </w:r>
        <w:r w:rsidR="00723844" w:rsidRPr="00177CCD">
          <w:rPr>
            <w:noProof/>
            <w:webHidden/>
          </w:rPr>
          <w:fldChar w:fldCharType="end"/>
        </w:r>
      </w:hyperlink>
    </w:p>
    <w:p w14:paraId="71AEDD84" w14:textId="6E7AC8F1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81" w:history="1">
        <w:r w:rsidR="00723844" w:rsidRPr="00177CCD">
          <w:rPr>
            <w:rStyle w:val="Hyperlink"/>
            <w:noProof/>
            <w:color w:val="auto"/>
            <w:lang w:val="ru-RU"/>
          </w:rPr>
          <w:t>9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Подход, ориентированный на членов МСЭ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_Toc168050281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46</w:t>
        </w:r>
        <w:r w:rsidR="00723844" w:rsidRPr="00177CCD">
          <w:rPr>
            <w:noProof/>
            <w:webHidden/>
          </w:rPr>
          <w:fldChar w:fldCharType="end"/>
        </w:r>
      </w:hyperlink>
    </w:p>
    <w:p w14:paraId="5C7505D7" w14:textId="777BAA2D" w:rsidR="00723844" w:rsidRPr="00177CCD" w:rsidRDefault="00177CCD" w:rsidP="0064236A">
      <w:pPr>
        <w:pStyle w:val="TOC1"/>
        <w:tabs>
          <w:tab w:val="clear" w:pos="7938"/>
          <w:tab w:val="clear" w:pos="8789"/>
          <w:tab w:val="left" w:leader="dot" w:pos="8222"/>
          <w:tab w:val="center" w:pos="8931"/>
        </w:tabs>
        <w:spacing w:before="200"/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en-GB"/>
          <w14:ligatures w14:val="standardContextual"/>
        </w:rPr>
      </w:pPr>
      <w:hyperlink w:anchor="_Toc168050282" w:history="1">
        <w:r w:rsidR="00723844" w:rsidRPr="00177CCD">
          <w:rPr>
            <w:rStyle w:val="Hyperlink"/>
            <w:noProof/>
            <w:color w:val="auto"/>
            <w:lang w:val="ru-RU"/>
          </w:rPr>
          <w:t>10</w:t>
        </w:r>
        <w:r w:rsidR="00723844" w:rsidRPr="00177CCD">
          <w:rPr>
            <w:rFonts w:asciiTheme="minorHAnsi" w:eastAsiaTheme="minorEastAsia" w:hAnsiTheme="minorHAnsi" w:cstheme="minorBidi"/>
            <w:noProof/>
            <w:kern w:val="2"/>
            <w:szCs w:val="22"/>
            <w:lang w:eastAsia="en-GB"/>
            <w14:ligatures w14:val="standardContextual"/>
          </w:rPr>
          <w:tab/>
        </w:r>
        <w:r w:rsidR="00723844" w:rsidRPr="00177CCD">
          <w:rPr>
            <w:rStyle w:val="Hyperlink"/>
            <w:noProof/>
            <w:color w:val="auto"/>
            <w:lang w:val="ru-RU"/>
          </w:rPr>
          <w:t>Ход выполнения Резолюций Полномочной конференции</w:t>
        </w:r>
        <w:r w:rsidR="00723844" w:rsidRPr="00177CCD">
          <w:rPr>
            <w:noProof/>
            <w:webHidden/>
          </w:rPr>
          <w:tab/>
        </w:r>
        <w:r w:rsidR="00723844" w:rsidRPr="00177CCD">
          <w:rPr>
            <w:noProof/>
            <w:webHidden/>
            <w:lang w:val="ru-RU"/>
          </w:rPr>
          <w:tab/>
        </w:r>
        <w:r w:rsidR="00723844" w:rsidRPr="00177CCD">
          <w:rPr>
            <w:noProof/>
            <w:webHidden/>
          </w:rPr>
          <w:fldChar w:fldCharType="begin"/>
        </w:r>
        <w:r w:rsidR="00723844" w:rsidRPr="00177CCD">
          <w:rPr>
            <w:noProof/>
            <w:webHidden/>
          </w:rPr>
          <w:instrText xml:space="preserve"> PAGEREF _Toc168050282 \h </w:instrText>
        </w:r>
        <w:r w:rsidR="00723844" w:rsidRPr="00177CCD">
          <w:rPr>
            <w:noProof/>
            <w:webHidden/>
          </w:rPr>
        </w:r>
        <w:r w:rsidR="00723844" w:rsidRPr="00177CCD">
          <w:rPr>
            <w:noProof/>
            <w:webHidden/>
          </w:rPr>
          <w:fldChar w:fldCharType="separate"/>
        </w:r>
        <w:r w:rsidR="00723844" w:rsidRPr="00177CCD">
          <w:rPr>
            <w:noProof/>
            <w:webHidden/>
          </w:rPr>
          <w:t>48</w:t>
        </w:r>
        <w:r w:rsidR="00723844" w:rsidRPr="00177CCD">
          <w:rPr>
            <w:noProof/>
            <w:webHidden/>
          </w:rPr>
          <w:fldChar w:fldCharType="end"/>
        </w:r>
      </w:hyperlink>
    </w:p>
    <w:p w14:paraId="292D6794" w14:textId="106DF0BC" w:rsidR="007F23B5" w:rsidRPr="00964D8D" w:rsidRDefault="00723844" w:rsidP="007F23B5">
      <w:pPr>
        <w:rPr>
          <w:lang w:val="ru-RU"/>
        </w:rPr>
      </w:pPr>
      <w:r>
        <w:rPr>
          <w:lang w:val="ru-RU"/>
        </w:rPr>
        <w:fldChar w:fldCharType="end"/>
      </w:r>
      <w:r w:rsidR="007F23B5" w:rsidRPr="00964D8D">
        <w:rPr>
          <w:lang w:val="ru-RU"/>
        </w:rPr>
        <w:br w:type="page"/>
      </w:r>
    </w:p>
    <w:p w14:paraId="2A5DD2D6" w14:textId="6396860F" w:rsidR="007F23B5" w:rsidRPr="007F23B5" w:rsidRDefault="007F23B5" w:rsidP="007F23B5">
      <w:pPr>
        <w:pStyle w:val="Heading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bookmarkStart w:id="9" w:name="_Toc165293883"/>
      <w:bookmarkStart w:id="10" w:name="_Toc168049874"/>
      <w:bookmarkStart w:id="11" w:name="_Toc168050260"/>
      <w:r>
        <w:rPr>
          <w:lang w:val="en-US"/>
        </w:rPr>
        <w:lastRenderedPageBreak/>
        <w:t>i</w:t>
      </w:r>
      <w:r w:rsidRPr="007F23B5">
        <w:rPr>
          <w:lang w:val="ru-RU"/>
        </w:rPr>
        <w:tab/>
      </w:r>
      <w:r w:rsidRPr="00F644BA">
        <w:rPr>
          <w:lang w:val="ru-RU"/>
        </w:rPr>
        <w:t>Ключевые выводы</w:t>
      </w:r>
      <w:bookmarkEnd w:id="9"/>
      <w:bookmarkEnd w:id="10"/>
      <w:bookmarkEnd w:id="11"/>
    </w:p>
    <w:p w14:paraId="6C6E1C67" w14:textId="5AC36240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1D5A1F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 xml:space="preserve">МСЭ стремится обеспечить универсальную возможность установления соединений и устойчивую цифровую трансформацию, ставя перед собой цель </w:t>
      </w:r>
      <w:r>
        <w:rPr>
          <w:lang w:val="ru-RU"/>
        </w:rPr>
        <w:t xml:space="preserve">добиться </w:t>
      </w:r>
      <w:r w:rsidRPr="00F644BA">
        <w:rPr>
          <w:lang w:val="ru-RU"/>
        </w:rPr>
        <w:t>подключени</w:t>
      </w:r>
      <w:r>
        <w:rPr>
          <w:lang w:val="ru-RU"/>
        </w:rPr>
        <w:t>я</w:t>
      </w:r>
      <w:r w:rsidRPr="00F644BA">
        <w:rPr>
          <w:lang w:val="ru-RU"/>
        </w:rPr>
        <w:t xml:space="preserve"> к интернету остающ</w:t>
      </w:r>
      <w:r>
        <w:rPr>
          <w:lang w:val="ru-RU"/>
        </w:rPr>
        <w:t>ей</w:t>
      </w:r>
      <w:r w:rsidRPr="00F644BA">
        <w:rPr>
          <w:lang w:val="ru-RU"/>
        </w:rPr>
        <w:t>ся трет</w:t>
      </w:r>
      <w:r>
        <w:rPr>
          <w:lang w:val="ru-RU"/>
        </w:rPr>
        <w:t>и</w:t>
      </w:r>
      <w:r w:rsidRPr="00F644BA">
        <w:rPr>
          <w:lang w:val="ru-RU"/>
        </w:rPr>
        <w:t xml:space="preserve"> человечества </w:t>
      </w:r>
      <w:r w:rsidR="001D5A1F" w:rsidRPr="001D5A1F">
        <w:rPr>
          <w:lang w:val="ru-RU"/>
        </w:rPr>
        <w:t>−</w:t>
      </w:r>
      <w:r w:rsidRPr="00F644BA">
        <w:rPr>
          <w:lang w:val="ru-RU"/>
        </w:rPr>
        <w:t xml:space="preserve"> 2,6 м</w:t>
      </w:r>
      <w:r>
        <w:rPr>
          <w:lang w:val="ru-RU"/>
        </w:rPr>
        <w:t xml:space="preserve">лрд. </w:t>
      </w:r>
      <w:r w:rsidRPr="00F644BA">
        <w:rPr>
          <w:lang w:val="ru-RU"/>
        </w:rPr>
        <w:t>человек во всем мире, которые все еще не имеют доступа к интернету.</w:t>
      </w:r>
    </w:p>
    <w:p w14:paraId="57449241" w14:textId="39CD8550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1D5A1F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В Стратегическом плане МСЭ на 2024</w:t>
      </w:r>
      <w:r w:rsidR="001D5A1F" w:rsidRPr="001D5A1F">
        <w:rPr>
          <w:lang w:val="ru-RU"/>
        </w:rPr>
        <w:t>−</w:t>
      </w:r>
      <w:r w:rsidRPr="00F644BA">
        <w:rPr>
          <w:lang w:val="ru-RU"/>
        </w:rPr>
        <w:t>2027 годы основное внимание уделяется 12</w:t>
      </w:r>
      <w:r w:rsidR="003F24DA">
        <w:rPr>
          <w:lang w:val="ru-RU"/>
        </w:rPr>
        <w:t> </w:t>
      </w:r>
      <w:r w:rsidRPr="00F644BA">
        <w:rPr>
          <w:lang w:val="ru-RU"/>
        </w:rPr>
        <w:t>целевым показателям по обеспечению возможности установления соединений и трансформации.</w:t>
      </w:r>
    </w:p>
    <w:p w14:paraId="7CABA4BF" w14:textId="4626F339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1D5A1F">
        <w:rPr>
          <w:lang w:val="ru-RU"/>
        </w:rPr>
        <w:t>•</w:t>
      </w:r>
      <w:r w:rsidRPr="001D5A1F">
        <w:rPr>
          <w:lang w:val="ru-RU"/>
        </w:rPr>
        <w:tab/>
      </w:r>
      <w:r w:rsidR="00952A66">
        <w:rPr>
          <w:lang w:val="ru-RU"/>
        </w:rPr>
        <w:t xml:space="preserve">К марту </w:t>
      </w:r>
      <w:r w:rsidRPr="00F644BA">
        <w:rPr>
          <w:lang w:val="ru-RU"/>
        </w:rPr>
        <w:t>202</w:t>
      </w:r>
      <w:r w:rsidR="00952A66">
        <w:rPr>
          <w:lang w:val="ru-RU"/>
        </w:rPr>
        <w:t>4</w:t>
      </w:r>
      <w:r w:rsidRPr="00F644BA">
        <w:rPr>
          <w:lang w:val="ru-RU"/>
        </w:rPr>
        <w:t xml:space="preserve"> года в рамках инициативы </w:t>
      </w:r>
      <w:r w:rsidR="00952A66" w:rsidRPr="00F644BA">
        <w:rPr>
          <w:lang w:val="ru-RU"/>
        </w:rPr>
        <w:t xml:space="preserve">МСЭ </w:t>
      </w:r>
      <w:r w:rsidRPr="00F644BA">
        <w:rPr>
          <w:lang w:val="ru-RU"/>
        </w:rPr>
        <w:t>"Партнерства для подключения" (Partner2Connect) было привлечено свыше 46 м</w:t>
      </w:r>
      <w:r>
        <w:rPr>
          <w:lang w:val="ru-RU"/>
        </w:rPr>
        <w:t xml:space="preserve">лрд. </w:t>
      </w:r>
      <w:r w:rsidRPr="00F644BA">
        <w:rPr>
          <w:lang w:val="ru-RU"/>
        </w:rPr>
        <w:t>долл</w:t>
      </w:r>
      <w:r>
        <w:rPr>
          <w:lang w:val="ru-RU"/>
        </w:rPr>
        <w:t>аров</w:t>
      </w:r>
      <w:r w:rsidRPr="00F644BA">
        <w:rPr>
          <w:lang w:val="ru-RU"/>
        </w:rPr>
        <w:t xml:space="preserve"> США в формате обязательств </w:t>
      </w:r>
      <w:r w:rsidR="00792546">
        <w:rPr>
          <w:lang w:val="ru-RU"/>
        </w:rPr>
        <w:t xml:space="preserve">для обеспечения </w:t>
      </w:r>
      <w:r w:rsidR="00792546" w:rsidRPr="00792546">
        <w:rPr>
          <w:lang w:val="ru-RU"/>
        </w:rPr>
        <w:t>инклюзивност</w:t>
      </w:r>
      <w:r w:rsidR="00792546">
        <w:rPr>
          <w:lang w:val="ru-RU"/>
        </w:rPr>
        <w:t>и</w:t>
      </w:r>
      <w:r w:rsidR="00792546" w:rsidRPr="00792546">
        <w:rPr>
          <w:lang w:val="ru-RU"/>
        </w:rPr>
        <w:t xml:space="preserve">, </w:t>
      </w:r>
      <w:r w:rsidR="00792546">
        <w:rPr>
          <w:lang w:val="ru-RU"/>
        </w:rPr>
        <w:t>партнерских отношений</w:t>
      </w:r>
      <w:r w:rsidR="00792546" w:rsidRPr="00792546">
        <w:rPr>
          <w:lang w:val="ru-RU"/>
        </w:rPr>
        <w:t xml:space="preserve"> и устойчиво</w:t>
      </w:r>
      <w:r w:rsidR="00792546">
        <w:rPr>
          <w:lang w:val="ru-RU"/>
        </w:rPr>
        <w:t>го</w:t>
      </w:r>
      <w:r w:rsidR="00792546" w:rsidRPr="00792546">
        <w:rPr>
          <w:lang w:val="ru-RU"/>
        </w:rPr>
        <w:t xml:space="preserve"> цифрово</w:t>
      </w:r>
      <w:r w:rsidR="00792546">
        <w:rPr>
          <w:lang w:val="ru-RU"/>
        </w:rPr>
        <w:t>го</w:t>
      </w:r>
      <w:r w:rsidR="00792546" w:rsidRPr="00792546">
        <w:rPr>
          <w:lang w:val="ru-RU"/>
        </w:rPr>
        <w:t xml:space="preserve"> развити</w:t>
      </w:r>
      <w:r w:rsidR="00792546">
        <w:rPr>
          <w:lang w:val="ru-RU"/>
        </w:rPr>
        <w:t>я</w:t>
      </w:r>
      <w:r w:rsidR="00792546" w:rsidRPr="00792546">
        <w:rPr>
          <w:lang w:val="ru-RU"/>
        </w:rPr>
        <w:t xml:space="preserve">. </w:t>
      </w:r>
      <w:r w:rsidR="00042187">
        <w:rPr>
          <w:lang w:val="ru-RU"/>
        </w:rPr>
        <w:t xml:space="preserve">В рамках </w:t>
      </w:r>
      <w:r w:rsidR="00915357">
        <w:rPr>
          <w:lang w:val="ru-RU"/>
        </w:rPr>
        <w:t xml:space="preserve">этой </w:t>
      </w:r>
      <w:r w:rsidR="00042187">
        <w:rPr>
          <w:lang w:val="ru-RU"/>
        </w:rPr>
        <w:t>инициативы</w:t>
      </w:r>
      <w:r w:rsidR="00792546" w:rsidRPr="00792546">
        <w:rPr>
          <w:lang w:val="ru-RU"/>
        </w:rPr>
        <w:t>, возглавляем</w:t>
      </w:r>
      <w:r w:rsidR="00042187">
        <w:rPr>
          <w:lang w:val="ru-RU"/>
        </w:rPr>
        <w:t>ой</w:t>
      </w:r>
      <w:r w:rsidR="00792546" w:rsidRPr="00792546">
        <w:rPr>
          <w:lang w:val="ru-RU"/>
        </w:rPr>
        <w:t xml:space="preserve"> МСЭ, </w:t>
      </w:r>
      <w:r w:rsidR="00042187">
        <w:rPr>
          <w:lang w:val="ru-RU"/>
        </w:rPr>
        <w:t>признается</w:t>
      </w:r>
      <w:r w:rsidR="00792546" w:rsidRPr="00792546">
        <w:rPr>
          <w:lang w:val="ru-RU"/>
        </w:rPr>
        <w:t xml:space="preserve"> необходимость сотрудничества </w:t>
      </w:r>
      <w:r w:rsidR="00042187">
        <w:rPr>
          <w:lang w:val="ru-RU"/>
        </w:rPr>
        <w:t>между разными</w:t>
      </w:r>
      <w:r w:rsidR="00792546" w:rsidRPr="00792546">
        <w:rPr>
          <w:lang w:val="ru-RU"/>
        </w:rPr>
        <w:t xml:space="preserve"> заинтересованны</w:t>
      </w:r>
      <w:r w:rsidR="00042187">
        <w:rPr>
          <w:lang w:val="ru-RU"/>
        </w:rPr>
        <w:t>ми</w:t>
      </w:r>
      <w:r w:rsidR="00792546" w:rsidRPr="00792546">
        <w:rPr>
          <w:lang w:val="ru-RU"/>
        </w:rPr>
        <w:t xml:space="preserve"> сторон</w:t>
      </w:r>
      <w:r w:rsidR="00042187">
        <w:rPr>
          <w:lang w:val="ru-RU"/>
        </w:rPr>
        <w:t>ами</w:t>
      </w:r>
      <w:r w:rsidR="00792546" w:rsidRPr="00792546">
        <w:rPr>
          <w:lang w:val="ru-RU"/>
        </w:rPr>
        <w:t xml:space="preserve"> для достижения универсальной</w:t>
      </w:r>
      <w:r w:rsidR="00952A66">
        <w:rPr>
          <w:lang w:val="ru-RU"/>
        </w:rPr>
        <w:t xml:space="preserve"> и</w:t>
      </w:r>
      <w:r w:rsidR="00792546" w:rsidRPr="00792546">
        <w:rPr>
          <w:lang w:val="ru-RU"/>
        </w:rPr>
        <w:t xml:space="preserve"> </w:t>
      </w:r>
      <w:r w:rsidR="00042187">
        <w:rPr>
          <w:lang w:val="ru-RU"/>
        </w:rPr>
        <w:t>реальной возможности установления соединений, а также</w:t>
      </w:r>
      <w:r w:rsidR="00792546" w:rsidRPr="00792546">
        <w:rPr>
          <w:lang w:val="ru-RU"/>
        </w:rPr>
        <w:t xml:space="preserve"> устойчивой цифровой трансформации, включая непосредственное руководство со стороны правительств, </w:t>
      </w:r>
      <w:r w:rsidR="00042187">
        <w:rPr>
          <w:lang w:val="ru-RU"/>
        </w:rPr>
        <w:t>директивных органов</w:t>
      </w:r>
      <w:r w:rsidR="00792546" w:rsidRPr="00792546">
        <w:rPr>
          <w:lang w:val="ru-RU"/>
        </w:rPr>
        <w:t xml:space="preserve"> и </w:t>
      </w:r>
      <w:r w:rsidR="00E5312F">
        <w:rPr>
          <w:lang w:val="ru-RU"/>
        </w:rPr>
        <w:t>регуляторного</w:t>
      </w:r>
      <w:r w:rsidR="00792546" w:rsidRPr="00792546">
        <w:rPr>
          <w:lang w:val="ru-RU"/>
        </w:rPr>
        <w:t xml:space="preserve"> сообщества</w:t>
      </w:r>
      <w:r w:rsidRPr="00F644BA">
        <w:rPr>
          <w:lang w:val="ru-RU"/>
        </w:rPr>
        <w:t>.</w:t>
      </w:r>
    </w:p>
    <w:p w14:paraId="5FDC2B1F" w14:textId="77777777" w:rsidR="007F23B5" w:rsidRPr="007F23B5" w:rsidRDefault="007F23B5" w:rsidP="007F23B5">
      <w:pPr>
        <w:pStyle w:val="Headingi"/>
        <w:rPr>
          <w:rFonts w:eastAsiaTheme="minorEastAsia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Глобальная ситуация</w:t>
      </w:r>
    </w:p>
    <w:p w14:paraId="1C6F284B" w14:textId="0F1BC9A4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К концу 2023 года около 67 процентов населения мира, или 5,4 млрд</w:t>
      </w:r>
      <w:r>
        <w:rPr>
          <w:lang w:val="ru-RU"/>
        </w:rPr>
        <w:t>.</w:t>
      </w:r>
      <w:r w:rsidRPr="00F644BA">
        <w:rPr>
          <w:lang w:val="ru-RU"/>
        </w:rPr>
        <w:t xml:space="preserve"> человек, имели подключение к интернету, что на 4,7 процента больше, чем в 2022 году.</w:t>
      </w:r>
    </w:p>
    <w:p w14:paraId="6F698B87" w14:textId="38135831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Несмотря на достигнутый прогресс, в 2023 году только 27 процентов населения стран с низким уровнем дохода пользовались интернетом, что свидетельствует о сохраняющихся вызовах, связанных с преодолением цифрового разрыва.</w:t>
      </w:r>
    </w:p>
    <w:p w14:paraId="3F1AA26B" w14:textId="561F0FC1" w:rsidR="007F23B5" w:rsidRPr="00E5312F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В 2023 году корзина услуг подвижной широкополосной связи только для передачи данных стала более приемлемой в ценовом отношении во всех регионах мира и для всех групп населения по уровню доходов.</w:t>
      </w:r>
      <w:r w:rsidR="00E5312F">
        <w:rPr>
          <w:lang w:val="ru-RU"/>
        </w:rPr>
        <w:t xml:space="preserve"> </w:t>
      </w:r>
      <w:r w:rsidR="00E5312F">
        <w:rPr>
          <w:rFonts w:eastAsia="Calibri"/>
          <w:lang w:val="ru-RU"/>
        </w:rPr>
        <w:t>За период с 2017 по 2023 год приемлемость в ценовом отношении выросла на</w:t>
      </w:r>
      <w:r w:rsidR="00E5312F" w:rsidRPr="00964D8D">
        <w:rPr>
          <w:rFonts w:eastAsia="Calibri"/>
          <w:lang w:val="ru-RU"/>
        </w:rPr>
        <w:t xml:space="preserve"> 36 </w:t>
      </w:r>
      <w:r w:rsidR="00E5312F">
        <w:rPr>
          <w:rFonts w:eastAsia="Calibri"/>
          <w:lang w:val="ru-RU"/>
        </w:rPr>
        <w:t>процентов.</w:t>
      </w:r>
    </w:p>
    <w:p w14:paraId="7BD5BDC1" w14:textId="54B473E9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1D5A1F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К концу 2023 года во всем мире интернетом пользовались на 250 млн</w:t>
      </w:r>
      <w:r>
        <w:rPr>
          <w:lang w:val="ru-RU"/>
        </w:rPr>
        <w:t>.</w:t>
      </w:r>
      <w:r w:rsidRPr="00F644BA">
        <w:rPr>
          <w:lang w:val="ru-RU"/>
        </w:rPr>
        <w:t xml:space="preserve"> мужчин больше, чем женщин, особенно в наименее развитых странах, и с 2020 года число стран, в которых имеется нормативная база для обеспечения доступности информационно-коммуникационных технологий (ИКТ) для лиц с ограниченными возможностями, почти удвоилось </w:t>
      </w:r>
      <w:r w:rsidR="001D5A1F" w:rsidRPr="001D5A1F">
        <w:rPr>
          <w:lang w:val="ru-RU"/>
        </w:rPr>
        <w:t>−</w:t>
      </w:r>
      <w:r w:rsidRPr="00F644BA">
        <w:rPr>
          <w:lang w:val="ru-RU"/>
        </w:rPr>
        <w:t xml:space="preserve"> с 61 до 117.</w:t>
      </w:r>
    </w:p>
    <w:p w14:paraId="51DDA1FA" w14:textId="6FCD68B8" w:rsidR="007F23B5" w:rsidRPr="001D5A1F" w:rsidRDefault="007F23B5" w:rsidP="007F23B5">
      <w:pPr>
        <w:pStyle w:val="enumlev1"/>
        <w:rPr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 xml:space="preserve">По прогнозам последнего </w:t>
      </w:r>
      <w:hyperlink r:id="rId12" w:history="1">
        <w:r w:rsidRPr="00F644BA">
          <w:rPr>
            <w:rStyle w:val="Hyperlink"/>
            <w:szCs w:val="24"/>
            <w:lang w:val="ru-RU"/>
          </w:rPr>
          <w:t>Глобального мониторинга электронных отходов</w:t>
        </w:r>
      </w:hyperlink>
      <w:r w:rsidRPr="00F644BA">
        <w:rPr>
          <w:lang w:val="ru-RU"/>
        </w:rPr>
        <w:t>, к 2030</w:t>
      </w:r>
      <w:r>
        <w:rPr>
          <w:lang w:val="ru-RU"/>
        </w:rPr>
        <w:t> </w:t>
      </w:r>
      <w:r w:rsidRPr="00F644BA">
        <w:rPr>
          <w:lang w:val="ru-RU"/>
        </w:rPr>
        <w:t>году объем глобальных электронных отходов достигнет 74,7 млн</w:t>
      </w:r>
      <w:r>
        <w:rPr>
          <w:lang w:val="ru-RU"/>
        </w:rPr>
        <w:t>.</w:t>
      </w:r>
      <w:r w:rsidRPr="00F644BA">
        <w:rPr>
          <w:lang w:val="ru-RU"/>
        </w:rPr>
        <w:t xml:space="preserve"> тонн, что почти вдвое превысит показатель 2014 года, а доля утилизированных электронных отходов снизится к 2030 году до 20 процентов из-за увеличивающейся разницы в усилиях по утилизации по сравнению с ошеломляющим ростом объемов электронных отходов во всем мире</w:t>
      </w:r>
      <w:r>
        <w:rPr>
          <w:lang w:val="ru-RU"/>
        </w:rPr>
        <w:t xml:space="preserve">. Это </w:t>
      </w:r>
      <w:r w:rsidRPr="00F644BA">
        <w:rPr>
          <w:lang w:val="ru-RU"/>
        </w:rPr>
        <w:t>обусловлено увеличением темпов потребления электрического и электронного оборудования, сокращением сроков службы и ограниченными возможностями ремонта.</w:t>
      </w:r>
    </w:p>
    <w:p w14:paraId="3E9BE03E" w14:textId="40E902FC" w:rsidR="007F23B5" w:rsidRPr="001D5A1F" w:rsidRDefault="007F23B5" w:rsidP="007F23B5">
      <w:pPr>
        <w:pStyle w:val="enumlev1"/>
        <w:rPr>
          <w:lang w:val="ru-RU"/>
        </w:rPr>
      </w:pPr>
      <w:bookmarkStart w:id="12" w:name="_Hlk166168812"/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0F5235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Несмотря на вызовы, с которыми столкнулся мир в 2023 году, цифровые технологии стали маяком надежды, подкрепляя возросший масштаб стратегических целей, глобальных инициатив и ежедневной работы МСЭ.</w:t>
      </w:r>
      <w:bookmarkEnd w:id="12"/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 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План 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у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скорения 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использования технологий для 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ЦУР, 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начатый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 в сентябре 2023 года ПРООН и МСЭ в преддверии </w:t>
      </w:r>
      <w:r w:rsidR="00554210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С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аммита 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по 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ЦУР, показал, что 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с помощью цифровых технологий можно ускорить </w:t>
      </w:r>
      <w:r w:rsidR="00554210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ход реализации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 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70 процентов </w:t>
      </w:r>
      <w:r w:rsidR="00554210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 xml:space="preserve">задач </w:t>
      </w:r>
      <w:r w:rsidR="00E5312F" w:rsidRP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ЦУР</w:t>
      </w:r>
      <w:r w:rsidR="00E5312F"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  <w:t>.</w:t>
      </w:r>
    </w:p>
    <w:p w14:paraId="7CF67DFD" w14:textId="034DFCE3" w:rsidR="007F23B5" w:rsidRPr="007F23B5" w:rsidRDefault="007F23B5" w:rsidP="003F24DA">
      <w:pPr>
        <w:pStyle w:val="enumlev1"/>
        <w:keepNext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lastRenderedPageBreak/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 xml:space="preserve">К концу 2023 года: </w:t>
      </w:r>
    </w:p>
    <w:p w14:paraId="174C6074" w14:textId="3B71663F" w:rsidR="007F23B5" w:rsidRPr="00F644BA" w:rsidRDefault="007F23B5" w:rsidP="007F23B5">
      <w:pPr>
        <w:pStyle w:val="enumlev2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7F23B5">
        <w:rPr>
          <w:lang w:val="ru-RU"/>
        </w:rPr>
        <w:t>−</w:t>
      </w:r>
      <w:r w:rsidRPr="007F23B5">
        <w:rPr>
          <w:lang w:val="ru-RU"/>
        </w:rPr>
        <w:tab/>
      </w:r>
      <w:r w:rsidRPr="00F644BA">
        <w:rPr>
          <w:lang w:val="ru-RU"/>
        </w:rPr>
        <w:t>политика, законы и правила в области утилизации электронных отходов имелись в 81 стране</w:t>
      </w:r>
      <w:r w:rsidR="00884FE3">
        <w:rPr>
          <w:lang w:val="ru-RU"/>
        </w:rPr>
        <w:t xml:space="preserve"> (</w:t>
      </w:r>
      <w:r w:rsidR="00554210">
        <w:rPr>
          <w:lang w:val="ru-RU"/>
        </w:rPr>
        <w:t>увеличение</w:t>
      </w:r>
      <w:r w:rsidR="00884FE3">
        <w:rPr>
          <w:lang w:val="ru-RU"/>
        </w:rPr>
        <w:t xml:space="preserve"> за период с 201</w:t>
      </w:r>
      <w:r w:rsidR="00554210">
        <w:rPr>
          <w:lang w:val="ru-RU"/>
        </w:rPr>
        <w:t>9</w:t>
      </w:r>
      <w:r w:rsidR="00884FE3">
        <w:rPr>
          <w:lang w:val="ru-RU"/>
        </w:rPr>
        <w:t xml:space="preserve"> года, когда </w:t>
      </w:r>
      <w:r w:rsidR="00554210">
        <w:rPr>
          <w:lang w:val="ru-RU"/>
        </w:rPr>
        <w:t>таких стран было</w:t>
      </w:r>
      <w:r w:rsidR="00884FE3">
        <w:rPr>
          <w:lang w:val="ru-RU"/>
        </w:rPr>
        <w:t xml:space="preserve"> 78)</w:t>
      </w:r>
      <w:r w:rsidRPr="00F644BA">
        <w:rPr>
          <w:lang w:val="ru-RU"/>
        </w:rPr>
        <w:t xml:space="preserve"> по сравнению с целевым значением в 97 стран; </w:t>
      </w:r>
    </w:p>
    <w:p w14:paraId="681CFA43" w14:textId="6760E6EB" w:rsidR="007F23B5" w:rsidRPr="00F644BA" w:rsidRDefault="007F23B5" w:rsidP="007F23B5">
      <w:pPr>
        <w:pStyle w:val="enumlev2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7F23B5">
        <w:rPr>
          <w:lang w:val="ru-RU"/>
        </w:rPr>
        <w:t>−</w:t>
      </w:r>
      <w:r w:rsidRPr="007F23B5">
        <w:rPr>
          <w:lang w:val="ru-RU"/>
        </w:rPr>
        <w:tab/>
      </w:r>
      <w:r w:rsidRPr="00F644BA">
        <w:rPr>
          <w:lang w:val="ru-RU"/>
        </w:rPr>
        <w:t xml:space="preserve">число стран, в которых имелись группы реагирования на киберинциденты (CIRTS) </w:t>
      </w:r>
      <w:r>
        <w:rPr>
          <w:lang w:val="ru-RU"/>
        </w:rPr>
        <w:t>увеличилось</w:t>
      </w:r>
      <w:r w:rsidRPr="00F644BA">
        <w:rPr>
          <w:lang w:val="ru-RU"/>
        </w:rPr>
        <w:t xml:space="preserve"> и составило 126 стран по сравнению с 109 странами в 2020 году; национальные стратегии и планы действий в области кибербезопасности имеются в 127 странах по сравнению с 107 странами в 2020 году;</w:t>
      </w:r>
    </w:p>
    <w:p w14:paraId="3AB9B80D" w14:textId="0B87AA27" w:rsidR="007F23B5" w:rsidRPr="00F644BA" w:rsidRDefault="007F23B5" w:rsidP="007F23B5">
      <w:pPr>
        <w:pStyle w:val="enumlev2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7F23B5">
        <w:rPr>
          <w:lang w:val="ru-RU"/>
        </w:rPr>
        <w:t>−</w:t>
      </w:r>
      <w:r w:rsidRPr="007F23B5">
        <w:rPr>
          <w:lang w:val="ru-RU"/>
        </w:rPr>
        <w:tab/>
      </w:r>
      <w:r w:rsidRPr="00F644BA">
        <w:rPr>
          <w:lang w:val="ru-RU"/>
        </w:rPr>
        <w:t>национальные планы в области электросвязи в чрезвычайных ситуациях имелись у 83 процентов стран по сравнению с 25 процентами в 2020 году;</w:t>
      </w:r>
    </w:p>
    <w:p w14:paraId="01D6B127" w14:textId="07F32105" w:rsidR="007F23B5" w:rsidRPr="00F644BA" w:rsidRDefault="007F23B5" w:rsidP="007F23B5">
      <w:pPr>
        <w:pStyle w:val="enumlev2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7F23B5">
        <w:rPr>
          <w:lang w:val="ru-RU"/>
        </w:rPr>
        <w:t>−</w:t>
      </w:r>
      <w:r w:rsidRPr="007F23B5">
        <w:rPr>
          <w:lang w:val="ru-RU"/>
        </w:rPr>
        <w:tab/>
      </w:r>
      <w:r w:rsidRPr="00F644BA">
        <w:rPr>
          <w:lang w:val="ru-RU"/>
        </w:rPr>
        <w:t xml:space="preserve">число стран, в которых действует политика, направленная на стимулирование ориентированных на технологии инноваций, </w:t>
      </w:r>
      <w:r w:rsidR="00884FE3">
        <w:rPr>
          <w:lang w:val="ru-RU"/>
        </w:rPr>
        <w:t xml:space="preserve">достигло 97 и, таким образом, </w:t>
      </w:r>
      <w:r w:rsidR="00554210">
        <w:rPr>
          <w:lang w:val="ru-RU"/>
        </w:rPr>
        <w:t>увеличилось</w:t>
      </w:r>
      <w:r w:rsidR="00884FE3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с 66 </w:t>
      </w:r>
      <w:r w:rsidR="00884FE3">
        <w:rPr>
          <w:lang w:val="ru-RU"/>
        </w:rPr>
        <w:t>стран в 2020 году;</w:t>
      </w:r>
    </w:p>
    <w:p w14:paraId="2456E442" w14:textId="1028A48F" w:rsidR="007F23B5" w:rsidRPr="00F644BA" w:rsidRDefault="002D0264" w:rsidP="002D0264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="007F23B5" w:rsidRPr="00F644BA">
        <w:rPr>
          <w:lang w:val="ru-RU"/>
        </w:rPr>
        <w:t>была реализована значительная часть С</w:t>
      </w:r>
      <w:r w:rsidR="00884FE3">
        <w:rPr>
          <w:lang w:val="ru-RU"/>
        </w:rPr>
        <w:t>тратегического плана</w:t>
      </w:r>
      <w:r w:rsidR="007F23B5" w:rsidRPr="00F644BA">
        <w:rPr>
          <w:lang w:val="ru-RU"/>
        </w:rPr>
        <w:t xml:space="preserve"> МСЭ на 2020</w:t>
      </w:r>
      <w:r w:rsidR="001D5A1F" w:rsidRPr="001D5A1F">
        <w:rPr>
          <w:lang w:val="ru-RU"/>
        </w:rPr>
        <w:t>−</w:t>
      </w:r>
      <w:r w:rsidR="007F23B5" w:rsidRPr="00F644BA">
        <w:rPr>
          <w:lang w:val="ru-RU"/>
        </w:rPr>
        <w:t xml:space="preserve">2023 годы, причем успешные проекты и инициативы последних лет были направлены на обеспечение роста, </w:t>
      </w:r>
      <w:r w:rsidR="007F23B5">
        <w:rPr>
          <w:lang w:val="ru-RU"/>
        </w:rPr>
        <w:t>открытости</w:t>
      </w:r>
      <w:r w:rsidR="007F23B5" w:rsidRPr="00F644BA">
        <w:rPr>
          <w:lang w:val="ru-RU"/>
        </w:rPr>
        <w:t>, устойчивости</w:t>
      </w:r>
      <w:r w:rsidR="00884FE3">
        <w:rPr>
          <w:lang w:val="ru-RU"/>
        </w:rPr>
        <w:t>,</w:t>
      </w:r>
      <w:r w:rsidR="007F23B5" w:rsidRPr="00F644BA">
        <w:rPr>
          <w:lang w:val="ru-RU"/>
        </w:rPr>
        <w:t xml:space="preserve"> внедрение инноваций</w:t>
      </w:r>
      <w:r w:rsidR="00554210">
        <w:rPr>
          <w:lang w:val="ru-RU"/>
        </w:rPr>
        <w:t xml:space="preserve"> и </w:t>
      </w:r>
      <w:r w:rsidR="00884FE3">
        <w:rPr>
          <w:lang w:val="ru-RU"/>
        </w:rPr>
        <w:t>развитие партнерских отношений</w:t>
      </w:r>
      <w:r w:rsidR="007F23B5" w:rsidRPr="00F644BA">
        <w:rPr>
          <w:lang w:val="ru-RU"/>
        </w:rPr>
        <w:t>;</w:t>
      </w:r>
    </w:p>
    <w:p w14:paraId="347F8F92" w14:textId="131B5725" w:rsidR="007F23B5" w:rsidRPr="00F644BA" w:rsidRDefault="002D0264" w:rsidP="002D0264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="007F23B5">
        <w:rPr>
          <w:lang w:val="ru-RU"/>
        </w:rPr>
        <w:t>вызовы</w:t>
      </w:r>
      <w:r w:rsidR="007F23B5" w:rsidRPr="00F644BA">
        <w:rPr>
          <w:lang w:val="ru-RU"/>
        </w:rPr>
        <w:t xml:space="preserve"> сохраняются, особенно в области преодоления гендерного цифрового разрыва и решения проблемы электронных отходов и выбросов парниковых газов;</w:t>
      </w:r>
    </w:p>
    <w:p w14:paraId="1CB3AB7C" w14:textId="40ADFE6A" w:rsidR="007F23B5" w:rsidRPr="00F644BA" w:rsidRDefault="002D0264" w:rsidP="002D0264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="007F23B5" w:rsidRPr="00F644BA">
        <w:rPr>
          <w:lang w:val="ru-RU"/>
        </w:rPr>
        <w:t xml:space="preserve">работа МСЭ охватывает </w:t>
      </w:r>
      <w:r w:rsidR="00884FE3">
        <w:rPr>
          <w:lang w:val="ru-RU"/>
        </w:rPr>
        <w:t>различные</w:t>
      </w:r>
      <w:r w:rsidR="007F23B5" w:rsidRPr="00F644BA">
        <w:rPr>
          <w:lang w:val="ru-RU"/>
        </w:rPr>
        <w:t xml:space="preserve">, но взаимосвязанные аспекты возможности установления соединений, связи и цифровой трансформации </w:t>
      </w:r>
      <w:r w:rsidR="001D5A1F" w:rsidRPr="001D5A1F">
        <w:rPr>
          <w:lang w:val="ru-RU"/>
        </w:rPr>
        <w:t>−</w:t>
      </w:r>
      <w:r w:rsidR="007F23B5" w:rsidRPr="00F644BA">
        <w:rPr>
          <w:lang w:val="ru-RU"/>
        </w:rPr>
        <w:t xml:space="preserve"> от наземных и космических сетей до доступных технологических стандартов, а также обеспечения всех людей и сообществ необходимым цифровым доступом и навыками для полноценного, значимого социально-экономического участия и возможностей. Все три Сектора МСЭ работают вместе, чтобы обеспечить связь для всех </w:t>
      </w:r>
      <w:r w:rsidR="007F23B5">
        <w:rPr>
          <w:lang w:val="ru-RU"/>
        </w:rPr>
        <w:t>людей, где бы они ни находились</w:t>
      </w:r>
      <w:r w:rsidR="00386A9C">
        <w:rPr>
          <w:lang w:val="ru-RU"/>
        </w:rPr>
        <w:t xml:space="preserve">, </w:t>
      </w:r>
      <w:r w:rsidR="00554210">
        <w:rPr>
          <w:lang w:val="ru-RU"/>
        </w:rPr>
        <w:t xml:space="preserve">а </w:t>
      </w:r>
      <w:r w:rsidR="00386A9C">
        <w:rPr>
          <w:lang w:val="ru-RU"/>
        </w:rPr>
        <w:t>также</w:t>
      </w:r>
      <w:r w:rsidR="00386A9C" w:rsidRPr="00386A9C">
        <w:rPr>
          <w:lang w:val="ru-RU"/>
        </w:rPr>
        <w:t xml:space="preserve"> </w:t>
      </w:r>
      <w:r w:rsidR="00554210">
        <w:rPr>
          <w:lang w:val="ru-RU"/>
        </w:rPr>
        <w:t xml:space="preserve">обеспечить всем людям </w:t>
      </w:r>
      <w:r w:rsidR="00386A9C" w:rsidRPr="00386A9C">
        <w:rPr>
          <w:lang w:val="ru-RU"/>
        </w:rPr>
        <w:t>преимущества цифровых технологий.</w:t>
      </w:r>
    </w:p>
    <w:p w14:paraId="33C6668D" w14:textId="77777777" w:rsidR="007F23B5" w:rsidRPr="007F23B5" w:rsidRDefault="007F23B5" w:rsidP="007F23B5">
      <w:pPr>
        <w:pStyle w:val="Headingi"/>
        <w:rPr>
          <w:rFonts w:eastAsiaTheme="minorEastAsia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Предусмотренная Уставом конференция </w:t>
      </w:r>
    </w:p>
    <w:p w14:paraId="38706282" w14:textId="4AC121CA" w:rsidR="007F23B5" w:rsidRDefault="007F23B5" w:rsidP="00884FE3">
      <w:pPr>
        <w:pStyle w:val="enumlev1"/>
        <w:rPr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Всемирная конференция радиосвязи (ВКР-23), которая прошла в Дубае, ОАЭ, обеспечила ключевые глобальные обновления регламентарной основы в области распределения радиочастотного спектра для беспроводных и других служб, включая дополнительный спектр для международной подвижной электросвязи (</w:t>
      </w:r>
      <w:r w:rsidRPr="00F644BA">
        <w:rPr>
          <w:lang w:val="en-US"/>
        </w:rPr>
        <w:t>IMT</w:t>
      </w:r>
      <w:r w:rsidRPr="00F644BA">
        <w:rPr>
          <w:lang w:val="ru-RU"/>
        </w:rPr>
        <w:t>), в особенности для подвижной и фиксированной широкополосной связи, модернизацию Глобальной морской системы связи при бедствии и для обеспечения безопасности (ГМССБ) и регулирование для спутниковых служб.</w:t>
      </w:r>
    </w:p>
    <w:p w14:paraId="31DD0F9B" w14:textId="644028BC" w:rsidR="00386A9C" w:rsidRPr="00F644BA" w:rsidRDefault="00386A9C" w:rsidP="00884FE3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846E28">
        <w:rPr>
          <w:lang w:val="ru-RU"/>
        </w:rPr>
        <w:t>•</w:t>
      </w:r>
      <w:r w:rsidRPr="001D5A1F">
        <w:rPr>
          <w:lang w:val="ru-RU"/>
        </w:rPr>
        <w:tab/>
      </w:r>
      <w:r w:rsidRPr="00386A9C">
        <w:rPr>
          <w:lang w:val="ru-RU"/>
        </w:rPr>
        <w:t>Предшествующая Ассамблея радиосвязи (</w:t>
      </w:r>
      <w:r>
        <w:rPr>
          <w:lang w:val="ru-RU"/>
        </w:rPr>
        <w:t>АР</w:t>
      </w:r>
      <w:r w:rsidRPr="00386A9C">
        <w:rPr>
          <w:lang w:val="ru-RU"/>
        </w:rPr>
        <w:t xml:space="preserve">-23) </w:t>
      </w:r>
      <w:r>
        <w:rPr>
          <w:lang w:val="ru-RU"/>
        </w:rPr>
        <w:t>выработала</w:t>
      </w:r>
      <w:r w:rsidRPr="00386A9C">
        <w:rPr>
          <w:lang w:val="ru-RU"/>
        </w:rPr>
        <w:t xml:space="preserve"> программы </w:t>
      </w:r>
      <w:r>
        <w:rPr>
          <w:lang w:val="ru-RU"/>
        </w:rPr>
        <w:t xml:space="preserve">будущей </w:t>
      </w:r>
      <w:r w:rsidRPr="00386A9C">
        <w:rPr>
          <w:lang w:val="ru-RU"/>
        </w:rPr>
        <w:t xml:space="preserve">работы Сектора радиосвязи МСЭ (МСЭ-R) и утвердила ряд </w:t>
      </w:r>
      <w:r>
        <w:rPr>
          <w:lang w:val="ru-RU"/>
        </w:rPr>
        <w:t>Р</w:t>
      </w:r>
      <w:r w:rsidRPr="00386A9C">
        <w:rPr>
          <w:lang w:val="ru-RU"/>
        </w:rPr>
        <w:t xml:space="preserve">екомендаций и </w:t>
      </w:r>
      <w:r>
        <w:rPr>
          <w:lang w:val="ru-RU"/>
        </w:rPr>
        <w:t>Р</w:t>
      </w:r>
      <w:r w:rsidRPr="00386A9C">
        <w:rPr>
          <w:lang w:val="ru-RU"/>
        </w:rPr>
        <w:t xml:space="preserve">езолюций МСЭ-R, которые окажут глобальное </w:t>
      </w:r>
      <w:r w:rsidR="00554210">
        <w:rPr>
          <w:lang w:val="ru-RU"/>
        </w:rPr>
        <w:t>воздействие</w:t>
      </w:r>
      <w:r w:rsidRPr="00386A9C">
        <w:rPr>
          <w:lang w:val="ru-RU"/>
        </w:rPr>
        <w:t xml:space="preserve"> на будущие технологии радиосвязи.</w:t>
      </w:r>
    </w:p>
    <w:p w14:paraId="4A7FDE95" w14:textId="79460BA2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Женщины состав</w:t>
      </w:r>
      <w:r>
        <w:rPr>
          <w:lang w:val="ru-RU"/>
        </w:rPr>
        <w:t>и</w:t>
      </w:r>
      <w:r w:rsidRPr="00F644BA">
        <w:rPr>
          <w:lang w:val="ru-RU"/>
        </w:rPr>
        <w:t>ли 22 процента делегатов ВКР-23</w:t>
      </w:r>
      <w:r w:rsidR="00386A9C">
        <w:rPr>
          <w:lang w:val="ru-RU"/>
        </w:rPr>
        <w:t xml:space="preserve"> (увеличение по сравнению с 19</w:t>
      </w:r>
      <w:r w:rsidR="003F24DA">
        <w:rPr>
          <w:lang w:val="ru-RU"/>
        </w:rPr>
        <w:t> </w:t>
      </w:r>
      <w:r w:rsidR="00386A9C">
        <w:rPr>
          <w:lang w:val="ru-RU"/>
        </w:rPr>
        <w:t>процентами на ВКР-19)</w:t>
      </w:r>
      <w:r w:rsidRPr="00F644BA">
        <w:rPr>
          <w:lang w:val="ru-RU"/>
        </w:rPr>
        <w:t>, что отражает постепенное сокращение гендерного разрыва в деятельности МСЭ, в том числе в дискуссиях, связанных с радиосвязью.</w:t>
      </w:r>
    </w:p>
    <w:p w14:paraId="268ACD4D" w14:textId="49A3C27C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АР-23 приняла Резолюцию, направленную на содействие обеспечению гендерного равенства в работе МСЭ в этой области, а также в Секторе радиосвязи МСЭ (МСЭ-R) и в отрасли в целом.</w:t>
      </w:r>
    </w:p>
    <w:p w14:paraId="35F2CE47" w14:textId="77777777" w:rsidR="007F23B5" w:rsidRPr="00F644BA" w:rsidRDefault="007F23B5" w:rsidP="007F23B5">
      <w:pPr>
        <w:pStyle w:val="Headingi"/>
        <w:rPr>
          <w:rFonts w:eastAsiaTheme="minorEastAsia" w:cstheme="minorBidi"/>
          <w:kern w:val="2"/>
          <w:lang w:val="ru-RU"/>
          <w14:ligatures w14:val="standardContextual"/>
        </w:rPr>
      </w:pPr>
      <w:bookmarkStart w:id="13" w:name="_Hlk167957709"/>
      <w:r w:rsidRPr="00F644BA">
        <w:rPr>
          <w:lang w:val="ru-RU"/>
        </w:rPr>
        <w:t>Важнейший прогресс в каждом секторе</w:t>
      </w:r>
      <w:bookmarkEnd w:id="13"/>
    </w:p>
    <w:p w14:paraId="3EE04253" w14:textId="18B1FBFF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rFonts w:eastAsiaTheme="minorEastAsia"/>
          <w:lang w:val="ru-RU"/>
        </w:rPr>
        <w:t xml:space="preserve">Сектор радиосвязи МСЭ (МСЭ-R) утвердил более 80 новых или пересмотренных Рекомендаций, исчерпывающую информацию о которых можно найти </w:t>
      </w:r>
      <w:hyperlink r:id="rId13" w:history="1">
        <w:r w:rsidR="00386A9C" w:rsidRPr="00386A9C">
          <w:rPr>
            <w:rStyle w:val="Hyperlink"/>
            <w:rFonts w:eastAsiaTheme="minorEastAsia"/>
            <w:lang w:val="ru-RU"/>
          </w:rPr>
          <w:t>здесь</w:t>
        </w:r>
      </w:hyperlink>
      <w:r w:rsidRPr="00F644BA">
        <w:rPr>
          <w:rFonts w:eastAsiaTheme="minorEastAsia"/>
          <w:lang w:val="ru-RU"/>
        </w:rPr>
        <w:t>.</w:t>
      </w:r>
    </w:p>
    <w:p w14:paraId="3C5D3D66" w14:textId="60B7E5CD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lastRenderedPageBreak/>
        <w:t>•</w:t>
      </w:r>
      <w:r w:rsidRPr="001D5A1F">
        <w:rPr>
          <w:lang w:val="ru-RU"/>
        </w:rPr>
        <w:tab/>
      </w:r>
      <w:r w:rsidRPr="00F644BA">
        <w:rPr>
          <w:rFonts w:eastAsiaTheme="minorEastAsia"/>
          <w:lang w:val="ru-RU"/>
        </w:rPr>
        <w:t>МСЭ получил премию "Эмми" в области инженерного творчества, науки и техники за разработку стандарта радиосвязи для телевидения большого динамического диапазона (HDR-TV) в знак признания ключевой роли организации в формировании технологий сегодняшнего и завтрашнего дня. Это третья премия "Эмми", присужденная за работу МСЭ в области радиосвязи, и шестая "Эмми" для МСЭ в целом.</w:t>
      </w:r>
    </w:p>
    <w:p w14:paraId="60094453" w14:textId="7F1D313C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Сектор стандартизации МСЭ (МСЭ-Т) утвердил 286 новых и пересмотренных Рекомендаций, а пять активных оперативных групп обеспечивают поддержку соответствующ</w:t>
      </w:r>
      <w:r>
        <w:rPr>
          <w:lang w:val="ru-RU"/>
        </w:rPr>
        <w:t>ей</w:t>
      </w:r>
      <w:r w:rsidRPr="00F644BA">
        <w:rPr>
          <w:lang w:val="ru-RU"/>
        </w:rPr>
        <w:t xml:space="preserve"> деятельности</w:t>
      </w:r>
      <w:r w:rsidR="003E2DF3">
        <w:rPr>
          <w:lang w:val="ru-RU"/>
        </w:rPr>
        <w:t xml:space="preserve"> в области приемлемых в ценовом отношении</w:t>
      </w:r>
      <w:r w:rsidR="003E2DF3" w:rsidRPr="003E2DF3">
        <w:rPr>
          <w:lang w:val="ru-RU"/>
        </w:rPr>
        <w:t xml:space="preserve"> услуг передачи данных, сценари</w:t>
      </w:r>
      <w:r w:rsidR="003E2DF3">
        <w:rPr>
          <w:lang w:val="ru-RU"/>
        </w:rPr>
        <w:t>ев</w:t>
      </w:r>
      <w:r w:rsidR="003E2DF3" w:rsidRPr="003E2DF3">
        <w:rPr>
          <w:lang w:val="ru-RU"/>
        </w:rPr>
        <w:t xml:space="preserve"> использования </w:t>
      </w:r>
      <w:r w:rsidR="003E2DF3">
        <w:rPr>
          <w:lang w:val="ru-RU"/>
        </w:rPr>
        <w:t>метавселенной</w:t>
      </w:r>
      <w:r w:rsidR="003E2DF3" w:rsidRPr="003E2DF3">
        <w:rPr>
          <w:lang w:val="ru-RU"/>
        </w:rPr>
        <w:t>, гармонизаци</w:t>
      </w:r>
      <w:r w:rsidR="00554210">
        <w:rPr>
          <w:lang w:val="ru-RU"/>
        </w:rPr>
        <w:t>и</w:t>
      </w:r>
      <w:r w:rsidR="003E2DF3" w:rsidRPr="003E2DF3">
        <w:rPr>
          <w:lang w:val="ru-RU"/>
        </w:rPr>
        <w:t xml:space="preserve"> </w:t>
      </w:r>
      <w:r w:rsidR="003E2DF3">
        <w:rPr>
          <w:lang w:val="ru-RU"/>
        </w:rPr>
        <w:t>средств тестирования</w:t>
      </w:r>
      <w:r w:rsidR="003E2DF3" w:rsidRPr="003E2DF3">
        <w:rPr>
          <w:lang w:val="ru-RU"/>
        </w:rPr>
        <w:t xml:space="preserve"> </w:t>
      </w:r>
      <w:r w:rsidR="003E2DF3">
        <w:rPr>
          <w:lang w:val="ru-RU"/>
        </w:rPr>
        <w:t>систем подвижной</w:t>
      </w:r>
      <w:r w:rsidR="003E2DF3" w:rsidRPr="003E2DF3">
        <w:rPr>
          <w:lang w:val="ru-RU"/>
        </w:rPr>
        <w:t xml:space="preserve"> связи, цифрово</w:t>
      </w:r>
      <w:r w:rsidR="00554210">
        <w:rPr>
          <w:lang w:val="ru-RU"/>
        </w:rPr>
        <w:t>го</w:t>
      </w:r>
      <w:r w:rsidR="003E2DF3" w:rsidRPr="003E2DF3">
        <w:rPr>
          <w:lang w:val="ru-RU"/>
        </w:rPr>
        <w:t xml:space="preserve"> сельско</w:t>
      </w:r>
      <w:r w:rsidR="00554210">
        <w:rPr>
          <w:lang w:val="ru-RU"/>
        </w:rPr>
        <w:t>го</w:t>
      </w:r>
      <w:r w:rsidR="003E2DF3" w:rsidRPr="003E2DF3">
        <w:rPr>
          <w:lang w:val="ru-RU"/>
        </w:rPr>
        <w:t xml:space="preserve"> хозяйств</w:t>
      </w:r>
      <w:r w:rsidR="00554210">
        <w:rPr>
          <w:lang w:val="ru-RU"/>
        </w:rPr>
        <w:t>а</w:t>
      </w:r>
      <w:r w:rsidR="003E2DF3" w:rsidRPr="003E2DF3">
        <w:rPr>
          <w:lang w:val="ru-RU"/>
        </w:rPr>
        <w:t xml:space="preserve"> и искусственн</w:t>
      </w:r>
      <w:r w:rsidR="00554210">
        <w:rPr>
          <w:lang w:val="ru-RU"/>
        </w:rPr>
        <w:t>ого</w:t>
      </w:r>
      <w:r w:rsidR="003E2DF3" w:rsidRPr="003E2DF3">
        <w:rPr>
          <w:lang w:val="ru-RU"/>
        </w:rPr>
        <w:t xml:space="preserve"> интеллект</w:t>
      </w:r>
      <w:r w:rsidR="00554210">
        <w:rPr>
          <w:lang w:val="ru-RU"/>
        </w:rPr>
        <w:t>а</w:t>
      </w:r>
      <w:r w:rsidR="003E2DF3" w:rsidRPr="003E2DF3">
        <w:rPr>
          <w:lang w:val="ru-RU"/>
        </w:rPr>
        <w:t xml:space="preserve"> (ИИ) </w:t>
      </w:r>
      <w:r w:rsidR="003E2DF3">
        <w:rPr>
          <w:lang w:val="ru-RU"/>
        </w:rPr>
        <w:t>для управления операциями в случае</w:t>
      </w:r>
      <w:r w:rsidR="003E2DF3" w:rsidRPr="003E2DF3">
        <w:rPr>
          <w:lang w:val="ru-RU"/>
        </w:rPr>
        <w:t xml:space="preserve"> стихийных бедствий</w:t>
      </w:r>
      <w:r w:rsidR="003E2DF3">
        <w:rPr>
          <w:lang w:val="ru-RU"/>
        </w:rPr>
        <w:t>.</w:t>
      </w:r>
    </w:p>
    <w:p w14:paraId="5E8F0EEC" w14:textId="6913A8B9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="003E2DF3">
        <w:rPr>
          <w:lang w:val="ru-RU"/>
        </w:rPr>
        <w:t xml:space="preserve">Проходит подготовка к </w:t>
      </w:r>
      <w:r w:rsidR="003E2DF3">
        <w:rPr>
          <w:rFonts w:eastAsiaTheme="minorEastAsia"/>
          <w:lang w:val="ru-RU"/>
        </w:rPr>
        <w:t>р</w:t>
      </w:r>
      <w:r w:rsidRPr="00F644BA">
        <w:rPr>
          <w:rFonts w:eastAsiaTheme="minorEastAsia"/>
          <w:lang w:val="ru-RU"/>
        </w:rPr>
        <w:t>уководящ</w:t>
      </w:r>
      <w:r w:rsidR="003E2DF3">
        <w:rPr>
          <w:rFonts w:eastAsiaTheme="minorEastAsia"/>
          <w:lang w:val="ru-RU"/>
        </w:rPr>
        <w:t>ей</w:t>
      </w:r>
      <w:r w:rsidRPr="00F644BA">
        <w:rPr>
          <w:rFonts w:eastAsiaTheme="minorEastAsia"/>
          <w:lang w:val="ru-RU"/>
        </w:rPr>
        <w:t xml:space="preserve"> конференци</w:t>
      </w:r>
      <w:r w:rsidR="003E2DF3">
        <w:rPr>
          <w:rFonts w:eastAsiaTheme="minorEastAsia"/>
          <w:lang w:val="ru-RU"/>
        </w:rPr>
        <w:t>и</w:t>
      </w:r>
      <w:r w:rsidRPr="00F644BA">
        <w:rPr>
          <w:rFonts w:eastAsiaTheme="minorEastAsia"/>
          <w:lang w:val="ru-RU"/>
        </w:rPr>
        <w:t xml:space="preserve"> МСЭ-Т, Всемирн</w:t>
      </w:r>
      <w:r w:rsidR="003E2DF3">
        <w:rPr>
          <w:rFonts w:eastAsiaTheme="minorEastAsia"/>
          <w:lang w:val="ru-RU"/>
        </w:rPr>
        <w:t>ой</w:t>
      </w:r>
      <w:r w:rsidRPr="00F644BA">
        <w:rPr>
          <w:rFonts w:eastAsiaTheme="minorEastAsia"/>
          <w:lang w:val="ru-RU"/>
        </w:rPr>
        <w:t xml:space="preserve"> ассамбле</w:t>
      </w:r>
      <w:r w:rsidR="003E2DF3">
        <w:rPr>
          <w:rFonts w:eastAsiaTheme="minorEastAsia"/>
          <w:lang w:val="ru-RU"/>
        </w:rPr>
        <w:t>е</w:t>
      </w:r>
      <w:r w:rsidRPr="00F644BA">
        <w:rPr>
          <w:rFonts w:eastAsiaTheme="minorEastAsia"/>
          <w:lang w:val="ru-RU"/>
        </w:rPr>
        <w:t xml:space="preserve"> по стандартизации электросвязи (</w:t>
      </w:r>
      <w:r w:rsidRPr="00115F92">
        <w:rPr>
          <w:rFonts w:eastAsiaTheme="minorEastAsia"/>
          <w:lang w:val="ru-RU"/>
        </w:rPr>
        <w:t>ВАСЭ-24</w:t>
      </w:r>
      <w:r w:rsidRPr="00F644BA">
        <w:rPr>
          <w:rFonts w:eastAsiaTheme="minorEastAsia"/>
          <w:lang w:val="ru-RU"/>
        </w:rPr>
        <w:t xml:space="preserve">), </w:t>
      </w:r>
      <w:r w:rsidR="003E2DF3">
        <w:rPr>
          <w:rFonts w:eastAsiaTheme="minorEastAsia"/>
          <w:lang w:val="ru-RU"/>
        </w:rPr>
        <w:t xml:space="preserve">которая </w:t>
      </w:r>
      <w:r w:rsidRPr="00F644BA">
        <w:rPr>
          <w:rFonts w:eastAsiaTheme="minorEastAsia"/>
          <w:lang w:val="ru-RU"/>
        </w:rPr>
        <w:t>пройдет в Нью-Дели, Индия, с 15 по 24 октября 2024 года.</w:t>
      </w:r>
    </w:p>
    <w:p w14:paraId="313C6DB8" w14:textId="323CBDD0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="003E2DF3">
        <w:rPr>
          <w:lang w:val="ru-RU"/>
        </w:rPr>
        <w:t xml:space="preserve">В 2023 году </w:t>
      </w:r>
      <w:r w:rsidRPr="00F644BA">
        <w:rPr>
          <w:lang w:val="ru-RU"/>
        </w:rPr>
        <w:t>Сектор развития электросвязи МСЭ (МСЭ-D) реализовал</w:t>
      </w:r>
      <w:r w:rsidR="003E2DF3">
        <w:rPr>
          <w:lang w:val="ru-RU"/>
        </w:rPr>
        <w:t xml:space="preserve"> или продолжил </w:t>
      </w:r>
      <w:r w:rsidR="00487880">
        <w:rPr>
          <w:lang w:val="ru-RU"/>
        </w:rPr>
        <w:t>работу по реализации</w:t>
      </w:r>
      <w:r w:rsidRPr="00F644BA">
        <w:rPr>
          <w:lang w:val="ru-RU"/>
        </w:rPr>
        <w:t xml:space="preserve"> 87 проектов на общую сумму 106,4 </w:t>
      </w:r>
      <w:bookmarkStart w:id="14" w:name="_Hlk166166362"/>
      <w:r w:rsidRPr="00F644BA">
        <w:rPr>
          <w:lang w:val="ru-RU"/>
        </w:rPr>
        <w:t>м</w:t>
      </w:r>
      <w:r>
        <w:rPr>
          <w:lang w:val="ru-RU"/>
        </w:rPr>
        <w:t>лн. швейцарских франков</w:t>
      </w:r>
      <w:bookmarkEnd w:id="14"/>
      <w:r w:rsidRPr="00F644BA">
        <w:rPr>
          <w:lang w:val="ru-RU"/>
        </w:rPr>
        <w:t>, при этом было подписано 23 новых проекта на сумму 20,9 м</w:t>
      </w:r>
      <w:r>
        <w:rPr>
          <w:lang w:val="ru-RU"/>
        </w:rPr>
        <w:t>лн. швейцарских франков</w:t>
      </w:r>
      <w:r w:rsidRPr="00F644BA">
        <w:rPr>
          <w:lang w:val="ru-RU"/>
        </w:rPr>
        <w:t>.</w:t>
      </w:r>
    </w:p>
    <w:p w14:paraId="7649FA97" w14:textId="59978B38" w:rsidR="007F23B5" w:rsidRPr="00F644BA" w:rsidRDefault="007F23B5" w:rsidP="007F23B5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 xml:space="preserve">Влияние ИИ и машинного обучения на работу МСЭ в области стандартизации (МСЭ-Т) продолжает расти, особенно в </w:t>
      </w:r>
      <w:r w:rsidR="003E2DF3">
        <w:rPr>
          <w:lang w:val="ru-RU"/>
        </w:rPr>
        <w:t>таких областях, как</w:t>
      </w:r>
      <w:r w:rsidR="003E2DF3" w:rsidRPr="00F644BA">
        <w:rPr>
          <w:lang w:val="ru-RU"/>
        </w:rPr>
        <w:t xml:space="preserve"> </w:t>
      </w:r>
      <w:r w:rsidRPr="00F644BA">
        <w:rPr>
          <w:lang w:val="ru-RU"/>
        </w:rPr>
        <w:t>оркестровк</w:t>
      </w:r>
      <w:r w:rsidR="003E2DF3">
        <w:rPr>
          <w:lang w:val="ru-RU"/>
        </w:rPr>
        <w:t>а</w:t>
      </w:r>
      <w:r w:rsidRPr="00F644BA">
        <w:rPr>
          <w:lang w:val="ru-RU"/>
        </w:rPr>
        <w:t xml:space="preserve"> сетей и управлени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сетями, мультимедийных систем, оценк</w:t>
      </w:r>
      <w:r w:rsidR="003E2DF3">
        <w:rPr>
          <w:lang w:val="ru-RU"/>
        </w:rPr>
        <w:t>а</w:t>
      </w:r>
      <w:r w:rsidRPr="00F644BA">
        <w:rPr>
          <w:lang w:val="ru-RU"/>
        </w:rPr>
        <w:t xml:space="preserve"> качества обслуживания, энергоэффективности, протоколов и спецификаций тестирования, будущих сетей, кабельных сетей, эксплуатаци</w:t>
      </w:r>
      <w:r w:rsidR="003E2DF3">
        <w:rPr>
          <w:lang w:val="ru-RU"/>
        </w:rPr>
        <w:t>я</w:t>
      </w:r>
      <w:r w:rsidRPr="00F644BA">
        <w:rPr>
          <w:lang w:val="ru-RU"/>
        </w:rPr>
        <w:t xml:space="preserve"> и техническо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обслуживани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сетей, безопасности, цифрового здравоохранения, "умн</w:t>
      </w:r>
      <w:r w:rsidR="003E2DF3">
        <w:rPr>
          <w:lang w:val="ru-RU"/>
        </w:rPr>
        <w:t>ая</w:t>
      </w:r>
      <w:r w:rsidRPr="00F644BA">
        <w:rPr>
          <w:lang w:val="ru-RU"/>
        </w:rPr>
        <w:t>" мобильност</w:t>
      </w:r>
      <w:r w:rsidR="003E2DF3">
        <w:rPr>
          <w:lang w:val="ru-RU"/>
        </w:rPr>
        <w:t>ь</w:t>
      </w:r>
      <w:r w:rsidRPr="00F644BA">
        <w:rPr>
          <w:lang w:val="ru-RU"/>
        </w:rPr>
        <w:t>, цифрово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сельско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хозяйств</w:t>
      </w:r>
      <w:r w:rsidR="003E2DF3">
        <w:rPr>
          <w:lang w:val="ru-RU"/>
        </w:rPr>
        <w:t>о</w:t>
      </w:r>
      <w:r w:rsidRPr="00F644BA">
        <w:rPr>
          <w:lang w:val="ru-RU"/>
        </w:rPr>
        <w:t xml:space="preserve"> и управлени</w:t>
      </w:r>
      <w:r w:rsidR="003E2DF3">
        <w:rPr>
          <w:lang w:val="ru-RU"/>
        </w:rPr>
        <w:t>е</w:t>
      </w:r>
      <w:r w:rsidRPr="00F644BA">
        <w:rPr>
          <w:lang w:val="ru-RU"/>
        </w:rPr>
        <w:t xml:space="preserve"> операциями в случае бедствий. </w:t>
      </w:r>
    </w:p>
    <w:p w14:paraId="4400FE9C" w14:textId="17C716AE" w:rsidR="007F23B5" w:rsidRPr="007F23B5" w:rsidRDefault="007F23B5" w:rsidP="007F23B5">
      <w:pPr>
        <w:pStyle w:val="enumlev1"/>
        <w:rPr>
          <w:lang w:val="ru-RU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7F23B5">
        <w:rPr>
          <w:lang w:val="ru-RU"/>
        </w:rPr>
        <w:t xml:space="preserve">Глобальное инклюзивное сообщество "ИИ во благо" объединяет частный сектор, гражданское общество и государственные институты в целях круглогодичной выработки важной информации об инструментах ИИ, машинного обучения и интерфейса "мозг-машина". </w:t>
      </w:r>
    </w:p>
    <w:p w14:paraId="77FCACBC" w14:textId="7F59E1CD" w:rsidR="007F23B5" w:rsidRPr="007F23B5" w:rsidRDefault="007F23B5" w:rsidP="00472567">
      <w:pPr>
        <w:rPr>
          <w:lang w:val="ru-RU"/>
        </w:rPr>
      </w:pPr>
      <w:r w:rsidRPr="007F23B5">
        <w:rPr>
          <w:lang w:val="ru-RU"/>
        </w:rPr>
        <w:t>В рамках обсуждений вопросов регулирования ИИ, которые проводятся в МСЭ, детально затрагиваются такие темы, как управление рисками, включая риск расширения разрыва</w:t>
      </w:r>
      <w:r w:rsidR="00A12B4C">
        <w:rPr>
          <w:lang w:val="ru-RU"/>
        </w:rPr>
        <w:t xml:space="preserve"> в области внедрения ИИ</w:t>
      </w:r>
      <w:r w:rsidRPr="007F23B5">
        <w:rPr>
          <w:lang w:val="ru-RU"/>
        </w:rPr>
        <w:t>, и обеспечение того, чтобы ИИ служил на благо всего человечества.</w:t>
      </w:r>
    </w:p>
    <w:p w14:paraId="44425FCF" w14:textId="77777777" w:rsidR="007F23B5" w:rsidRPr="00F644BA" w:rsidRDefault="007F23B5" w:rsidP="007F23B5">
      <w:pPr>
        <w:pStyle w:val="Headingi"/>
        <w:rPr>
          <w:rFonts w:eastAsiaTheme="minorEastAsia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Важный этап с точки зрения членского состава</w:t>
      </w:r>
    </w:p>
    <w:p w14:paraId="41624E2F" w14:textId="5101A9DD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 xml:space="preserve">На политическом уровне МСЭ сохранил почти глобальный/универсальный охват, имея 193 Государства-Члена, </w:t>
      </w:r>
      <w:r>
        <w:rPr>
          <w:lang w:val="ru-RU"/>
        </w:rPr>
        <w:t xml:space="preserve">при этом </w:t>
      </w:r>
      <w:r w:rsidRPr="00F644BA">
        <w:rPr>
          <w:lang w:val="ru-RU"/>
        </w:rPr>
        <w:t>количество Членов Секторов (компании, организации, научно-исследовательские институты и другие негосударственные объединения, в соответствии со своими интересами занимающиеся вопросами радиосвязи, стандартизации или цифрового развития) достигло в первом квартале 2024 года рекордно высокого уровня в 1000 членов.</w:t>
      </w:r>
    </w:p>
    <w:p w14:paraId="735E2D93" w14:textId="45C2E92D" w:rsidR="007F23B5" w:rsidRPr="00F644BA" w:rsidRDefault="007F23B5" w:rsidP="007F23B5">
      <w:pPr>
        <w:pStyle w:val="enumlev1"/>
        <w:rPr>
          <w:rFonts w:asciiTheme="minorHAnsi" w:eastAsiaTheme="minorEastAsia" w:hAnsiTheme="minorHAnsi" w:cstheme="minorHAnsi"/>
          <w:kern w:val="2"/>
          <w:lang w:val="ru-RU"/>
          <w14:ligatures w14:val="standardContextual"/>
        </w:rPr>
      </w:pPr>
      <w:r w:rsidRPr="001D5A1F">
        <w:rPr>
          <w:lang w:val="ru-RU"/>
        </w:rPr>
        <w:t>•</w:t>
      </w:r>
      <w:r w:rsidRPr="001D5A1F">
        <w:rPr>
          <w:lang w:val="ru-RU"/>
        </w:rPr>
        <w:tab/>
      </w:r>
      <w:r w:rsidRPr="00F644BA">
        <w:rPr>
          <w:lang w:val="ru-RU"/>
        </w:rPr>
        <w:t>Негосударственны</w:t>
      </w:r>
      <w:r>
        <w:rPr>
          <w:lang w:val="ru-RU"/>
        </w:rPr>
        <w:t>е</w:t>
      </w:r>
      <w:r w:rsidRPr="00F644BA">
        <w:rPr>
          <w:lang w:val="ru-RU"/>
        </w:rPr>
        <w:t xml:space="preserve"> объединени</w:t>
      </w:r>
      <w:r>
        <w:rPr>
          <w:lang w:val="ru-RU"/>
        </w:rPr>
        <w:t>я по-прежнему проявляют</w:t>
      </w:r>
      <w:r w:rsidRPr="00F644BA">
        <w:rPr>
          <w:lang w:val="ru-RU"/>
        </w:rPr>
        <w:t xml:space="preserve"> к МСЭ </w:t>
      </w:r>
      <w:r>
        <w:rPr>
          <w:lang w:val="ru-RU"/>
        </w:rPr>
        <w:t xml:space="preserve">большой интерес, при этом </w:t>
      </w:r>
      <w:r w:rsidRPr="00F644BA">
        <w:rPr>
          <w:lang w:val="ru-RU"/>
        </w:rPr>
        <w:t>среди новых членов на долю Членов Секторов приходится 48</w:t>
      </w:r>
      <w:r>
        <w:rPr>
          <w:lang w:val="ru-RU"/>
        </w:rPr>
        <w:t> </w:t>
      </w:r>
      <w:r w:rsidRPr="00F644BA">
        <w:rPr>
          <w:lang w:val="ru-RU"/>
        </w:rPr>
        <w:t xml:space="preserve">процентов, Ассоциированных членов </w:t>
      </w:r>
      <w:r w:rsidR="001D5A1F" w:rsidRPr="001D5A1F">
        <w:rPr>
          <w:lang w:val="ru-RU"/>
        </w:rPr>
        <w:t>−</w:t>
      </w:r>
      <w:r w:rsidRPr="00F644BA">
        <w:rPr>
          <w:lang w:val="ru-RU"/>
        </w:rPr>
        <w:t xml:space="preserve"> 36 процентов, а Академических организаций </w:t>
      </w:r>
      <w:r w:rsidR="001D5A1F" w:rsidRPr="001D5A1F">
        <w:rPr>
          <w:lang w:val="ru-RU"/>
        </w:rPr>
        <w:t>−</w:t>
      </w:r>
      <w:r w:rsidRPr="00F644BA">
        <w:rPr>
          <w:lang w:val="ru-RU"/>
        </w:rPr>
        <w:t xml:space="preserve"> 16</w:t>
      </w:r>
      <w:r w:rsidR="001D5A1F">
        <w:rPr>
          <w:lang w:val="en-US"/>
        </w:rPr>
        <w:t> </w:t>
      </w:r>
      <w:r w:rsidRPr="00F644BA">
        <w:rPr>
          <w:lang w:val="ru-RU"/>
        </w:rPr>
        <w:t>процентов.</w:t>
      </w:r>
    </w:p>
    <w:p w14:paraId="6063ADED" w14:textId="77777777" w:rsidR="007F23B5" w:rsidRPr="007F23B5" w:rsidRDefault="007F23B5" w:rsidP="007F23B5">
      <w:pPr>
        <w:pStyle w:val="Headingi"/>
        <w:rPr>
          <w:rFonts w:eastAsiaTheme="minorEastAsia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Основные аспекты бюджета</w:t>
      </w:r>
    </w:p>
    <w:p w14:paraId="7712792C" w14:textId="15C06BE7" w:rsidR="00A12B4C" w:rsidRDefault="00A12B4C" w:rsidP="007F23B5">
      <w:pPr>
        <w:pStyle w:val="enumlev1"/>
        <w:rPr>
          <w:lang w:val="ru-RU"/>
        </w:rPr>
      </w:pPr>
      <w:r w:rsidRPr="00846E28">
        <w:rPr>
          <w:lang w:val="ru-RU"/>
        </w:rPr>
        <w:t>•</w:t>
      </w:r>
      <w:r w:rsidRPr="00750181">
        <w:rPr>
          <w:lang w:val="ru-RU"/>
        </w:rPr>
        <w:tab/>
      </w:r>
      <w:r w:rsidRPr="00A12B4C">
        <w:rPr>
          <w:lang w:val="ru-RU"/>
        </w:rPr>
        <w:t xml:space="preserve">Профицит МСЭ на конец 2023 года </w:t>
      </w:r>
      <w:r>
        <w:rPr>
          <w:lang w:val="ru-RU"/>
        </w:rPr>
        <w:t>составил</w:t>
      </w:r>
      <w:r w:rsidRPr="00A12B4C">
        <w:rPr>
          <w:lang w:val="ru-RU"/>
        </w:rPr>
        <w:t xml:space="preserve"> 0,87 процента от бюджета</w:t>
      </w:r>
      <w:r w:rsidR="00F712D4">
        <w:rPr>
          <w:lang w:val="ru-RU"/>
        </w:rPr>
        <w:t>.</w:t>
      </w:r>
    </w:p>
    <w:p w14:paraId="6B143C54" w14:textId="179CD7E0" w:rsidR="007F23B5" w:rsidRPr="00F644BA" w:rsidRDefault="007F23B5" w:rsidP="007F23B5">
      <w:pPr>
        <w:pStyle w:val="enumlev1"/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964D8D">
        <w:rPr>
          <w:lang w:val="ru-RU"/>
        </w:rPr>
        <w:lastRenderedPageBreak/>
        <w:t>•</w:t>
      </w:r>
      <w:r w:rsidRPr="00750181">
        <w:rPr>
          <w:lang w:val="ru-RU"/>
        </w:rPr>
        <w:tab/>
      </w:r>
      <w:r w:rsidRPr="00F644BA">
        <w:rPr>
          <w:lang w:val="ru-RU"/>
        </w:rPr>
        <w:t xml:space="preserve">Прогнозируемые </w:t>
      </w:r>
      <w:r w:rsidR="00A12B4C">
        <w:rPr>
          <w:lang w:val="ru-RU"/>
        </w:rPr>
        <w:t xml:space="preserve">внебюджетные </w:t>
      </w:r>
      <w:r w:rsidRPr="00F644BA">
        <w:rPr>
          <w:lang w:val="ru-RU"/>
        </w:rPr>
        <w:t>взносы немного возросли и превысили 17 м</w:t>
      </w:r>
      <w:r>
        <w:rPr>
          <w:lang w:val="ru-RU"/>
        </w:rPr>
        <w:t>лн. швейцарских франков</w:t>
      </w:r>
      <w:r w:rsidRPr="00F644BA">
        <w:rPr>
          <w:lang w:val="ru-RU"/>
        </w:rPr>
        <w:t xml:space="preserve"> в год (приблизительно 18,7 м</w:t>
      </w:r>
      <w:r>
        <w:rPr>
          <w:lang w:val="ru-RU"/>
        </w:rPr>
        <w:t xml:space="preserve">лн. </w:t>
      </w:r>
      <w:r w:rsidRPr="00F644BA">
        <w:rPr>
          <w:lang w:val="ru-RU"/>
        </w:rPr>
        <w:t>долл</w:t>
      </w:r>
      <w:r>
        <w:rPr>
          <w:lang w:val="ru-RU"/>
        </w:rPr>
        <w:t>аров</w:t>
      </w:r>
      <w:r w:rsidRPr="00F644BA">
        <w:rPr>
          <w:lang w:val="ru-RU"/>
        </w:rPr>
        <w:t xml:space="preserve"> США по текущему обменному курсу), что свидетельствует об устойчивой финансовой поддержке инициатив МСЭ.</w:t>
      </w:r>
    </w:p>
    <w:p w14:paraId="025B5D8D" w14:textId="06DA7082" w:rsidR="007F23B5" w:rsidRPr="001D5A1F" w:rsidRDefault="007F23B5" w:rsidP="007F23B5">
      <w:pPr>
        <w:pStyle w:val="enumlev1"/>
        <w:rPr>
          <w:lang w:val="ru-RU"/>
        </w:rPr>
      </w:pPr>
      <w:r w:rsidRPr="001D5A1F">
        <w:rPr>
          <w:lang w:val="ru-RU"/>
        </w:rPr>
        <w:t>•</w:t>
      </w:r>
      <w:r w:rsidRPr="00750181">
        <w:rPr>
          <w:lang w:val="ru-RU"/>
        </w:rPr>
        <w:tab/>
      </w:r>
      <w:r w:rsidRPr="00F644BA">
        <w:rPr>
          <w:lang w:val="ru-RU"/>
        </w:rPr>
        <w:t xml:space="preserve">Организация по-прежнему </w:t>
      </w:r>
      <w:r>
        <w:rPr>
          <w:lang w:val="ru-RU"/>
        </w:rPr>
        <w:t xml:space="preserve">зависит от </w:t>
      </w:r>
      <w:r w:rsidRPr="00F644BA">
        <w:rPr>
          <w:lang w:val="ru-RU"/>
        </w:rPr>
        <w:t>относительно небольшо</w:t>
      </w:r>
      <w:r>
        <w:rPr>
          <w:lang w:val="ru-RU"/>
        </w:rPr>
        <w:t>го</w:t>
      </w:r>
      <w:r w:rsidRPr="00F644BA">
        <w:rPr>
          <w:lang w:val="ru-RU"/>
        </w:rPr>
        <w:t xml:space="preserve"> количеств</w:t>
      </w:r>
      <w:r>
        <w:rPr>
          <w:lang w:val="ru-RU"/>
        </w:rPr>
        <w:t>а</w:t>
      </w:r>
      <w:r w:rsidRPr="00F644BA">
        <w:rPr>
          <w:lang w:val="ru-RU"/>
        </w:rPr>
        <w:t xml:space="preserve"> вносящих взносы в бюджет</w:t>
      </w:r>
      <w:r>
        <w:rPr>
          <w:lang w:val="ru-RU"/>
        </w:rPr>
        <w:t xml:space="preserve">: </w:t>
      </w:r>
      <w:r w:rsidRPr="00F644BA">
        <w:rPr>
          <w:lang w:val="ru-RU"/>
        </w:rPr>
        <w:t>основная часть доходов приходится на 10</w:t>
      </w:r>
      <w:r w:rsidR="00750181" w:rsidRPr="001D5A1F">
        <w:rPr>
          <w:lang w:val="ru-RU"/>
        </w:rPr>
        <w:t>−</w:t>
      </w:r>
      <w:r w:rsidRPr="00F644BA">
        <w:rPr>
          <w:lang w:val="ru-RU"/>
        </w:rPr>
        <w:t xml:space="preserve">15 Государств-Членов, вносящих взносы. </w:t>
      </w:r>
    </w:p>
    <w:p w14:paraId="0CB5F7AC" w14:textId="3E4DA1EC" w:rsidR="007F23B5" w:rsidRPr="00964D8D" w:rsidRDefault="007F23B5" w:rsidP="007F23B5">
      <w:pPr>
        <w:rPr>
          <w:lang w:val="ru-RU"/>
        </w:rPr>
      </w:pPr>
      <w:r w:rsidRPr="00964D8D">
        <w:rPr>
          <w:lang w:val="ru-RU"/>
        </w:rPr>
        <w:br w:type="page"/>
      </w:r>
    </w:p>
    <w:p w14:paraId="3FF5DD3B" w14:textId="27459DBD" w:rsidR="00973D1F" w:rsidRPr="00973D1F" w:rsidRDefault="00973D1F" w:rsidP="00973D1F">
      <w:pPr>
        <w:pStyle w:val="Heading1"/>
        <w:rPr>
          <w:rFonts w:asciiTheme="minorHAnsi" w:hAnsiTheme="minorHAnsi" w:cstheme="minorBidi"/>
          <w:lang w:val="ru-RU"/>
        </w:rPr>
      </w:pPr>
      <w:bookmarkStart w:id="15" w:name="_Toc165293885"/>
      <w:bookmarkStart w:id="16" w:name="_Toc168049875"/>
      <w:bookmarkStart w:id="17" w:name="_Toc168050261"/>
      <w:r w:rsidRPr="00973D1F">
        <w:rPr>
          <w:lang w:val="ru-RU"/>
        </w:rPr>
        <w:lastRenderedPageBreak/>
        <w:t>1</w:t>
      </w:r>
      <w:r w:rsidRPr="00973D1F">
        <w:rPr>
          <w:lang w:val="ru-RU"/>
        </w:rPr>
        <w:tab/>
      </w:r>
      <w:r w:rsidRPr="00F644BA">
        <w:rPr>
          <w:lang w:val="ru-RU"/>
        </w:rPr>
        <w:t>Введение</w:t>
      </w:r>
      <w:bookmarkEnd w:id="15"/>
      <w:bookmarkEnd w:id="16"/>
      <w:bookmarkEnd w:id="17"/>
    </w:p>
    <w:p w14:paraId="5634ED89" w14:textId="77777777" w:rsidR="00973D1F" w:rsidRPr="00973D1F" w:rsidRDefault="00973D1F" w:rsidP="00132062">
      <w:pPr>
        <w:pStyle w:val="Headingb"/>
        <w:rPr>
          <w:lang w:val="ru-RU"/>
        </w:rPr>
      </w:pPr>
      <w:r w:rsidRPr="00973D1F">
        <w:rPr>
          <w:lang w:val="ru-RU"/>
        </w:rPr>
        <w:t>Учреждение ООН по цифровым технологиям</w:t>
      </w:r>
    </w:p>
    <w:p w14:paraId="016236A4" w14:textId="13C4BDFB" w:rsidR="00973D1F" w:rsidRPr="00F644BA" w:rsidRDefault="00973D1F" w:rsidP="00973D1F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Международный союз электросвязи (МСЭ) объединяет 193 национальных правительства и свыше 1000 компаний, университетов, научно-исследовательских институтов и международных организаций с общей целью – содействие развитию глобальной возможности установления соединений и формированию будущего цифровых технологий. Благодаря углубленной работе в рамках этого уникального членского состава, организация осуществляет координацию радиочастот на Земле и в космосе</w:t>
      </w:r>
      <w:r>
        <w:rPr>
          <w:lang w:val="ru-RU"/>
        </w:rPr>
        <w:t>,</w:t>
      </w:r>
      <w:r w:rsidRPr="00F644BA">
        <w:rPr>
          <w:lang w:val="ru-RU"/>
        </w:rPr>
        <w:t xml:space="preserve"> разрабатывает широко признанные технологические стандарты и способствует развитию цифровых технологий, направленному на то, чтобы никто не был забыт. </w:t>
      </w:r>
    </w:p>
    <w:p w14:paraId="2FD6D5C5" w14:textId="77777777" w:rsidR="00973D1F" w:rsidRPr="00F644BA" w:rsidRDefault="00973D1F" w:rsidP="00973D1F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является учреждением Организации Объединенных Наций в области цифровых технологий, деятельность которого направлена на подключение к сети остающейся трети человечества и использование цифровых технологий для обеспечения лучшего будущего для всех. </w:t>
      </w:r>
    </w:p>
    <w:p w14:paraId="5FD3B624" w14:textId="77777777" w:rsidR="00973D1F" w:rsidRPr="00F644BA" w:rsidRDefault="00973D1F" w:rsidP="00132062">
      <w:pPr>
        <w:pStyle w:val="Headingb"/>
        <w:rPr>
          <w:lang w:val="ru-RU"/>
        </w:rPr>
      </w:pPr>
      <w:r w:rsidRPr="00F644BA">
        <w:rPr>
          <w:lang w:val="ru-RU"/>
        </w:rPr>
        <w:t>МСЭ сегодня</w:t>
      </w:r>
    </w:p>
    <w:p w14:paraId="57FF64AC" w14:textId="6FDAD45B" w:rsidR="00973D1F" w:rsidRPr="00472567" w:rsidRDefault="00973D1F" w:rsidP="00973D1F">
      <w:pPr>
        <w:rPr>
          <w:rFonts w:eastAsiaTheme="minorEastAsia" w:cstheme="minorBidi"/>
          <w:kern w:val="2"/>
          <w:lang w:val="ru-RU"/>
          <w14:ligatures w14:val="standardContextual"/>
        </w:rPr>
      </w:pPr>
      <w:r w:rsidRPr="00472567">
        <w:rPr>
          <w:lang w:val="ru-RU"/>
        </w:rPr>
        <w:t xml:space="preserve">В 2023 году мир столкнулся с нарастающими гуманитарными кризисами и конфликтами в сочетании с экономической неопределенностью, которая усилила масштаб разрывов и неравенств. </w:t>
      </w:r>
      <w:r w:rsidR="00B7078F" w:rsidRPr="00472567">
        <w:rPr>
          <w:lang w:val="ru-RU"/>
        </w:rPr>
        <w:t xml:space="preserve">Климатический кризис дает о себе знать по всему миру: паводки, засухи и новые рекордные показатели средних температур. </w:t>
      </w:r>
      <w:r w:rsidRPr="00472567">
        <w:rPr>
          <w:lang w:val="ru-RU"/>
        </w:rPr>
        <w:t xml:space="preserve">Цифровая трансформация дала луч надежды. </w:t>
      </w:r>
    </w:p>
    <w:p w14:paraId="7BC5F7B1" w14:textId="77777777" w:rsidR="00973D1F" w:rsidRPr="00F644BA" w:rsidRDefault="00973D1F" w:rsidP="00973D1F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В условиях непростой ситуации во всем мире МСЭ активизировал реализацию основополагающих инициатив по обеспечению универсальной возможности установления соединений и устойчивой цифровой трансформации. На фоне реализации все более масштабных приоритетов МСЭ также гордится своим собственным обновлением. </w:t>
      </w:r>
    </w:p>
    <w:p w14:paraId="74BC4000" w14:textId="77777777" w:rsidR="00973D1F" w:rsidRPr="00973D1F" w:rsidRDefault="00973D1F" w:rsidP="00132062">
      <w:pPr>
        <w:pStyle w:val="Headingb"/>
        <w:rPr>
          <w:lang w:val="ru-RU"/>
        </w:rPr>
      </w:pPr>
      <w:r w:rsidRPr="00973D1F">
        <w:rPr>
          <w:lang w:val="ru-RU"/>
        </w:rPr>
        <w:t>Концепция, миссия и цели МСЭ</w:t>
      </w:r>
    </w:p>
    <w:p w14:paraId="74F04632" w14:textId="38174523" w:rsidR="00973D1F" w:rsidRPr="00F644BA" w:rsidRDefault="00973D1F" w:rsidP="00973D1F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В </w:t>
      </w:r>
      <w:hyperlink r:id="rId14" w:history="1">
        <w:r w:rsidRPr="00F644BA">
          <w:rPr>
            <w:rStyle w:val="Hyperlink"/>
            <w:szCs w:val="24"/>
            <w:lang w:val="ru-RU"/>
          </w:rPr>
          <w:t>Стратегическом плане</w:t>
        </w:r>
      </w:hyperlink>
      <w:r w:rsidRPr="00F644BA">
        <w:rPr>
          <w:lang w:val="ru-RU"/>
        </w:rPr>
        <w:t xml:space="preserve"> МСЭ на </w:t>
      </w:r>
      <w:proofErr w:type="gramStart"/>
      <w:r w:rsidRPr="00F644BA">
        <w:rPr>
          <w:lang w:val="ru-RU"/>
        </w:rPr>
        <w:t>2024</w:t>
      </w:r>
      <w:r w:rsidR="00750181" w:rsidRPr="00750181">
        <w:rPr>
          <w:lang w:val="ru-RU"/>
        </w:rPr>
        <w:t>−</w:t>
      </w:r>
      <w:r w:rsidRPr="00F644BA">
        <w:rPr>
          <w:lang w:val="ru-RU"/>
        </w:rPr>
        <w:t>2027</w:t>
      </w:r>
      <w:proofErr w:type="gramEnd"/>
      <w:r w:rsidRPr="00F644BA">
        <w:rPr>
          <w:lang w:val="ru-RU"/>
        </w:rPr>
        <w:t xml:space="preserve"> годы установлены две общие цели: </w:t>
      </w:r>
    </w:p>
    <w:p w14:paraId="40C1D24B" w14:textId="284A7CD9" w:rsidR="00973D1F" w:rsidRPr="00964D8D" w:rsidRDefault="00973D1F" w:rsidP="00750181">
      <w:pPr>
        <w:pStyle w:val="enumlev1"/>
        <w:rPr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Pr="00964D8D">
        <w:rPr>
          <w:b/>
          <w:bCs/>
          <w:lang w:val="ru-RU"/>
        </w:rPr>
        <w:t>Универсальная возможность установления соединений</w:t>
      </w:r>
      <w:r w:rsidRPr="00964D8D">
        <w:rPr>
          <w:lang w:val="ru-RU"/>
        </w:rPr>
        <w:t xml:space="preserve"> – подключение к интернету остающихся 2,6 млрд. человек и преодоление социально-экономических разрывов путем обеспечения реального, приемлемого в ценовом отношении доступа к цифровым технологиям. </w:t>
      </w:r>
    </w:p>
    <w:p w14:paraId="66AD50E6" w14:textId="5741A0D3" w:rsidR="00973D1F" w:rsidRPr="00964D8D" w:rsidRDefault="00973D1F" w:rsidP="00750181">
      <w:pPr>
        <w:pStyle w:val="enumlev1"/>
        <w:rPr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Pr="00964D8D">
        <w:rPr>
          <w:b/>
          <w:bCs/>
          <w:lang w:val="ru-RU"/>
        </w:rPr>
        <w:t>Устойчивая цифровая трансформация</w:t>
      </w:r>
      <w:r w:rsidRPr="00964D8D">
        <w:rPr>
          <w:lang w:val="ru-RU"/>
        </w:rPr>
        <w:t xml:space="preserve"> – увязка инновационных технологий с устойчивым развитием и глобальными действиями по борьбе с изменением климата с одновременным содействием равноправному и открытому для всех цифровому развитию. </w:t>
      </w:r>
    </w:p>
    <w:p w14:paraId="2205769A" w14:textId="77777777" w:rsidR="00973D1F" w:rsidRPr="00F644BA" w:rsidRDefault="00973D1F" w:rsidP="00973D1F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Широкомасштабная и постоянно развивающаяся деятельность МСЭ включает:</w:t>
      </w:r>
    </w:p>
    <w:p w14:paraId="46A3ACC4" w14:textId="0DA08835" w:rsidR="00973D1F" w:rsidRPr="00964D8D" w:rsidRDefault="00132062" w:rsidP="00750181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="00973D1F" w:rsidRPr="00964D8D">
        <w:rPr>
          <w:lang w:val="ru-RU"/>
        </w:rPr>
        <w:t>обеспечение того, чтобы искусственный интеллект (ИИ) служил человечеству;</w:t>
      </w:r>
    </w:p>
    <w:p w14:paraId="1027A53C" w14:textId="62961BCA" w:rsidR="00973D1F" w:rsidRPr="00964D8D" w:rsidRDefault="00132062" w:rsidP="00750181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="00973D1F" w:rsidRPr="00964D8D">
        <w:rPr>
          <w:lang w:val="ru-RU"/>
        </w:rPr>
        <w:t>обеспечение того, чтобы стандарты работали для всех;</w:t>
      </w:r>
    </w:p>
    <w:p w14:paraId="5BFAB3F4" w14:textId="33B4F99D" w:rsidR="00973D1F" w:rsidRPr="00964D8D" w:rsidRDefault="00132062" w:rsidP="00750181">
      <w:pPr>
        <w:pStyle w:val="enumlev1"/>
        <w:rPr>
          <w:rFonts w:eastAsiaTheme="minorEastAsia"/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="00973D1F" w:rsidRPr="00964D8D">
        <w:rPr>
          <w:lang w:val="ru-RU"/>
        </w:rPr>
        <w:t>сохранение устойчивого использования космоса.</w:t>
      </w:r>
    </w:p>
    <w:p w14:paraId="3BD68A95" w14:textId="77777777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МСЭ содействует распространению технологий в интересах всеобщего блага и для всех, обеспечивая соединения для всех и везде.</w:t>
      </w:r>
    </w:p>
    <w:p w14:paraId="308F4208" w14:textId="77777777" w:rsidR="00973D1F" w:rsidRPr="00132062" w:rsidRDefault="00973D1F" w:rsidP="00132062">
      <w:pPr>
        <w:pStyle w:val="Headingb"/>
        <w:rPr>
          <w:lang w:val="ru-RU"/>
        </w:rPr>
      </w:pPr>
      <w:r w:rsidRPr="00132062">
        <w:rPr>
          <w:lang w:val="ru-RU"/>
        </w:rPr>
        <w:t>Стабильный прогресс и сохраняющиеся вызовы</w:t>
      </w:r>
    </w:p>
    <w:p w14:paraId="02E506D3" w14:textId="77777777" w:rsidR="00973D1F" w:rsidRPr="00750181" w:rsidRDefault="00973D1F" w:rsidP="00132062">
      <w:pPr>
        <w:rPr>
          <w:lang w:val="ru-RU"/>
        </w:rPr>
      </w:pPr>
      <w:r w:rsidRPr="00F644BA">
        <w:rPr>
          <w:lang w:val="ru-RU"/>
        </w:rPr>
        <w:t xml:space="preserve">В настоящем ежегодном отчете представлена деятельность МСЭ с мая 2023 года по апрель 2024 года и уделяется основное внимание универсальной возможности установления соединений и устойчивой цифровой трансформации. За этот период во всем мире наблюдается прогресс в области обеспечения цифрового доступа и приемлемости цифровых </w:t>
      </w:r>
      <w:r w:rsidRPr="00F644BA">
        <w:rPr>
          <w:lang w:val="ru-RU"/>
        </w:rPr>
        <w:lastRenderedPageBreak/>
        <w:t xml:space="preserve">технологий в ценовом отношении. Несмотря на это, вызовы сохраняются, особенно в странах с низким уровнем дохода, при этом заметным примером является гендерное неравенство. </w:t>
      </w:r>
    </w:p>
    <w:p w14:paraId="27437EEE" w14:textId="7F7043E7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В Стратегическом плане МСЭ на 2024</w:t>
      </w:r>
      <w:r w:rsidR="00750181" w:rsidRPr="00750181">
        <w:rPr>
          <w:lang w:val="ru-RU"/>
        </w:rPr>
        <w:t>−</w:t>
      </w:r>
      <w:r w:rsidRPr="00F644BA">
        <w:rPr>
          <w:lang w:val="ru-RU"/>
        </w:rPr>
        <w:t xml:space="preserve">2027 годы излагаются 12 целевых показателей в области универсальной возможности установления соединений и цифровой трансформации, </w:t>
      </w:r>
      <w:r>
        <w:rPr>
          <w:lang w:val="ru-RU"/>
        </w:rPr>
        <w:t xml:space="preserve">при этом </w:t>
      </w:r>
      <w:r w:rsidRPr="00F644BA">
        <w:rPr>
          <w:lang w:val="ru-RU"/>
        </w:rPr>
        <w:t>продолжаю</w:t>
      </w:r>
      <w:r>
        <w:rPr>
          <w:lang w:val="ru-RU"/>
        </w:rPr>
        <w:t xml:space="preserve">т приниматься меры </w:t>
      </w:r>
      <w:r w:rsidRPr="00F644BA">
        <w:rPr>
          <w:lang w:val="ru-RU"/>
        </w:rPr>
        <w:t xml:space="preserve">по совершенствованию сбора данных. МСЭ уделяет особое внимание охвату цифровыми технологиями, включая инициативы в области обеспечения гендерного равенства и обеспечение участие молодежи в ряде инициатив. </w:t>
      </w:r>
    </w:p>
    <w:p w14:paraId="58A4FC89" w14:textId="73170D4C" w:rsidR="00973D1F" w:rsidRPr="00F644BA" w:rsidRDefault="000A34E9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>
        <w:rPr>
          <w:lang w:val="ru-RU"/>
        </w:rPr>
        <w:t xml:space="preserve">Несмотря на </w:t>
      </w:r>
      <w:r w:rsidR="00487880">
        <w:rPr>
          <w:lang w:val="ru-RU"/>
        </w:rPr>
        <w:t>сохраняющиеся</w:t>
      </w:r>
      <w:r>
        <w:rPr>
          <w:lang w:val="ru-RU"/>
        </w:rPr>
        <w:t xml:space="preserve"> и новые глобальные вызовы</w:t>
      </w:r>
      <w:r w:rsidR="00973D1F" w:rsidRPr="00F644BA">
        <w:rPr>
          <w:lang w:val="ru-RU"/>
        </w:rPr>
        <w:t>, целый ряд особенно масштабных целевых показателей не был достигнут. В то же время новые партнерства и платформы сотрудничества стимулировали текущие и новые проекты по обеспечению возможности установления цифровых соединений во всем мире.</w:t>
      </w:r>
    </w:p>
    <w:p w14:paraId="4C78F94C" w14:textId="77777777" w:rsidR="00973D1F" w:rsidRPr="00F644BA" w:rsidRDefault="00973D1F" w:rsidP="00132062">
      <w:pPr>
        <w:pStyle w:val="Headingb"/>
        <w:rPr>
          <w:lang w:val="ru-RU"/>
        </w:rPr>
      </w:pPr>
      <w:r w:rsidRPr="00F644BA">
        <w:rPr>
          <w:lang w:val="ru-RU"/>
        </w:rPr>
        <w:t>Прогресс в деле обеспечения универсальной возможности установления соединений</w:t>
      </w:r>
    </w:p>
    <w:p w14:paraId="5800B72B" w14:textId="56660B81" w:rsidR="00973D1F" w:rsidRPr="00F644BA" w:rsidRDefault="00973D1F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>По оценкам, в 2023 году доступ в интернет имели 67 процентов населения мира (5,4</w:t>
      </w:r>
      <w:r>
        <w:rPr>
          <w:lang w:val="ru-RU"/>
        </w:rPr>
        <w:t> </w:t>
      </w:r>
      <w:r w:rsidRPr="00F644BA">
        <w:rPr>
          <w:lang w:val="ru-RU"/>
        </w:rPr>
        <w:t>м</w:t>
      </w:r>
      <w:r>
        <w:rPr>
          <w:lang w:val="ru-RU"/>
        </w:rPr>
        <w:t xml:space="preserve">лрд. </w:t>
      </w:r>
      <w:r w:rsidRPr="00F644BA">
        <w:rPr>
          <w:lang w:val="ru-RU"/>
        </w:rPr>
        <w:t xml:space="preserve">человек), что на 4,7 процентов больше, чем в 2022 году, при этом в 2023 году на страны </w:t>
      </w:r>
      <w:r>
        <w:rPr>
          <w:lang w:val="ru-RU"/>
        </w:rPr>
        <w:t xml:space="preserve">с </w:t>
      </w:r>
      <w:r w:rsidRPr="00F644BA">
        <w:rPr>
          <w:lang w:val="ru-RU"/>
        </w:rPr>
        <w:t>высоким уровнем дохода приходилось 93 процента пользователей. Хотя 167</w:t>
      </w:r>
      <w:r>
        <w:rPr>
          <w:lang w:val="ru-RU"/>
        </w:rPr>
        <w:t> </w:t>
      </w:r>
      <w:r w:rsidRPr="00F644BA">
        <w:rPr>
          <w:lang w:val="ru-RU"/>
        </w:rPr>
        <w:t xml:space="preserve">стран </w:t>
      </w:r>
      <w:r w:rsidR="000A34E9">
        <w:rPr>
          <w:lang w:val="ru-RU"/>
        </w:rPr>
        <w:t>имели</w:t>
      </w:r>
      <w:r w:rsidR="000A34E9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планы в области развития широкополосной связи, с 2019 года темпы роста явно замедлились. Цены на информационно-коммуникационные технологии (ИКТ) снизились, </w:t>
      </w:r>
      <w:r w:rsidR="000A34E9" w:rsidRPr="000A34E9">
        <w:rPr>
          <w:lang w:val="ru-RU"/>
        </w:rPr>
        <w:t xml:space="preserve">продолжая снижаться (в период с 2017 по 2023 год общее </w:t>
      </w:r>
      <w:r w:rsidR="000A34E9">
        <w:rPr>
          <w:lang w:val="ru-RU"/>
        </w:rPr>
        <w:t>снижение</w:t>
      </w:r>
      <w:r w:rsidR="000A34E9" w:rsidRPr="000A34E9">
        <w:rPr>
          <w:lang w:val="ru-RU"/>
        </w:rPr>
        <w:t xml:space="preserve"> составит 36 процентов)</w:t>
      </w:r>
      <w:r w:rsidR="000A34E9">
        <w:rPr>
          <w:lang w:val="ru-RU"/>
        </w:rPr>
        <w:t>,</w:t>
      </w:r>
      <w:r w:rsidR="000A34E9" w:rsidRPr="00964D8D">
        <w:rPr>
          <w:lang w:val="ru-RU"/>
        </w:rPr>
        <w:t xml:space="preserve"> </w:t>
      </w:r>
      <w:r w:rsidRPr="00F644BA">
        <w:rPr>
          <w:lang w:val="ru-RU"/>
        </w:rPr>
        <w:t xml:space="preserve">что повышает приемлемость в ценовом отношении услуг подвижной широкополосной связи только для передачи данных. </w:t>
      </w:r>
    </w:p>
    <w:p w14:paraId="2E7FCF4E" w14:textId="4B5DF060" w:rsidR="00973D1F" w:rsidRPr="00F644BA" w:rsidRDefault="00973D1F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>В странах с низким уровнем дохода количество пользователей интернета выросло до 27</w:t>
      </w:r>
      <w:r>
        <w:rPr>
          <w:lang w:val="ru-RU"/>
        </w:rPr>
        <w:t> </w:t>
      </w:r>
      <w:r w:rsidRPr="00F644BA">
        <w:rPr>
          <w:lang w:val="ru-RU"/>
        </w:rPr>
        <w:t xml:space="preserve">процентов в 2023 году по сравнению с 24 процентами в 2022 году, при этом в Африке подключение к интернету имеется у 37 процентов населения, что свидетельствует о региональном неравенстве. Приемлемость в ценовом отношении остается проблемой, особенно в странах с низким уровнем дохода. Во всем мире мужчины пользуются интернетом на 5 процентов чаще, чем женщины, при этом </w:t>
      </w:r>
      <w:r w:rsidR="000A34E9">
        <w:rPr>
          <w:lang w:val="ru-RU"/>
        </w:rPr>
        <w:t xml:space="preserve">более </w:t>
      </w:r>
      <w:r w:rsidRPr="00F644BA">
        <w:rPr>
          <w:lang w:val="ru-RU"/>
        </w:rPr>
        <w:t>явное неравенство наблюдается в Африке и наименее развитых странах.</w:t>
      </w:r>
    </w:p>
    <w:p w14:paraId="78409F47" w14:textId="77777777" w:rsidR="00973D1F" w:rsidRPr="00F644BA" w:rsidRDefault="00973D1F" w:rsidP="00132062">
      <w:pPr>
        <w:pStyle w:val="Headingb"/>
        <w:rPr>
          <w:lang w:val="ru-RU"/>
        </w:rPr>
      </w:pPr>
      <w:r w:rsidRPr="00F644BA">
        <w:rPr>
          <w:lang w:val="ru-RU"/>
        </w:rPr>
        <w:t>Партнерства и обязательства: 46 м</w:t>
      </w:r>
      <w:r>
        <w:rPr>
          <w:lang w:val="ru-RU"/>
        </w:rPr>
        <w:t xml:space="preserve">лрд. </w:t>
      </w:r>
      <w:r w:rsidRPr="00F644BA">
        <w:rPr>
          <w:lang w:val="ru-RU"/>
        </w:rPr>
        <w:t>долл</w:t>
      </w:r>
      <w:r>
        <w:rPr>
          <w:lang w:val="ru-RU"/>
        </w:rPr>
        <w:t>аров</w:t>
      </w:r>
      <w:r w:rsidRPr="00F644BA">
        <w:rPr>
          <w:lang w:val="ru-RU"/>
        </w:rPr>
        <w:t xml:space="preserve"> США, и это не предел</w:t>
      </w:r>
    </w:p>
    <w:p w14:paraId="622B4C9E" w14:textId="58D613EA" w:rsidR="00973D1F" w:rsidRPr="00F644BA" w:rsidRDefault="00973D1F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К концу 2023 года обязательства, принятые в рамках Партнерства для подключения (Partner2Connect (P2C)), достигли 37 </w:t>
      </w:r>
      <w:r w:rsidRPr="00D510B3">
        <w:rPr>
          <w:lang w:val="ru-RU"/>
        </w:rPr>
        <w:t>млрд. долларов США</w:t>
      </w:r>
      <w:r w:rsidRPr="00F644BA">
        <w:rPr>
          <w:lang w:val="ru-RU"/>
        </w:rPr>
        <w:t xml:space="preserve">, а к марту 2024 года этот показатель достиг 46 </w:t>
      </w:r>
      <w:r w:rsidRPr="00D510B3">
        <w:rPr>
          <w:lang w:val="ru-RU"/>
        </w:rPr>
        <w:t xml:space="preserve">млрд. долларов США </w:t>
      </w:r>
      <w:r w:rsidRPr="00F644BA">
        <w:rPr>
          <w:lang w:val="ru-RU"/>
        </w:rPr>
        <w:t xml:space="preserve">в связи с крупными новыми обязательствами, принятыми представителями отрасли подвижной электросвязи. В целом количество обязательств в рамках P2C увеличилось (хотя и в меньших объемах), что привело к мобилизации в 2023 году </w:t>
      </w:r>
      <w:r w:rsidR="000A34E9">
        <w:rPr>
          <w:lang w:val="ru-RU"/>
        </w:rPr>
        <w:t xml:space="preserve">около </w:t>
      </w:r>
      <w:r w:rsidRPr="00F644BA">
        <w:rPr>
          <w:lang w:val="ru-RU"/>
        </w:rPr>
        <w:t>7</w:t>
      </w:r>
      <w:r w:rsidR="00B66BFB">
        <w:rPr>
          <w:lang w:val="ru-RU"/>
        </w:rPr>
        <w:t> </w:t>
      </w:r>
      <w:r w:rsidRPr="00D510B3">
        <w:rPr>
          <w:lang w:val="ru-RU"/>
        </w:rPr>
        <w:t xml:space="preserve">млрд. долларов США </w:t>
      </w:r>
      <w:r w:rsidR="000A34E9">
        <w:rPr>
          <w:lang w:val="ru-RU"/>
        </w:rPr>
        <w:t xml:space="preserve">в 2023 году </w:t>
      </w:r>
      <w:r w:rsidRPr="00F644BA">
        <w:rPr>
          <w:lang w:val="ru-RU"/>
        </w:rPr>
        <w:t>на проекты</w:t>
      </w:r>
      <w:r w:rsidR="000A34E9">
        <w:rPr>
          <w:lang w:val="ru-RU"/>
        </w:rPr>
        <w:t>, направленные</w:t>
      </w:r>
      <w:r w:rsidRPr="00F644BA">
        <w:rPr>
          <w:lang w:val="ru-RU"/>
        </w:rPr>
        <w:t xml:space="preserve"> </w:t>
      </w:r>
      <w:r w:rsidR="000A34E9">
        <w:rPr>
          <w:lang w:val="ru-RU"/>
        </w:rPr>
        <w:t>на</w:t>
      </w:r>
      <w:r w:rsidRPr="00F644BA">
        <w:rPr>
          <w:lang w:val="ru-RU"/>
        </w:rPr>
        <w:t xml:space="preserve"> обеспечени</w:t>
      </w:r>
      <w:r w:rsidR="000A34E9">
        <w:rPr>
          <w:lang w:val="ru-RU"/>
        </w:rPr>
        <w:t>е</w:t>
      </w:r>
      <w:r w:rsidR="007D2F18" w:rsidRPr="00964D8D">
        <w:rPr>
          <w:lang w:val="ru-RU"/>
        </w:rPr>
        <w:t xml:space="preserve"> </w:t>
      </w:r>
      <w:r w:rsidR="007D2F18">
        <w:rPr>
          <w:lang w:val="ru-RU"/>
        </w:rPr>
        <w:t>универсальной</w:t>
      </w:r>
      <w:r w:rsidR="00F712D4">
        <w:rPr>
          <w:lang w:val="ru-RU"/>
        </w:rPr>
        <w:t xml:space="preserve"> и</w:t>
      </w:r>
      <w:r w:rsidR="007D2F18">
        <w:rPr>
          <w:lang w:val="ru-RU"/>
        </w:rPr>
        <w:t xml:space="preserve"> реальной</w:t>
      </w:r>
      <w:r w:rsidRPr="00F644BA">
        <w:rPr>
          <w:lang w:val="ru-RU"/>
        </w:rPr>
        <w:t xml:space="preserve"> возможности установления соединений </w:t>
      </w:r>
      <w:r w:rsidR="007D2F18">
        <w:rPr>
          <w:lang w:val="ru-RU"/>
        </w:rPr>
        <w:t xml:space="preserve">и устойчивой трансформации для всех </w:t>
      </w:r>
      <w:r w:rsidR="00487880">
        <w:rPr>
          <w:lang w:val="ru-RU"/>
        </w:rPr>
        <w:t>во всем мире</w:t>
      </w:r>
      <w:r w:rsidRPr="00F644BA">
        <w:rPr>
          <w:lang w:val="ru-RU"/>
        </w:rPr>
        <w:t>.</w:t>
      </w:r>
    </w:p>
    <w:p w14:paraId="322743E8" w14:textId="116D4382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продолжает развивать сотрудничество государственного и частного секторов, чтобы обеспечить подключение к интернету для остающихся 2,6 </w:t>
      </w:r>
      <w:r>
        <w:rPr>
          <w:lang w:val="ru-RU"/>
        </w:rPr>
        <w:t>млрд.</w:t>
      </w:r>
      <w:r w:rsidRPr="00F644BA">
        <w:rPr>
          <w:lang w:val="ru-RU"/>
        </w:rPr>
        <w:t xml:space="preserve"> человек, и поставил перед собой цель к 2026 году мобилизовать обязательства </w:t>
      </w:r>
      <w:r w:rsidR="007D2F18">
        <w:rPr>
          <w:lang w:val="ru-RU"/>
        </w:rPr>
        <w:t xml:space="preserve">в рамках инициативы </w:t>
      </w:r>
      <w:r w:rsidR="007D2F18">
        <w:rPr>
          <w:lang w:val="en-US"/>
        </w:rPr>
        <w:t>P</w:t>
      </w:r>
      <w:r w:rsidR="007D2F18" w:rsidRPr="00964D8D">
        <w:rPr>
          <w:lang w:val="ru-RU"/>
        </w:rPr>
        <w:t>2</w:t>
      </w:r>
      <w:r w:rsidR="007D2F18">
        <w:rPr>
          <w:lang w:val="en-US"/>
        </w:rPr>
        <w:t>C</w:t>
      </w:r>
      <w:r w:rsidR="007D2F18" w:rsidRPr="00964D8D">
        <w:rPr>
          <w:lang w:val="ru-RU"/>
        </w:rPr>
        <w:t xml:space="preserve"> </w:t>
      </w:r>
      <w:r w:rsidRPr="00F644BA">
        <w:rPr>
          <w:lang w:val="ru-RU"/>
        </w:rPr>
        <w:t>на сумму 100</w:t>
      </w:r>
      <w:r w:rsidR="00B66BFB">
        <w:rPr>
          <w:lang w:val="ru-RU"/>
        </w:rPr>
        <w:t> </w:t>
      </w:r>
      <w:r w:rsidRPr="00D510B3">
        <w:rPr>
          <w:lang w:val="ru-RU"/>
        </w:rPr>
        <w:t>млрд. долларов США</w:t>
      </w:r>
      <w:r w:rsidRPr="00F644BA">
        <w:rPr>
          <w:lang w:val="ru-RU"/>
        </w:rPr>
        <w:t xml:space="preserve">. </w:t>
      </w:r>
    </w:p>
    <w:p w14:paraId="2764F473" w14:textId="77777777" w:rsidR="00973D1F" w:rsidRPr="00F644BA" w:rsidRDefault="00973D1F" w:rsidP="00132062">
      <w:pPr>
        <w:pStyle w:val="Headingb"/>
        <w:rPr>
          <w:lang w:val="ru-RU"/>
        </w:rPr>
      </w:pPr>
      <w:r w:rsidRPr="00F644BA">
        <w:rPr>
          <w:lang w:val="ru-RU"/>
        </w:rPr>
        <w:t>Управление использованием спектра на Земле и в космосе</w:t>
      </w:r>
    </w:p>
    <w:p w14:paraId="67029918" w14:textId="339C7576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Будучи хранителем Регламента радиосвязи </w:t>
      </w:r>
      <w:r w:rsidR="00750181" w:rsidRPr="00750181">
        <w:rPr>
          <w:lang w:val="ru-RU"/>
        </w:rPr>
        <w:t>−</w:t>
      </w:r>
      <w:r w:rsidRPr="00F644BA">
        <w:rPr>
          <w:lang w:val="ru-RU"/>
        </w:rPr>
        <w:t xml:space="preserve"> международного договорного документа, МСЭ координирует использование спектра радиочастот и спутниковых орбит. Благодаря этому организация также является ключевой платформой для сотрудничества в области жизненно важных космических средств. Соответственно, МСЭ помогает содействовать устойчивости как в космосе, так и из космоса. </w:t>
      </w:r>
    </w:p>
    <w:p w14:paraId="69B82C32" w14:textId="1ABF72B1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lastRenderedPageBreak/>
        <w:t>В период с 2019 по 2023 год Бюро радиосвязи (БР) МСЭ обработало 5556 запросов о координации и заявлении, а также 506 планов радиовещательной спутниковой службы и 281</w:t>
      </w:r>
      <w:r w:rsidR="00750181">
        <w:rPr>
          <w:lang w:val="en-US"/>
        </w:rPr>
        <w:t> </w:t>
      </w:r>
      <w:r w:rsidRPr="00F644BA">
        <w:rPr>
          <w:lang w:val="ru-RU"/>
        </w:rPr>
        <w:t xml:space="preserve">план фиксированной спутниковой службы. Общее количество заявок для наземных служб составило 5536. Усовершенствование программного обеспечения упростило координацию, перенос баз данных и модернизацию программного обеспечения в Секторе радиосвязи МСЭ (МСЭ-R). </w:t>
      </w:r>
    </w:p>
    <w:p w14:paraId="59846B61" w14:textId="12DBDCD7" w:rsidR="00973D1F" w:rsidRPr="00F644BA" w:rsidRDefault="00973D1F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Ход работы в области наземных служб включал завершение геопространственных проектов</w:t>
      </w:r>
      <w:r w:rsidR="007D2F18">
        <w:rPr>
          <w:lang w:val="ru-RU"/>
        </w:rPr>
        <w:t xml:space="preserve"> и</w:t>
      </w:r>
      <w:r w:rsidR="00487880">
        <w:rPr>
          <w:lang w:val="ru-RU"/>
        </w:rPr>
        <w:t xml:space="preserve"> </w:t>
      </w:r>
      <w:r w:rsidRPr="00F644BA">
        <w:rPr>
          <w:lang w:val="ru-RU"/>
        </w:rPr>
        <w:t>модернизацию публикаций по морским службам. Достигнут прогресс в деле реализации дорожной карты информационных систем БР по космическим службам, которая была создана в 2019 году Консультативной группой по радиосвязи (КГР-19). Благодаря внедрению системы E</w:t>
      </w:r>
      <w:r w:rsidR="00B66BFB">
        <w:rPr>
          <w:lang w:val="ru-RU"/>
        </w:rPr>
        <w:noBreakHyphen/>
      </w:r>
      <w:r w:rsidRPr="00F644BA">
        <w:rPr>
          <w:lang w:val="ru-RU"/>
        </w:rPr>
        <w:t>Submission и E-Communication были усовершенствованы связанные с космическими службами применения МСЭ-R, в то время как Международный информационный циркуляр по частотам Бюро радиосвязи (ИФИК БР) был перемещен на онлайновую платформу, что повысило оперативную эффективность.</w:t>
      </w:r>
    </w:p>
    <w:p w14:paraId="481853AF" w14:textId="77777777" w:rsidR="00973D1F" w:rsidRPr="00F644BA" w:rsidRDefault="00973D1F" w:rsidP="00132062">
      <w:pPr>
        <w:pStyle w:val="Headingb"/>
        <w:rPr>
          <w:lang w:val="ru-RU"/>
        </w:rPr>
      </w:pPr>
      <w:r>
        <w:rPr>
          <w:lang w:val="ru-RU"/>
        </w:rPr>
        <w:t>Обеспечение р</w:t>
      </w:r>
      <w:r w:rsidRPr="00F644BA">
        <w:rPr>
          <w:lang w:val="ru-RU"/>
        </w:rPr>
        <w:t>еальн</w:t>
      </w:r>
      <w:r>
        <w:rPr>
          <w:lang w:val="ru-RU"/>
        </w:rPr>
        <w:t>ой</w:t>
      </w:r>
      <w:r w:rsidRPr="00F644BA">
        <w:rPr>
          <w:lang w:val="ru-RU"/>
        </w:rPr>
        <w:t xml:space="preserve"> возможности установления соединений</w:t>
      </w:r>
    </w:p>
    <w:p w14:paraId="684F4C8B" w14:textId="2556FD61" w:rsidR="00973D1F" w:rsidRPr="00F644BA" w:rsidRDefault="00973D1F" w:rsidP="00132062">
      <w:pPr>
        <w:rPr>
          <w:lang w:val="ru-RU"/>
        </w:rPr>
      </w:pPr>
      <w:r w:rsidRPr="00F644BA">
        <w:rPr>
          <w:lang w:val="ru-RU"/>
        </w:rPr>
        <w:t>По оценкам, в 2023 году во всем мире 2,6 млрд</w:t>
      </w:r>
      <w:r>
        <w:rPr>
          <w:lang w:val="ru-RU"/>
        </w:rPr>
        <w:t>.</w:t>
      </w:r>
      <w:r w:rsidRPr="00F644BA">
        <w:rPr>
          <w:lang w:val="ru-RU"/>
        </w:rPr>
        <w:t xml:space="preserve"> человек продолжали жить без доступа в интернет. МСЭ прилагает все усилия, чтобы </w:t>
      </w:r>
      <w:r w:rsidR="007D2F18">
        <w:rPr>
          <w:lang w:val="ru-RU"/>
        </w:rPr>
        <w:t xml:space="preserve">помочь </w:t>
      </w:r>
      <w:r w:rsidRPr="00F644BA">
        <w:rPr>
          <w:lang w:val="ru-RU"/>
        </w:rPr>
        <w:t xml:space="preserve">обеспечить всем этим людям подключение к интернету. Наряду с содействием совершенствованию инфраструктуры, организация стремится обеспечить, чтобы каждый человек обладал необходимыми навыками и возможностью выбора контента, с тем чтобы возможность установления соединений имела </w:t>
      </w:r>
      <w:r>
        <w:rPr>
          <w:lang w:val="ru-RU"/>
        </w:rPr>
        <w:t xml:space="preserve">реальный </w:t>
      </w:r>
      <w:r w:rsidRPr="00F644BA">
        <w:rPr>
          <w:lang w:val="ru-RU"/>
        </w:rPr>
        <w:t>характер.</w:t>
      </w:r>
    </w:p>
    <w:p w14:paraId="453866E2" w14:textId="4CB0646B" w:rsidR="00973D1F" w:rsidRPr="00964D8D" w:rsidRDefault="00973D1F" w:rsidP="00750181">
      <w:pPr>
        <w:rPr>
          <w:lang w:val="ru-RU"/>
        </w:rPr>
      </w:pPr>
      <w:r w:rsidRPr="00964D8D">
        <w:rPr>
          <w:lang w:val="ru-RU"/>
        </w:rPr>
        <w:t>МСЭ по-прежнему намерен включать практические методы обеспечения разнообразия и интеграции в основные направления своей работы. Для достижения своих целей МСЭ работа</w:t>
      </w:r>
      <w:r w:rsidR="007D2F18">
        <w:rPr>
          <w:lang w:val="ru-RU"/>
        </w:rPr>
        <w:t>ет</w:t>
      </w:r>
      <w:r w:rsidRPr="00964D8D">
        <w:rPr>
          <w:lang w:val="ru-RU"/>
        </w:rPr>
        <w:t xml:space="preserve"> над сокращением цифрового разрыва и построением открытого для всех цифрового общества, способствуя доступу к электросвязи/ИКТ, их приемлемости в ценовом отношении и использованию во всех странах и для всех людей, в том числе женщин и девушек, молодежи, коренных народов, пожилых людей, лиц с ограниченными возможностями и лиц особыми потребностями.</w:t>
      </w:r>
    </w:p>
    <w:p w14:paraId="1FCFC5A5" w14:textId="77777777" w:rsidR="00973D1F" w:rsidRPr="00F644BA" w:rsidRDefault="00973D1F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Деятельность по охвату цифровыми технологиями сосредоточена на обеспечении гендерного равенства, при этом женщины по-прежнему составляют несоразмерно бо́льшую долю населения, не имеющего подключения к сети, и отстают по уровню владения мобильными телефонами. Инициативы МСЭ, такие как Международный день "Девушки в ИКТ" и "Сети женщин" (NOW), направлены на сокращение этого разрыва путем обеспечения профессиональной подготовки и наставничества, пропаганды представленности женщин на руководящих должностях. </w:t>
      </w:r>
    </w:p>
    <w:p w14:paraId="00DE00BE" w14:textId="4C129FDF" w:rsidR="00973D1F" w:rsidRPr="00F644BA" w:rsidRDefault="00973D1F" w:rsidP="00132062">
      <w:pPr>
        <w:spacing w:after="120"/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>Особое внимание уделяется также участию молодежи, а мероприятие МСЭ "Калейдоскоп</w:t>
      </w:r>
      <w:r w:rsidR="00132062" w:rsidRPr="00132062">
        <w:rPr>
          <w:lang w:val="ru-RU"/>
        </w:rPr>
        <w:noBreakHyphen/>
      </w:r>
      <w:r w:rsidRPr="00F644BA">
        <w:rPr>
          <w:lang w:val="ru-RU"/>
        </w:rPr>
        <w:t>2024" будет включать сессии по обеспечению поддержки для разработки стандартов следующего поколения. В 2023 году продолжалась работа в рамках инициативы "</w:t>
      </w:r>
      <w:hyperlink r:id="rId15" w:history="1">
        <w:r w:rsidRPr="00F61AA1">
          <w:rPr>
            <w:rStyle w:val="Hyperlink"/>
            <w:lang w:val="ru-RU"/>
          </w:rPr>
          <w:t>Поколение подключений</w:t>
        </w:r>
      </w:hyperlink>
      <w:r w:rsidRPr="00F644BA">
        <w:rPr>
          <w:lang w:val="ru-RU"/>
        </w:rPr>
        <w:t>" – общей инициативы Молодежной стратегии МСЭ, цель которой заключается в том, чтобы голоса молодежи стали слышнее в рамках диалога о цифровом развитии – на основании обновленной Резолюции 76 (Кигали, 2022</w:t>
      </w:r>
      <w:r>
        <w:rPr>
          <w:lang w:val="ru-RU"/>
        </w:rPr>
        <w:t> </w:t>
      </w:r>
      <w:r w:rsidRPr="00F644BA">
        <w:rPr>
          <w:lang w:val="ru-RU"/>
        </w:rPr>
        <w:t xml:space="preserve">г.) </w:t>
      </w:r>
      <w:r w:rsidR="007D2F18">
        <w:rPr>
          <w:lang w:val="ru-RU"/>
        </w:rPr>
        <w:t>Всемирной конференции по развитию электросвязи (</w:t>
      </w:r>
      <w:r w:rsidRPr="00F644BA">
        <w:rPr>
          <w:lang w:val="ru-RU"/>
        </w:rPr>
        <w:t>ВКРЭ</w:t>
      </w:r>
      <w:r w:rsidR="007D2F18">
        <w:rPr>
          <w:lang w:val="ru-RU"/>
        </w:rPr>
        <w:t>)</w:t>
      </w:r>
      <w:r w:rsidRPr="00F644BA">
        <w:rPr>
          <w:lang w:val="ru-RU"/>
        </w:rPr>
        <w:t xml:space="preserve"> и Резолюции 198 (</w:t>
      </w:r>
      <w:r w:rsidR="007D2F18">
        <w:rPr>
          <w:lang w:val="ru-RU"/>
        </w:rPr>
        <w:t xml:space="preserve">Пересм. </w:t>
      </w:r>
      <w:r w:rsidRPr="00F644BA">
        <w:rPr>
          <w:lang w:val="ru-RU"/>
        </w:rPr>
        <w:t xml:space="preserve">Бухарест, 2022 г.) </w:t>
      </w:r>
      <w:r w:rsidR="007D2F18">
        <w:rPr>
          <w:lang w:val="ru-RU"/>
        </w:rPr>
        <w:t>Полномочной конференции (</w:t>
      </w:r>
      <w:r w:rsidRPr="00F644BA">
        <w:rPr>
          <w:lang w:val="ru-RU"/>
        </w:rPr>
        <w:t>ПК</w:t>
      </w:r>
      <w:r w:rsidR="007D2F18">
        <w:rPr>
          <w:lang w:val="ru-RU"/>
        </w:rPr>
        <w:t>) МСЭ</w:t>
      </w:r>
      <w:r w:rsidRPr="00F644BA">
        <w:rPr>
          <w:lang w:val="ru-RU"/>
        </w:rPr>
        <w:t>.</w:t>
      </w:r>
    </w:p>
    <w:p w14:paraId="2473CBCA" w14:textId="77777777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В отношении лиц с ограниченными возможностями реализуются меры по обеспечению доступности, содействующие осведомленности и учету вопросов доступности в стандартах с помощью пересмотренных публикаций. Кроме того, за отчетный период многие члены МСЭ, заинтересованные стороны и участники укрепили свои знания в области доступности ИКТ и цифровых технологий в рамках различных мероприятий. </w:t>
      </w:r>
      <w:hyperlink r:id="rId16" w:history="1">
        <w:r w:rsidRPr="00F644BA">
          <w:rPr>
            <w:rStyle w:val="Hyperlink"/>
            <w:szCs w:val="24"/>
            <w:lang w:val="ru-RU"/>
          </w:rPr>
          <w:t>МСЭ-D</w:t>
        </w:r>
      </w:hyperlink>
      <w:r w:rsidRPr="00F644BA">
        <w:rPr>
          <w:lang w:val="ru-RU"/>
        </w:rPr>
        <w:t xml:space="preserve"> предоставил экспертные </w:t>
      </w:r>
      <w:r w:rsidRPr="00F644BA">
        <w:rPr>
          <w:lang w:val="ru-RU"/>
        </w:rPr>
        <w:lastRenderedPageBreak/>
        <w:t>рекомендации по доступности ИКТ в целях поддержки усилий членов МСЭ по содействию охвату цифровыми технологиями посредством подготовки на уровне руководителей для представителей директивных органов, в том числе на региональном уровне.</w:t>
      </w:r>
    </w:p>
    <w:p w14:paraId="095DD443" w14:textId="44147ABE" w:rsidR="00132062" w:rsidRPr="00F644BA" w:rsidRDefault="00132062" w:rsidP="00132062">
      <w:pPr>
        <w:rPr>
          <w:lang w:val="ru-RU"/>
        </w:rPr>
      </w:pPr>
      <w:r w:rsidRPr="00F644BA">
        <w:rPr>
          <w:lang w:val="ru-RU"/>
        </w:rPr>
        <w:t xml:space="preserve">На внутренней основе была создана Целевая группа по делам молодежи для содействия активному участию и позитивному развитию молодежи в рамках организации. Генеральный секретарь создала также Молодежный консультативный комитет, включающий 12 молодых экспертов со всего мира, которые </w:t>
      </w:r>
      <w:r w:rsidR="007D2F18">
        <w:rPr>
          <w:lang w:val="ru-RU"/>
        </w:rPr>
        <w:t>предоставляют</w:t>
      </w:r>
      <w:r w:rsidRPr="00F644BA">
        <w:rPr>
          <w:lang w:val="ru-RU"/>
        </w:rPr>
        <w:t xml:space="preserve"> различные точки зрения молодежи и конкретные рекомендации по укреплению сотрудничества во всем мире в области преодоления цифрового разрыва.</w:t>
      </w:r>
    </w:p>
    <w:p w14:paraId="6FA4CA94" w14:textId="77777777" w:rsidR="00132062" w:rsidRDefault="00132062" w:rsidP="00132062">
      <w:pPr>
        <w:rPr>
          <w:lang w:val="ru-RU"/>
        </w:rPr>
      </w:pPr>
      <w:r>
        <w:rPr>
          <w:lang w:val="ru-RU"/>
        </w:rPr>
        <w:t>В рамках п</w:t>
      </w:r>
      <w:r w:rsidRPr="00F644BA">
        <w:rPr>
          <w:lang w:val="ru-RU"/>
        </w:rPr>
        <w:t>рограмм</w:t>
      </w:r>
      <w:r>
        <w:rPr>
          <w:lang w:val="ru-RU"/>
        </w:rPr>
        <w:t xml:space="preserve">ы по </w:t>
      </w:r>
      <w:r w:rsidRPr="00F644BA">
        <w:rPr>
          <w:lang w:val="ru-RU"/>
        </w:rPr>
        <w:t>преодолени</w:t>
      </w:r>
      <w:r>
        <w:rPr>
          <w:lang w:val="ru-RU"/>
        </w:rPr>
        <w:t>ю</w:t>
      </w:r>
      <w:r w:rsidRPr="00F644BA">
        <w:rPr>
          <w:lang w:val="ru-RU"/>
        </w:rPr>
        <w:t xml:space="preserve"> разрыва в стандартизации продолжал</w:t>
      </w:r>
      <w:r>
        <w:rPr>
          <w:lang w:val="ru-RU"/>
        </w:rPr>
        <w:t>ось</w:t>
      </w:r>
      <w:r w:rsidRPr="00F644BA">
        <w:rPr>
          <w:lang w:val="ru-RU"/>
        </w:rPr>
        <w:t xml:space="preserve"> </w:t>
      </w:r>
      <w:r>
        <w:rPr>
          <w:lang w:val="ru-RU"/>
        </w:rPr>
        <w:t xml:space="preserve">предоставление </w:t>
      </w:r>
      <w:r w:rsidRPr="00F644BA">
        <w:rPr>
          <w:lang w:val="ru-RU"/>
        </w:rPr>
        <w:t>профессиональн</w:t>
      </w:r>
      <w:r>
        <w:rPr>
          <w:lang w:val="ru-RU"/>
        </w:rPr>
        <w:t>ой</w:t>
      </w:r>
      <w:r w:rsidRPr="00F644BA">
        <w:rPr>
          <w:lang w:val="ru-RU"/>
        </w:rPr>
        <w:t xml:space="preserve"> подготовк</w:t>
      </w:r>
      <w:r>
        <w:rPr>
          <w:lang w:val="ru-RU"/>
        </w:rPr>
        <w:t>и</w:t>
      </w:r>
      <w:r w:rsidRPr="00F644BA">
        <w:rPr>
          <w:lang w:val="ru-RU"/>
        </w:rPr>
        <w:t xml:space="preserve"> и стипенди</w:t>
      </w:r>
      <w:r>
        <w:rPr>
          <w:lang w:val="ru-RU"/>
        </w:rPr>
        <w:t>й</w:t>
      </w:r>
      <w:r w:rsidRPr="00F644BA">
        <w:rPr>
          <w:lang w:val="ru-RU"/>
        </w:rPr>
        <w:t xml:space="preserve"> для расширения </w:t>
      </w:r>
      <w:r>
        <w:rPr>
          <w:lang w:val="ru-RU"/>
        </w:rPr>
        <w:t xml:space="preserve">глобального </w:t>
      </w:r>
      <w:r w:rsidRPr="00F644BA">
        <w:rPr>
          <w:lang w:val="ru-RU"/>
        </w:rPr>
        <w:t>участия.</w:t>
      </w:r>
    </w:p>
    <w:p w14:paraId="1FFC9178" w14:textId="77777777" w:rsidR="00132062" w:rsidRPr="00F644BA" w:rsidRDefault="00132062" w:rsidP="00132062">
      <w:pPr>
        <w:pStyle w:val="Headingb"/>
        <w:rPr>
          <w:lang w:val="ru-RU"/>
        </w:rPr>
      </w:pPr>
      <w:r w:rsidRPr="00F644BA">
        <w:rPr>
          <w:lang w:val="ru-RU"/>
        </w:rPr>
        <w:t>Реализация устойчивой цифровой трансформации</w:t>
      </w:r>
    </w:p>
    <w:p w14:paraId="0D03D0D3" w14:textId="77777777" w:rsidR="00F712D4" w:rsidRDefault="00132062" w:rsidP="00F712D4">
      <w:pPr>
        <w:rPr>
          <w:lang w:val="ru-RU"/>
        </w:rPr>
      </w:pPr>
      <w:r w:rsidRPr="00F644BA">
        <w:rPr>
          <w:lang w:val="ru-RU"/>
        </w:rPr>
        <w:t>Цифровые технологии обладают потенциалом ускорения социально-экономического прогресса и обеспечивают каждому человеку во всем мире возможности для построения лучшего будущего. МСЭ присоединился к партнерам в рамках системы ООН и за ее пределами в целях содействия цифровой трансформации в соответствии с целями ООН в области устойчивого развития и выполнению обязательств, взятых в рамках Повестки дня на период до 2030 года.</w:t>
      </w:r>
      <w:r w:rsidR="00F712D4" w:rsidRPr="00F712D4">
        <w:rPr>
          <w:lang w:val="ru-RU"/>
        </w:rPr>
        <w:t xml:space="preserve"> </w:t>
      </w:r>
    </w:p>
    <w:p w14:paraId="5C9E2EA3" w14:textId="17E6D19A" w:rsidR="00F712D4" w:rsidRPr="00964D8D" w:rsidRDefault="00F712D4" w:rsidP="00F712D4">
      <w:pPr>
        <w:rPr>
          <w:lang w:val="ru-RU"/>
        </w:rPr>
      </w:pPr>
      <w:r w:rsidRPr="00D6403C">
        <w:rPr>
          <w:lang w:val="ru-RU"/>
        </w:rPr>
        <w:t xml:space="preserve">Несмотря на активизацию усилий МСЭ, </w:t>
      </w:r>
      <w:r>
        <w:rPr>
          <w:lang w:val="ru-RU"/>
        </w:rPr>
        <w:t xml:space="preserve">рост </w:t>
      </w:r>
      <w:r w:rsidRPr="00D6403C">
        <w:rPr>
          <w:lang w:val="ru-RU"/>
        </w:rPr>
        <w:t xml:space="preserve">выбросы парниковых газов (ПГ) и электронные отходы </w:t>
      </w:r>
      <w:r>
        <w:rPr>
          <w:lang w:val="ru-RU"/>
        </w:rPr>
        <w:t>сдержать пока не удалось</w:t>
      </w:r>
      <w:r w:rsidRPr="00D6403C">
        <w:rPr>
          <w:lang w:val="ru-RU"/>
        </w:rPr>
        <w:t>.</w:t>
      </w:r>
    </w:p>
    <w:p w14:paraId="48F6D447" w14:textId="77777777" w:rsidR="00132062" w:rsidRPr="00132062" w:rsidRDefault="00132062" w:rsidP="00132062">
      <w:pPr>
        <w:pStyle w:val="Headingb"/>
        <w:rPr>
          <w:lang w:val="ru-RU"/>
        </w:rPr>
      </w:pPr>
      <w:r w:rsidRPr="00132062">
        <w:rPr>
          <w:lang w:val="ru-RU"/>
        </w:rPr>
        <w:t>ИИ, используемый во благо человечества</w:t>
      </w:r>
    </w:p>
    <w:p w14:paraId="403A7964" w14:textId="77777777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В 2023 году стремительн</w:t>
      </w:r>
      <w:r>
        <w:rPr>
          <w:lang w:val="ru-RU"/>
        </w:rPr>
        <w:t>ое</w:t>
      </w:r>
      <w:r w:rsidRPr="00F644BA">
        <w:rPr>
          <w:lang w:val="ru-RU"/>
        </w:rPr>
        <w:t xml:space="preserve"> р</w:t>
      </w:r>
      <w:r>
        <w:rPr>
          <w:lang w:val="ru-RU"/>
        </w:rPr>
        <w:t xml:space="preserve">азвитие </w:t>
      </w:r>
      <w:r w:rsidRPr="00F644BA">
        <w:rPr>
          <w:lang w:val="ru-RU"/>
        </w:rPr>
        <w:t>ИИ вызывал</w:t>
      </w:r>
      <w:r>
        <w:rPr>
          <w:lang w:val="ru-RU"/>
        </w:rPr>
        <w:t>о</w:t>
      </w:r>
      <w:r w:rsidRPr="00F644BA">
        <w:rPr>
          <w:lang w:val="ru-RU"/>
        </w:rPr>
        <w:t xml:space="preserve"> обеспокоенность </w:t>
      </w:r>
      <w:r>
        <w:rPr>
          <w:lang w:val="ru-RU"/>
        </w:rPr>
        <w:t>в</w:t>
      </w:r>
      <w:r w:rsidRPr="00F644BA">
        <w:rPr>
          <w:lang w:val="ru-RU"/>
        </w:rPr>
        <w:t>о всем мир</w:t>
      </w:r>
      <w:r>
        <w:rPr>
          <w:lang w:val="ru-RU"/>
        </w:rPr>
        <w:t>е</w:t>
      </w:r>
      <w:r w:rsidRPr="00F644BA">
        <w:rPr>
          <w:lang w:val="ru-RU"/>
        </w:rPr>
        <w:t xml:space="preserve">, что побудило МСЭ стать важнейшей площадкой для обсуждения вопроса об использовании ИИ для всеобщего блага человечества. ИИ открывает перспективы положительного воздействия на 134 </w:t>
      </w:r>
      <w:r>
        <w:rPr>
          <w:lang w:val="ru-RU"/>
        </w:rPr>
        <w:t>задачи</w:t>
      </w:r>
      <w:r w:rsidRPr="00F644BA">
        <w:rPr>
          <w:lang w:val="ru-RU"/>
        </w:rPr>
        <w:t xml:space="preserve"> </w:t>
      </w:r>
      <w:r>
        <w:rPr>
          <w:lang w:val="ru-RU"/>
        </w:rPr>
        <w:t xml:space="preserve">в рамках </w:t>
      </w:r>
      <w:r w:rsidRPr="00F644BA">
        <w:rPr>
          <w:lang w:val="ru-RU"/>
        </w:rPr>
        <w:t>все</w:t>
      </w:r>
      <w:r>
        <w:rPr>
          <w:lang w:val="ru-RU"/>
        </w:rPr>
        <w:t>х</w:t>
      </w:r>
      <w:r w:rsidRPr="00F644BA">
        <w:rPr>
          <w:lang w:val="ru-RU"/>
        </w:rPr>
        <w:t xml:space="preserve"> 17 цел</w:t>
      </w:r>
      <w:r>
        <w:rPr>
          <w:lang w:val="ru-RU"/>
        </w:rPr>
        <w:t>ей</w:t>
      </w:r>
      <w:r w:rsidRPr="00F644BA">
        <w:rPr>
          <w:lang w:val="ru-RU"/>
        </w:rPr>
        <w:t xml:space="preserve"> в области устойчивого развития. </w:t>
      </w:r>
    </w:p>
    <w:p w14:paraId="1E4FC3C0" w14:textId="77777777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shd w:val="clear" w:color="auto" w:fill="FFFFFF"/>
          <w:lang w:val="ru-RU"/>
          <w14:ligatures w14:val="standardContextual"/>
        </w:rPr>
      </w:pPr>
      <w:r w:rsidRPr="00F644BA">
        <w:rPr>
          <w:lang w:val="ru-RU"/>
        </w:rPr>
        <w:t xml:space="preserve">Платформа МСЭ "ИИ во благо" представляет собой основную площадку, где обеспечивается приведение технологий в соответствие с гуманитарными целями и целями в области устойчивого развития, и примером этого является </w:t>
      </w:r>
      <w:r>
        <w:rPr>
          <w:lang w:val="ru-RU"/>
        </w:rPr>
        <w:t>Глобальный</w:t>
      </w:r>
      <w:r w:rsidRPr="00F644BA">
        <w:rPr>
          <w:lang w:val="ru-RU"/>
        </w:rPr>
        <w:t xml:space="preserve"> саммит "ИИ во благо". Саммит 2023 года, организованный совместно с 40 учреждениями ООН и Швейцарией, ознаменовал собой возвращение к мероприятиям высокого уровня после пандемии COVID-19. Первая в истории пресс-конференция с человекоподобными роботами привлекла внимание общественности к этой расширяющейся области деятельности МСЭ, а также показала потенциал ИИ в области активизации устойчивого развития. Конкурсы по ИИ и машинному обучению (МО) подчеркнули потенциал ИИ и ценность работы МСЭ в области стандартизации. </w:t>
      </w:r>
    </w:p>
    <w:p w14:paraId="75156F18" w14:textId="77777777" w:rsidR="00132062" w:rsidRPr="00F644BA" w:rsidRDefault="00132062" w:rsidP="00132062">
      <w:pPr>
        <w:spacing w:after="120"/>
        <w:rPr>
          <w:lang w:val="ru-RU"/>
        </w:rPr>
      </w:pPr>
      <w:r w:rsidRPr="00F644BA">
        <w:rPr>
          <w:lang w:val="ru-RU"/>
        </w:rPr>
        <w:t>В то же время, признавая риски, связанные с ИИ, МСЭ выступает за сотрудничество между правительствами, частн</w:t>
      </w:r>
      <w:r>
        <w:rPr>
          <w:lang w:val="ru-RU"/>
        </w:rPr>
        <w:t>ым</w:t>
      </w:r>
      <w:r w:rsidRPr="00F644BA">
        <w:rPr>
          <w:lang w:val="ru-RU"/>
        </w:rPr>
        <w:t xml:space="preserve"> сектор</w:t>
      </w:r>
      <w:r>
        <w:rPr>
          <w:lang w:val="ru-RU"/>
        </w:rPr>
        <w:t>ом</w:t>
      </w:r>
      <w:r w:rsidRPr="00F644BA">
        <w:rPr>
          <w:lang w:val="ru-RU"/>
        </w:rPr>
        <w:t xml:space="preserve"> и учреждениями ООН в целях установления международных норм. Нейтральная платформа МСЭ способствует пониманию и определяет направление политики в области появляющихся технологий ИИ. МСЭ продолжает </w:t>
      </w:r>
      <w:r w:rsidRPr="00D40774">
        <w:rPr>
          <w:lang w:val="ru-RU"/>
        </w:rPr>
        <w:t>решать изменяющиеся проблемы</w:t>
      </w:r>
      <w:r w:rsidRPr="00F644BA">
        <w:rPr>
          <w:lang w:val="ru-RU"/>
        </w:rPr>
        <w:t>, поэтому он остается одним из основных участников усилий ООН по эффективному применению ИИ в интересах достижения целей в области устойчивого развития.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2062" w:rsidRPr="00177CCD" w14:paraId="34733866" w14:textId="77777777" w:rsidTr="00A8283F">
        <w:trPr>
          <w:cantSplit/>
        </w:trPr>
        <w:tc>
          <w:tcPr>
            <w:tcW w:w="9061" w:type="dxa"/>
          </w:tcPr>
          <w:p w14:paraId="4CC1814D" w14:textId="77777777" w:rsidR="00132062" w:rsidRPr="000820FB" w:rsidRDefault="00132062" w:rsidP="000820FB">
            <w:pPr>
              <w:jc w:val="center"/>
              <w:rPr>
                <w:b/>
                <w:bCs/>
                <w:lang w:val="ru-RU"/>
              </w:rPr>
            </w:pPr>
            <w:bookmarkStart w:id="18" w:name="_Hlk166240830"/>
            <w:r w:rsidRPr="000820FB">
              <w:rPr>
                <w:b/>
                <w:bCs/>
                <w:lang w:val="ru-RU"/>
              </w:rPr>
              <w:lastRenderedPageBreak/>
              <w:t>Пример воздействия</w:t>
            </w:r>
          </w:p>
          <w:p w14:paraId="742C9778" w14:textId="77777777" w:rsidR="00132062" w:rsidRPr="00F644BA" w:rsidRDefault="00132062" w:rsidP="00132062">
            <w:pPr>
              <w:pStyle w:val="Headingb"/>
              <w:rPr>
                <w:lang w:val="ru-RU"/>
              </w:rPr>
            </w:pPr>
            <w:r w:rsidRPr="00F644BA">
              <w:rPr>
                <w:lang w:val="ru-RU"/>
              </w:rPr>
              <w:t>Ультразвуковое обследование на базе искусственного интеллекта</w:t>
            </w:r>
          </w:p>
          <w:p w14:paraId="6DBBC842" w14:textId="68EDA781" w:rsidR="00132062" w:rsidRPr="00F644BA" w:rsidRDefault="00132062" w:rsidP="00132062">
            <w:pPr>
              <w:rPr>
                <w:lang w:val="ru-RU"/>
              </w:rPr>
            </w:pPr>
            <w:r w:rsidRPr="00F644BA">
              <w:rPr>
                <w:lang w:val="ru-RU"/>
              </w:rPr>
              <w:t>Победитель конкурса "Фабрика инноваций", компания Ultrasound AI, создала новаторскую платформу для проведения обследований беременных пациенток и сокращения числа преждевременных родов. Возглавляем</w:t>
            </w:r>
            <w:r>
              <w:rPr>
                <w:lang w:val="ru-RU"/>
              </w:rPr>
              <w:t>ый</w:t>
            </w:r>
            <w:r w:rsidRPr="00F644BA">
              <w:rPr>
                <w:lang w:val="ru-RU"/>
              </w:rPr>
              <w:t xml:space="preserve"> женщиной стартап</w:t>
            </w:r>
            <w:r>
              <w:rPr>
                <w:lang w:val="ru-RU"/>
              </w:rPr>
              <w:t xml:space="preserve"> предложил</w:t>
            </w:r>
            <w:r w:rsidRPr="00F644BA">
              <w:rPr>
                <w:lang w:val="ru-RU"/>
              </w:rPr>
              <w:t xml:space="preserve"> решение, </w:t>
            </w:r>
            <w:r>
              <w:rPr>
                <w:lang w:val="ru-RU"/>
              </w:rPr>
              <w:t>которое показывает</w:t>
            </w:r>
            <w:r w:rsidRPr="00F644BA">
              <w:rPr>
                <w:lang w:val="ru-RU"/>
              </w:rPr>
              <w:t xml:space="preserve">, как искусственный интеллект (ИИ) может улучшить качество медицинского обслуживания людей. "Женщины и младенцы заслуживают качественного медицинского обслуживания, и именно это мы и пытаемся сделать", </w:t>
            </w:r>
            <w:r w:rsidR="003B4800" w:rsidRPr="003B4800">
              <w:rPr>
                <w:lang w:val="ru-RU"/>
              </w:rPr>
              <w:t>−</w:t>
            </w:r>
            <w:r w:rsidRPr="00F644BA">
              <w:rPr>
                <w:lang w:val="ru-RU"/>
              </w:rPr>
              <w:t xml:space="preserve"> сказала Марисса Файер из Ultrasound AI, представляя получившее награду инновационное решение на сцене мероприятия "Робототехника во благо" на </w:t>
            </w:r>
            <w:r>
              <w:rPr>
                <w:lang w:val="ru-RU"/>
              </w:rPr>
              <w:t>Глобальном</w:t>
            </w:r>
            <w:r w:rsidRPr="00F644BA">
              <w:rPr>
                <w:lang w:val="ru-RU"/>
              </w:rPr>
              <w:t xml:space="preserve"> саммите "ИИ во благо" под руководством МСЭ.</w:t>
            </w:r>
          </w:p>
          <w:p w14:paraId="70B03F24" w14:textId="57FE7AF2" w:rsidR="00132062" w:rsidRPr="00132062" w:rsidRDefault="00177CCD" w:rsidP="00132062">
            <w:pPr>
              <w:spacing w:after="120"/>
              <w:rPr>
                <w:szCs w:val="24"/>
                <w:lang w:val="ru-RU"/>
              </w:rPr>
            </w:pPr>
            <w:hyperlink r:id="rId17" w:history="1">
              <w:r w:rsidR="00132062" w:rsidRPr="00F644BA">
                <w:rPr>
                  <w:rStyle w:val="Hyperlink"/>
                  <w:rFonts w:asciiTheme="minorHAnsi" w:eastAsiaTheme="minorEastAsia" w:hAnsiTheme="minorHAnsi"/>
                  <w:kern w:val="2"/>
                  <w:szCs w:val="24"/>
                  <w:lang w:val="ru-RU"/>
                  <w14:ligatures w14:val="standardContextual"/>
                </w:rPr>
                <w:t>Узнать больше о конкурсе "Фабрика инноваций" и ее финалистах 2023 года</w:t>
              </w:r>
            </w:hyperlink>
            <w:r w:rsidR="00132062" w:rsidRPr="00F644BA">
              <w:rPr>
                <w:rFonts w:asciiTheme="minorHAnsi" w:eastAsiaTheme="minorEastAsia" w:hAnsiTheme="minorHAnsi"/>
                <w:kern w:val="2"/>
                <w:szCs w:val="24"/>
                <w:lang w:val="ru-RU"/>
                <w14:ligatures w14:val="standardContextual"/>
              </w:rPr>
              <w:t>.</w:t>
            </w:r>
          </w:p>
        </w:tc>
      </w:tr>
    </w:tbl>
    <w:bookmarkEnd w:id="18"/>
    <w:p w14:paraId="3DEF6045" w14:textId="77777777" w:rsidR="003B4800" w:rsidRPr="00F644BA" w:rsidRDefault="003B4800" w:rsidP="003B4800">
      <w:pPr>
        <w:pStyle w:val="Headingb"/>
        <w:rPr>
          <w:rFonts w:eastAsiaTheme="minorEastAsia"/>
          <w:lang w:val="ru-RU" w:eastAsia="zh-CN"/>
        </w:rPr>
      </w:pPr>
      <w:r w:rsidRPr="00F644BA">
        <w:rPr>
          <w:rFonts w:eastAsiaTheme="minorEastAsia"/>
          <w:lang w:val="ru-RU" w:eastAsia="zh-CN"/>
        </w:rPr>
        <w:t>Технические стандарты для всех</w:t>
      </w:r>
    </w:p>
    <w:p w14:paraId="2102D865" w14:textId="0F95E158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известен разработкой широко признанных международных стандартов, и в течение последнего года прогресс в этом деле не останавливался. Сектор стандартизации электросвязи (МСЭ-Т) утвердил 286 новых и пересмотренных Рекомендаций, из них поддержку для соответствующей работы обеспечивают пять оперативных групп. МСЭ-R утвердил более 80 новых или пересмотренных Рекомендаций, при этом исчерпывающая информация размещена </w:t>
      </w:r>
      <w:hyperlink r:id="rId18" w:history="1">
        <w:r w:rsidR="00D6403C" w:rsidRPr="00D6403C">
          <w:rPr>
            <w:rStyle w:val="Hyperlink"/>
            <w:lang w:val="ru-RU"/>
          </w:rPr>
          <w:t>здесь</w:t>
        </w:r>
      </w:hyperlink>
      <w:r w:rsidRPr="00F644BA">
        <w:rPr>
          <w:lang w:val="ru-RU"/>
        </w:rPr>
        <w:t xml:space="preserve">. </w:t>
      </w:r>
    </w:p>
    <w:p w14:paraId="05344E79" w14:textId="77777777" w:rsidR="00132062" w:rsidRPr="00F644BA" w:rsidRDefault="00132062" w:rsidP="00132062">
      <w:pPr>
        <w:spacing w:after="120"/>
        <w:rPr>
          <w:lang w:val="ru-RU"/>
        </w:rPr>
      </w:pPr>
      <w:r w:rsidRPr="00F644BA">
        <w:rPr>
          <w:lang w:val="ru-RU"/>
        </w:rPr>
        <w:t xml:space="preserve">МСЭ получил премию "Эмми" в области инженерного творчества, науки и техники за работу по стандартам радиосвязи для телевидения большого динамического диапазона (HDR-TV). Это признание подчеркивает ключевую роль организации в формировании технологий сегодняшнего и завтрашнего дня, </w:t>
      </w:r>
      <w:r>
        <w:rPr>
          <w:lang w:val="ru-RU"/>
        </w:rPr>
        <w:t xml:space="preserve">а также </w:t>
      </w:r>
      <w:r w:rsidRPr="00F644BA">
        <w:rPr>
          <w:lang w:val="ru-RU"/>
        </w:rPr>
        <w:t>обеспечении глобальных стандартов для электросвязи и радиосвязи.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2062" w:rsidRPr="00177CCD" w14:paraId="3954D802" w14:textId="77777777" w:rsidTr="00A8283F">
        <w:trPr>
          <w:cantSplit/>
        </w:trPr>
        <w:tc>
          <w:tcPr>
            <w:tcW w:w="9061" w:type="dxa"/>
          </w:tcPr>
          <w:p w14:paraId="1067D7CC" w14:textId="77777777" w:rsidR="00132062" w:rsidRPr="000820FB" w:rsidRDefault="00132062" w:rsidP="000820FB">
            <w:pPr>
              <w:jc w:val="center"/>
              <w:rPr>
                <w:b/>
                <w:bCs/>
                <w:lang w:val="ru-RU"/>
              </w:rPr>
            </w:pPr>
            <w:r w:rsidRPr="000820FB">
              <w:rPr>
                <w:b/>
                <w:bCs/>
                <w:lang w:val="ru-RU"/>
              </w:rPr>
              <w:t>Пример воздействия</w:t>
            </w:r>
          </w:p>
          <w:p w14:paraId="7ACE74E3" w14:textId="77777777" w:rsidR="00132062" w:rsidRPr="00964D8D" w:rsidRDefault="00132062" w:rsidP="00750181">
            <w:pPr>
              <w:pStyle w:val="Headingb"/>
              <w:rPr>
                <w:lang w:val="ru-RU"/>
              </w:rPr>
            </w:pPr>
            <w:r w:rsidRPr="00964D8D">
              <w:rPr>
                <w:lang w:val="ru-RU"/>
              </w:rPr>
              <w:t xml:space="preserve">Устойчивая тактовая синхронизация </w:t>
            </w:r>
          </w:p>
          <w:p w14:paraId="5D67291E" w14:textId="77777777" w:rsidR="00132062" w:rsidRPr="00964D8D" w:rsidRDefault="00132062" w:rsidP="00750181">
            <w:pPr>
              <w:rPr>
                <w:lang w:val="ru-RU"/>
              </w:rPr>
            </w:pPr>
            <w:r w:rsidRPr="00964D8D">
              <w:rPr>
                <w:lang w:val="ru-RU"/>
              </w:rPr>
              <w:t xml:space="preserve">Ошибки цифровых тактовых генераторов могут привести к сбоям в работе целых отраслей, организаций и нарушать привычный ход повседневной жизни людей. МСЭ разработал высокоточные стандарты синхронизации, чтобы бороться с нарушениями синхронизации в глобальной навигационной спутниковой системе (ГНСС). Усовершенствованный первичный эталонный генератор сигналов хронирования, определенный стандартом МСЭ </w:t>
            </w:r>
            <w:r w:rsidRPr="00750181">
              <w:t>G</w:t>
            </w:r>
            <w:r w:rsidRPr="00964D8D">
              <w:rPr>
                <w:lang w:val="ru-RU"/>
              </w:rPr>
              <w:t>.8272.1, обеспечивает точность более 100</w:t>
            </w:r>
            <w:r w:rsidRPr="00750181">
              <w:t> </w:t>
            </w:r>
            <w:r w:rsidRPr="00964D8D">
              <w:rPr>
                <w:lang w:val="ru-RU"/>
              </w:rPr>
              <w:t xml:space="preserve">наносекунд в течение 40 дней после потери сигнала ГНСС. Новый стандарт </w:t>
            </w:r>
            <w:r w:rsidRPr="00750181">
              <w:t>G</w:t>
            </w:r>
            <w:r w:rsidRPr="00964D8D">
              <w:rPr>
                <w:lang w:val="ru-RU"/>
              </w:rPr>
              <w:t>.8272.2 объединяет взаимосвязанные тактовые сигналы на выходе с алгоритмом определения шкалы времени в сетях электросвязи. Эти доступные стандарты помогают поддерживать всемирное координированное время (</w:t>
            </w:r>
            <w:r w:rsidRPr="00750181">
              <w:t>UTC</w:t>
            </w:r>
            <w:r w:rsidRPr="00964D8D">
              <w:rPr>
                <w:lang w:val="ru-RU"/>
              </w:rPr>
              <w:t>) во всем мире.</w:t>
            </w:r>
          </w:p>
          <w:p w14:paraId="420AF48F" w14:textId="59A13917" w:rsidR="00132062" w:rsidRPr="00132062" w:rsidRDefault="00177CCD" w:rsidP="00132062">
            <w:pPr>
              <w:spacing w:after="120"/>
              <w:rPr>
                <w:szCs w:val="24"/>
                <w:lang w:val="ru-RU"/>
              </w:rPr>
            </w:pPr>
            <w:hyperlink r:id="rId19" w:history="1">
              <w:r w:rsidR="00132062" w:rsidRPr="00F644BA">
                <w:rPr>
                  <w:rStyle w:val="Hyperlink"/>
                  <w:rFonts w:asciiTheme="minorHAnsi" w:eastAsiaTheme="minorEastAsia" w:hAnsiTheme="minorHAnsi"/>
                  <w:kern w:val="2"/>
                  <w:szCs w:val="24"/>
                  <w:shd w:val="clear" w:color="auto" w:fill="FFFFFF"/>
                  <w:lang w:val="ru-RU"/>
                  <w14:ligatures w14:val="standardContextual"/>
                </w:rPr>
                <w:t xml:space="preserve">Узнать больше о новой концепции </w:t>
              </w:r>
              <w:r w:rsidR="00132062">
                <w:rPr>
                  <w:rStyle w:val="Hyperlink"/>
                  <w:rFonts w:asciiTheme="minorHAnsi" w:eastAsiaTheme="minorEastAsia" w:hAnsiTheme="minorHAnsi"/>
                  <w:kern w:val="2"/>
                  <w:szCs w:val="24"/>
                  <w:shd w:val="clear" w:color="auto" w:fill="FFFFFF"/>
                  <w:lang w:val="ru-RU"/>
                  <w14:ligatures w14:val="standardContextual"/>
                </w:rPr>
                <w:t>т</w:t>
              </w:r>
              <w:r w:rsidR="00132062">
                <w:rPr>
                  <w:rStyle w:val="Hyperlink"/>
                  <w:lang w:val="ru-RU"/>
                </w:rPr>
                <w:t>актовой синхронизации</w:t>
              </w:r>
            </w:hyperlink>
            <w:r w:rsidR="00132062" w:rsidRPr="00F644BA">
              <w:rPr>
                <w:rFonts w:asciiTheme="minorHAnsi" w:eastAsiaTheme="minorEastAsia" w:hAnsiTheme="minorHAnsi"/>
                <w:kern w:val="2"/>
                <w:szCs w:val="24"/>
                <w:shd w:val="clear" w:color="auto" w:fill="FFFFFF"/>
                <w:lang w:val="ru-RU"/>
                <w14:ligatures w14:val="standardContextual"/>
              </w:rPr>
              <w:t>.</w:t>
            </w:r>
          </w:p>
        </w:tc>
      </w:tr>
    </w:tbl>
    <w:p w14:paraId="379C7256" w14:textId="77777777" w:rsidR="00132062" w:rsidRPr="00F644BA" w:rsidRDefault="00132062" w:rsidP="00132062">
      <w:pPr>
        <w:pStyle w:val="Headingb"/>
        <w:rPr>
          <w:lang w:val="ru-RU"/>
        </w:rPr>
      </w:pPr>
      <w:r w:rsidRPr="00F644BA">
        <w:rPr>
          <w:lang w:val="ru-RU"/>
        </w:rPr>
        <w:t>Руководство по политике и информация о технологиях</w:t>
      </w:r>
    </w:p>
    <w:p w14:paraId="07DB17BA" w14:textId="77777777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shd w:val="clear" w:color="auto" w:fill="FFFFFF"/>
          <w:lang w:val="ru-RU"/>
          <w14:ligatures w14:val="standardContextual"/>
        </w:rPr>
      </w:pPr>
      <w:r w:rsidRPr="00F644BA">
        <w:rPr>
          <w:lang w:val="ru-RU"/>
        </w:rPr>
        <w:t xml:space="preserve">МСЭ содействует устойчивому внедрению появляющихся технологий, включая ИИ, квантовые информационные технологии и метавселенную. В области квантовых ИТ МСЭ в качестве приоритета определяет аспекты сетей и безопасности, уделяя основное внимание квантовому распределению ключей для безопасного шифрования. Оперативная группа МСЭ-Т по метавселенной содействует усилиям, направленным на стандартизацию, охватывая различные аспекты, такие как безопасность, доступность, этические соображения и </w:t>
      </w:r>
      <w:r>
        <w:rPr>
          <w:lang w:val="ru-RU"/>
        </w:rPr>
        <w:t>основы</w:t>
      </w:r>
      <w:r w:rsidRPr="00F644BA">
        <w:rPr>
          <w:lang w:val="ru-RU"/>
        </w:rPr>
        <w:t>.</w:t>
      </w:r>
    </w:p>
    <w:p w14:paraId="7B29DCCF" w14:textId="77777777" w:rsidR="00132062" w:rsidRPr="00F644BA" w:rsidRDefault="00132062" w:rsidP="00132062">
      <w:pPr>
        <w:pStyle w:val="Headingb"/>
        <w:rPr>
          <w:rFonts w:eastAsiaTheme="minorEastAsia"/>
          <w:lang w:val="ru-RU" w:eastAsia="zh-CN"/>
        </w:rPr>
      </w:pPr>
      <w:r w:rsidRPr="00F644BA">
        <w:rPr>
          <w:rFonts w:eastAsiaTheme="minorEastAsia"/>
          <w:lang w:val="ru-RU" w:eastAsia="zh-CN"/>
        </w:rPr>
        <w:lastRenderedPageBreak/>
        <w:t xml:space="preserve">Инновации </w:t>
      </w:r>
    </w:p>
    <w:p w14:paraId="1008F1C8" w14:textId="77777777" w:rsidR="00132062" w:rsidRPr="00F644BA" w:rsidRDefault="00132062" w:rsidP="00132062">
      <w:pPr>
        <w:rPr>
          <w:rFonts w:asciiTheme="minorHAnsi" w:eastAsiaTheme="minorEastAsia" w:hAnsiTheme="minorHAnsi" w:cstheme="minorHAnsi"/>
          <w:kern w:val="2"/>
          <w:lang w:val="ru-RU"/>
          <w14:ligatures w14:val="standardContextual"/>
        </w:rPr>
      </w:pPr>
      <w:r w:rsidRPr="00F644BA">
        <w:rPr>
          <w:lang w:val="ru-RU"/>
        </w:rPr>
        <w:t>К 2023 году число стран, имеющих политику в области инноваций, увеличилось с 66 до 97.</w:t>
      </w:r>
    </w:p>
    <w:p w14:paraId="42302D72" w14:textId="77777777" w:rsidR="00132062" w:rsidRPr="00F644BA" w:rsidRDefault="00132062" w:rsidP="003B4800">
      <w:pPr>
        <w:pStyle w:val="Headingb"/>
        <w:rPr>
          <w:rFonts w:eastAsiaTheme="minorEastAsia"/>
          <w:lang w:val="ru-RU" w:eastAsia="zh-CN"/>
        </w:rPr>
      </w:pPr>
      <w:r w:rsidRPr="00F644BA">
        <w:rPr>
          <w:rFonts w:eastAsiaTheme="minorEastAsia"/>
          <w:lang w:val="ru-RU" w:eastAsia="zh-CN"/>
        </w:rPr>
        <w:t xml:space="preserve">Кибербезопасность </w:t>
      </w:r>
    </w:p>
    <w:p w14:paraId="4D4C3333" w14:textId="77777777" w:rsidR="00132062" w:rsidRPr="00F644BA" w:rsidRDefault="00132062" w:rsidP="00132062">
      <w:pPr>
        <w:rPr>
          <w:rFonts w:asciiTheme="minorHAnsi" w:eastAsiaTheme="minorEastAsia" w:hAnsiTheme="minorHAnsi" w:cstheme="minorHAnsi"/>
          <w:kern w:val="2"/>
          <w:lang w:val="ru-RU"/>
          <w14:ligatures w14:val="standardContextual"/>
        </w:rPr>
      </w:pPr>
      <w:r w:rsidRPr="00F644BA">
        <w:rPr>
          <w:lang w:val="ru-RU"/>
        </w:rPr>
        <w:t>В 2023 году примерно 65 процентов стран имели группы реагирования на компьютерные инциденты (CIRTS), что свидетельствует о повышении готовности к обеспечению кибербезопасности, а в 83 процентах стран в 2023 году были внедрены национальные планы обеспечения электросвязи в чрезвычайных ситуациях. МСЭ возглавляет Направление деятельности С5 ВВУИО, уделяя основное внимание укреплению доверия и безопасности при использовании технологий.</w:t>
      </w:r>
    </w:p>
    <w:p w14:paraId="7F54FB9F" w14:textId="77777777" w:rsidR="00132062" w:rsidRPr="00F644BA" w:rsidRDefault="00132062" w:rsidP="003B4800">
      <w:pPr>
        <w:pStyle w:val="Headingb"/>
        <w:rPr>
          <w:rFonts w:eastAsiaTheme="minorEastAsia"/>
          <w:lang w:val="ru-RU" w:eastAsia="zh-CN"/>
        </w:rPr>
      </w:pPr>
      <w:r w:rsidRPr="00F644BA">
        <w:rPr>
          <w:rFonts w:eastAsiaTheme="minorEastAsia"/>
          <w:lang w:val="ru-RU" w:eastAsia="zh-CN"/>
        </w:rPr>
        <w:t>Решение проблемы выбросов и электронных отходов</w:t>
      </w:r>
    </w:p>
    <w:p w14:paraId="7A4609A1" w14:textId="126B629B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возглавляет деятельность по обеспечению экологической устойчивости, уделяя основное внимание построению циркуляционной экономики для решения проблемы электронных отходов и борьбе с изменением климата с помощью цифровых решений, а также уменьшения углеродного следа. В стандартах МСЭ, касающихся климата, делается акцент на измерении, энергоэффективности и развитии циркуляционной экономики при содействии мониторингу прогресса в области достижения чистого нулевого уровня выбросов. Был утвержден ключевой стандарт </w:t>
      </w:r>
      <w:r w:rsidR="00D6403C">
        <w:rPr>
          <w:lang w:val="ru-RU"/>
        </w:rPr>
        <w:t>Г</w:t>
      </w:r>
      <w:r w:rsidRPr="00F644BA">
        <w:rPr>
          <w:lang w:val="ru-RU"/>
        </w:rPr>
        <w:t>лобального паспорта устойчивой цифровой продукции</w:t>
      </w:r>
      <w:r w:rsidR="00D6403C">
        <w:rPr>
          <w:lang w:val="ru-RU"/>
        </w:rPr>
        <w:t>, который обеспечивает поддержку возможностей</w:t>
      </w:r>
      <w:r w:rsidRPr="00F644BA">
        <w:rPr>
          <w:lang w:val="ru-RU"/>
        </w:rPr>
        <w:t xml:space="preserve"> в плане достижения циркуляционной экономики</w:t>
      </w:r>
      <w:r w:rsidR="00D6403C">
        <w:rPr>
          <w:lang w:val="ru-RU"/>
        </w:rPr>
        <w:t xml:space="preserve"> и</w:t>
      </w:r>
      <w:r w:rsidRPr="00F644BA">
        <w:rPr>
          <w:lang w:val="ru-RU"/>
        </w:rPr>
        <w:t>, осуществляется дальнейшая работа.</w:t>
      </w:r>
    </w:p>
    <w:p w14:paraId="6BEC63E4" w14:textId="28F8D138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осуществляет соответствующий мониторинг и показывает цифровым компаниям, как снизить выбросы парниковых газов и сделать отрасль лидером в борьбе с изменением климата. Включение сегмента МСЭ "Зеленая цифровая кампания" в климатическую конференцию ООН КС-28 содействовало </w:t>
      </w:r>
      <w:r w:rsidR="00237933">
        <w:rPr>
          <w:lang w:val="ru-RU"/>
        </w:rPr>
        <w:t>принятию компаниями отрасли обязательств</w:t>
      </w:r>
      <w:r w:rsidR="00237933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по сокращению выбросов и регулированию электронных отходов, а также укреплению важности международных стандартов для этого перехода и </w:t>
      </w:r>
      <w:r w:rsidR="0011188A">
        <w:rPr>
          <w:lang w:val="ru-RU"/>
        </w:rPr>
        <w:t xml:space="preserve">формированию </w:t>
      </w:r>
      <w:r w:rsidRPr="00F644BA">
        <w:rPr>
          <w:lang w:val="ru-RU"/>
        </w:rPr>
        <w:t>приверженности Всемирного сотрудничества по стандартам принципам разработки на устойчивой основе в процессе разработки стандартов</w:t>
      </w:r>
      <w:r w:rsidR="0011188A">
        <w:rPr>
          <w:lang w:val="ru-RU"/>
        </w:rPr>
        <w:t>, что станет основной для объединения усилий ИСО, МЭК и МСЭ.</w:t>
      </w:r>
    </w:p>
    <w:p w14:paraId="66C10C26" w14:textId="781FF1EE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Глобальный уровень утилизации электронных отходов в 2022 году достиг 22,3 процента, что ниже целевого показателя 30 процентов. </w:t>
      </w:r>
      <w:r>
        <w:rPr>
          <w:lang w:val="ru-RU"/>
        </w:rPr>
        <w:t>В ч</w:t>
      </w:r>
      <w:r w:rsidRPr="00F644BA">
        <w:rPr>
          <w:lang w:val="ru-RU"/>
        </w:rPr>
        <w:t>етверт</w:t>
      </w:r>
      <w:r>
        <w:rPr>
          <w:lang w:val="ru-RU"/>
        </w:rPr>
        <w:t>ом выпуске</w:t>
      </w:r>
      <w:r w:rsidRPr="00F644BA">
        <w:rPr>
          <w:lang w:val="ru-RU"/>
        </w:rPr>
        <w:t xml:space="preserve"> </w:t>
      </w:r>
      <w:hyperlink r:id="rId20" w:history="1">
        <w:r w:rsidRPr="00F644BA">
          <w:rPr>
            <w:rStyle w:val="Hyperlink"/>
            <w:szCs w:val="24"/>
            <w:lang w:val="ru-RU"/>
          </w:rPr>
          <w:t>Глобальн</w:t>
        </w:r>
        <w:r>
          <w:rPr>
            <w:rStyle w:val="Hyperlink"/>
            <w:szCs w:val="24"/>
            <w:lang w:val="ru-RU"/>
          </w:rPr>
          <w:t>ого</w:t>
        </w:r>
        <w:r w:rsidRPr="00F644BA">
          <w:rPr>
            <w:rStyle w:val="Hyperlink"/>
            <w:szCs w:val="24"/>
            <w:lang w:val="ru-RU"/>
          </w:rPr>
          <w:t xml:space="preserve"> мониторинг</w:t>
        </w:r>
        <w:r>
          <w:rPr>
            <w:rStyle w:val="Hyperlink"/>
            <w:szCs w:val="24"/>
            <w:lang w:val="ru-RU"/>
          </w:rPr>
          <w:t>а</w:t>
        </w:r>
        <w:r w:rsidRPr="00F644BA">
          <w:rPr>
            <w:rStyle w:val="Hyperlink"/>
            <w:szCs w:val="24"/>
            <w:lang w:val="ru-RU"/>
          </w:rPr>
          <w:t xml:space="preserve"> электронных отходов (GEM)</w:t>
        </w:r>
      </w:hyperlink>
      <w:r w:rsidRPr="00F644BA">
        <w:rPr>
          <w:lang w:val="ru-RU"/>
        </w:rPr>
        <w:t xml:space="preserve"> ООН прогнозирует</w:t>
      </w:r>
      <w:r>
        <w:rPr>
          <w:lang w:val="ru-RU"/>
        </w:rPr>
        <w:t>ся</w:t>
      </w:r>
      <w:r w:rsidRPr="00F644BA">
        <w:rPr>
          <w:lang w:val="ru-RU"/>
        </w:rPr>
        <w:t xml:space="preserve"> снижение документированного показателя сбора и переработки с 22,3 процента в 2022 году до 20</w:t>
      </w:r>
      <w:r>
        <w:rPr>
          <w:lang w:val="ru-RU"/>
        </w:rPr>
        <w:t> </w:t>
      </w:r>
      <w:r w:rsidRPr="00F644BA">
        <w:rPr>
          <w:lang w:val="ru-RU"/>
        </w:rPr>
        <w:t xml:space="preserve">процентов к 2030 году из-за растущей разницы в усилиях по переработке по сравнению с ошеломляющим ростом производства электронных отходов во всем мире. Политика в области управления электронными отходами была принята в 81 стране, что приближается к цели </w:t>
      </w:r>
      <w:r w:rsidR="00750181" w:rsidRPr="00750181">
        <w:rPr>
          <w:lang w:val="ru-RU"/>
        </w:rPr>
        <w:t>−</w:t>
      </w:r>
      <w:r w:rsidRPr="00F644BA">
        <w:rPr>
          <w:lang w:val="ru-RU"/>
        </w:rPr>
        <w:t xml:space="preserve"> 97 стран. Вместе с тем, если говорить о целевом показателе снижения выбросов </w:t>
      </w:r>
      <w:r>
        <w:rPr>
          <w:lang w:val="ru-RU"/>
        </w:rPr>
        <w:t>парниковых газов</w:t>
      </w:r>
      <w:r w:rsidRPr="00F644BA">
        <w:rPr>
          <w:lang w:val="ru-RU"/>
        </w:rPr>
        <w:t>, выбросы оборудования электросвязи оставались стабильными на уровне 133 м</w:t>
      </w:r>
      <w:r>
        <w:rPr>
          <w:lang w:val="ru-RU"/>
        </w:rPr>
        <w:t xml:space="preserve">лн. </w:t>
      </w:r>
      <w:r w:rsidRPr="00F644BA">
        <w:rPr>
          <w:lang w:val="ru-RU"/>
        </w:rPr>
        <w:t>т</w:t>
      </w:r>
      <w:r>
        <w:rPr>
          <w:lang w:val="ru-RU"/>
        </w:rPr>
        <w:t>онн</w:t>
      </w:r>
      <w:r w:rsidRPr="00F644BA">
        <w:rPr>
          <w:lang w:val="ru-RU"/>
        </w:rPr>
        <w:t xml:space="preserve"> СО2.</w:t>
      </w:r>
    </w:p>
    <w:p w14:paraId="3188F7B0" w14:textId="77777777" w:rsidR="00132062" w:rsidRPr="00F644BA" w:rsidRDefault="00132062" w:rsidP="00132062">
      <w:pPr>
        <w:pStyle w:val="Headingb"/>
        <w:rPr>
          <w:lang w:val="ru-RU"/>
        </w:rPr>
      </w:pPr>
      <w:r w:rsidRPr="00F644BA">
        <w:rPr>
          <w:lang w:val="ru-RU"/>
        </w:rPr>
        <w:t>Глобальное участие и воздействие</w:t>
      </w:r>
    </w:p>
    <w:p w14:paraId="6E92DD19" w14:textId="77777777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Стратегические партнерства МСЭ стимулируют прогресс в достижении целей в области устойчивого развития (ЦУР). МСЭ возглавляет инициативу "ИИ во благо", масштабируя решения ИИ для достижения ЦУР. </w:t>
      </w:r>
    </w:p>
    <w:p w14:paraId="1338F0D6" w14:textId="77777777" w:rsidR="00132062" w:rsidRPr="00F644BA" w:rsidRDefault="00132062" w:rsidP="00132062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использует свои стандарты для интернета вещей (IoT), цифровых </w:t>
      </w:r>
      <w:r>
        <w:rPr>
          <w:lang w:val="ru-RU"/>
        </w:rPr>
        <w:t>двойников</w:t>
      </w:r>
      <w:r w:rsidRPr="00F644BA">
        <w:rPr>
          <w:lang w:val="ru-RU"/>
        </w:rPr>
        <w:t xml:space="preserve"> и ИИ, чтобы содействовать устойчивому цифровому развитию, особенно в отношении роста "умных" устойчивых городов во всем мире. Более 150 городов приняли ключевые показатели эффективности в рамках инициативы "Объединение усилий в целях построения "умных" устойчивых городов" (U4SSC), демонстрируя результаты в отчетах и исследованиях конкретных ситуаций, содействуют устойчивой урбанизации.</w:t>
      </w:r>
    </w:p>
    <w:p w14:paraId="0A7BF2D3" w14:textId="77777777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lastRenderedPageBreak/>
        <w:t>Комиссия по широкополосной связи в интересах устойчивого развития, созданная и поддерживаемая МСЭ и Организацией Объединенных Наций по вопросам образования, науки и культуры (ЮНЕСКО), привлекла более 100 партнеров благодаря выпуску ключевых публикаций и проведению информационно-пропагандистских мероприятий.</w:t>
      </w:r>
    </w:p>
    <w:p w14:paraId="501F3B27" w14:textId="30B86E50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МСЭ активно развивает партнерские отношения с различными учреждениями ООН, включая Всемирную метеорологическую организацию (ВМО), Программу ООН по окружающей среде (ЮНЕП), Продовольственную и сельскохозяйственную организацию ООН (ФАО) и Всемирную организацию здравоохранения (ВОЗ), в рамках таких инициатив, как ИИ для управления операциями в случае стихийных бедствий и цифрового сельского хозяйства, а также </w:t>
      </w:r>
      <w:r w:rsidR="0011188A">
        <w:rPr>
          <w:lang w:val="ru-RU"/>
        </w:rPr>
        <w:t>ц</w:t>
      </w:r>
      <w:r w:rsidRPr="00F644BA">
        <w:rPr>
          <w:lang w:val="ru-RU"/>
        </w:rPr>
        <w:t xml:space="preserve">ифровизация в интересах </w:t>
      </w:r>
      <w:r w:rsidR="0011188A">
        <w:rPr>
          <w:lang w:val="ru-RU"/>
        </w:rPr>
        <w:t xml:space="preserve">развития </w:t>
      </w:r>
      <w:r w:rsidRPr="00F644BA">
        <w:rPr>
          <w:lang w:val="ru-RU"/>
        </w:rPr>
        <w:t xml:space="preserve">циркуляционной экономики. Следует также отметить </w:t>
      </w:r>
      <w:r>
        <w:rPr>
          <w:lang w:val="ru-RU"/>
        </w:rPr>
        <w:t xml:space="preserve">комплект материалов </w:t>
      </w:r>
      <w:r w:rsidRPr="00F644BA">
        <w:rPr>
          <w:lang w:val="ru-RU"/>
        </w:rPr>
        <w:t>МСЭ для оценки устойчивости с точки зрения кибербезопасности для цифровых финансов, принятый организациями электросвязи Восточной Африки и юга Африки.</w:t>
      </w:r>
    </w:p>
    <w:p w14:paraId="592D3157" w14:textId="6CF06E61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Разнообразная деятельность МСЭ отражает его приверженность обеспечению возможности установления соединений в глобальном масштабе, устойчивости и цифровой трансформации. Собрания высокого уровня, такие как Форум ВВУИО (на протяжении 20 лет развивающий направления деятельности Всемирной встречи на высшем уровне по вопросам информационного общества) и </w:t>
      </w:r>
      <w:r w:rsidR="00173C57">
        <w:rPr>
          <w:lang w:val="ru-RU"/>
        </w:rPr>
        <w:t>целый ряд</w:t>
      </w:r>
      <w:r w:rsidR="00173C57" w:rsidRPr="00F644BA">
        <w:rPr>
          <w:lang w:val="ru-RU"/>
        </w:rPr>
        <w:t xml:space="preserve"> </w:t>
      </w:r>
      <w:r w:rsidRPr="00F644BA">
        <w:rPr>
          <w:lang w:val="ru-RU"/>
        </w:rPr>
        <w:t>углубленны</w:t>
      </w:r>
      <w:r w:rsidR="00173C57">
        <w:rPr>
          <w:lang w:val="ru-RU"/>
        </w:rPr>
        <w:t>х</w:t>
      </w:r>
      <w:r w:rsidRPr="00F644BA">
        <w:rPr>
          <w:lang w:val="ru-RU"/>
        </w:rPr>
        <w:t xml:space="preserve"> семинар</w:t>
      </w:r>
      <w:r w:rsidR="00173C57">
        <w:rPr>
          <w:lang w:val="ru-RU"/>
        </w:rPr>
        <w:t>ов</w:t>
      </w:r>
      <w:r w:rsidRPr="00F644BA">
        <w:rPr>
          <w:lang w:val="ru-RU"/>
        </w:rPr>
        <w:t>, проводимы</w:t>
      </w:r>
      <w:r w:rsidR="00173C57">
        <w:rPr>
          <w:lang w:val="ru-RU"/>
        </w:rPr>
        <w:t>х</w:t>
      </w:r>
      <w:r w:rsidRPr="00F644BA">
        <w:rPr>
          <w:lang w:val="ru-RU"/>
        </w:rPr>
        <w:t xml:space="preserve"> под руководством МСЭ, </w:t>
      </w:r>
      <w:r w:rsidR="00173C57">
        <w:rPr>
          <w:lang w:val="ru-RU"/>
        </w:rPr>
        <w:t>продолжают способствовать</w:t>
      </w:r>
      <w:r w:rsidR="00173C57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сотрудничеству и рассмотрению возникающих тенденций. </w:t>
      </w:r>
    </w:p>
    <w:p w14:paraId="35CABF35" w14:textId="76AB9F4F" w:rsidR="00132062" w:rsidRPr="00F644BA" w:rsidRDefault="00132062" w:rsidP="00132062">
      <w:pPr>
        <w:rPr>
          <w:rFonts w:cstheme="minorHAnsi"/>
          <w:color w:val="0D0D0D"/>
          <w:shd w:val="clear" w:color="auto" w:fill="FFFFFF"/>
          <w:lang w:val="ru-RU"/>
        </w:rPr>
      </w:pPr>
      <w:r w:rsidRPr="00F644BA">
        <w:rPr>
          <w:lang w:val="ru-RU"/>
        </w:rPr>
        <w:t xml:space="preserve">Всемирное сотрудничество по стандартам, объединяющее МСЭ вместе с другими ключевыми органами по разработке стандартов, </w:t>
      </w:r>
      <w:r w:rsidR="00173C57">
        <w:rPr>
          <w:lang w:val="ru-RU"/>
        </w:rPr>
        <w:t>в частности ИСО и МЭК, активно работают над тем, чтобы развивать разработку</w:t>
      </w:r>
      <w:r w:rsidRPr="00F644BA">
        <w:rPr>
          <w:lang w:val="ru-RU"/>
        </w:rPr>
        <w:t xml:space="preserve"> устойчивых международных стандартов. </w:t>
      </w:r>
      <w:r w:rsidR="00173C57">
        <w:rPr>
          <w:lang w:val="ru-RU"/>
        </w:rPr>
        <w:t>Ж</w:t>
      </w:r>
      <w:r w:rsidRPr="00F644BA">
        <w:rPr>
          <w:lang w:val="ru-RU"/>
        </w:rPr>
        <w:t xml:space="preserve">урнал МСЭ "Будущие и </w:t>
      </w:r>
      <w:r w:rsidR="00E74F12">
        <w:rPr>
          <w:lang w:val="ru-RU"/>
        </w:rPr>
        <w:t>развивающиеся</w:t>
      </w:r>
      <w:r w:rsidRPr="00F644BA">
        <w:rPr>
          <w:lang w:val="ru-RU"/>
        </w:rPr>
        <w:t xml:space="preserve"> технологии" </w:t>
      </w:r>
      <w:r w:rsidR="00173C57">
        <w:rPr>
          <w:lang w:val="ru-RU"/>
        </w:rPr>
        <w:t xml:space="preserve">продолжает </w:t>
      </w:r>
      <w:r w:rsidRPr="00F644BA">
        <w:rPr>
          <w:lang w:val="ru-RU"/>
        </w:rPr>
        <w:t>проводит</w:t>
      </w:r>
      <w:r w:rsidR="00173C57">
        <w:rPr>
          <w:lang w:val="ru-RU"/>
        </w:rPr>
        <w:t>ь</w:t>
      </w:r>
      <w:r w:rsidRPr="00F644BA">
        <w:rPr>
          <w:lang w:val="ru-RU"/>
        </w:rPr>
        <w:t xml:space="preserve"> обзор инноваций в технологиях и сетях</w:t>
      </w:r>
      <w:r w:rsidR="00173C57">
        <w:rPr>
          <w:lang w:val="ru-RU"/>
        </w:rPr>
        <w:t xml:space="preserve"> </w:t>
      </w:r>
      <w:r w:rsidR="00173C57" w:rsidRPr="00173C57">
        <w:rPr>
          <w:lang w:val="ru-RU"/>
        </w:rPr>
        <w:t>с помощью новых исследований, широко поддерживающих работу МСЭ по технической стандартизации</w:t>
      </w:r>
      <w:r w:rsidRPr="00F644BA">
        <w:rPr>
          <w:lang w:val="ru-RU"/>
        </w:rPr>
        <w:t xml:space="preserve">. </w:t>
      </w:r>
    </w:p>
    <w:p w14:paraId="3E161D9C" w14:textId="77777777" w:rsidR="00132062" w:rsidRPr="00F644BA" w:rsidRDefault="00132062" w:rsidP="00132062">
      <w:pPr>
        <w:pStyle w:val="Headingb"/>
        <w:rPr>
          <w:lang w:val="ru-RU"/>
        </w:rPr>
      </w:pPr>
      <w:r w:rsidRPr="00F644BA">
        <w:rPr>
          <w:lang w:val="ru-RU"/>
        </w:rPr>
        <w:t>Всемирная конференция радиосвязи</w:t>
      </w:r>
    </w:p>
    <w:p w14:paraId="717ABCD7" w14:textId="4E7E4627" w:rsidR="00132062" w:rsidRPr="00F644BA" w:rsidRDefault="00132062" w:rsidP="00132062">
      <w:pPr>
        <w:rPr>
          <w:rFonts w:asciiTheme="minorHAnsi" w:eastAsiaTheme="minorEastAsia" w:hAnsiTheme="minorHAnsi" w:cstheme="minorHAnsi"/>
          <w:color w:val="0D0D0D"/>
          <w:kern w:val="2"/>
          <w:shd w:val="clear" w:color="auto" w:fill="FFFFFF"/>
          <w:lang w:val="ru-RU"/>
          <w14:ligatures w14:val="standardContextual"/>
        </w:rPr>
      </w:pPr>
      <w:r w:rsidRPr="00F644BA">
        <w:rPr>
          <w:lang w:val="ru-RU"/>
        </w:rPr>
        <w:t>Всемирная конференция радиосвязи (ВКР-23) достигла значительных результатов. К ним относятся дополнительный спектр для широкополосной связи, модернизация ГМССБ, положения, касающиеся цифровизации частот воздушной службы, регламентарные положения для спутниковых служб, поддержка научных служб, а также Резолюция, поддерживающая использование спектра Палестиной. На ВКР-23 присутствовало 3982</w:t>
      </w:r>
      <w:r>
        <w:rPr>
          <w:lang w:val="ru-RU"/>
        </w:rPr>
        <w:t> </w:t>
      </w:r>
      <w:r w:rsidRPr="00F644BA">
        <w:rPr>
          <w:lang w:val="ru-RU"/>
        </w:rPr>
        <w:t>участника из 163</w:t>
      </w:r>
      <w:r w:rsidR="00915036">
        <w:t> </w:t>
      </w:r>
      <w:r w:rsidRPr="00F644BA">
        <w:rPr>
          <w:lang w:val="ru-RU"/>
        </w:rPr>
        <w:t>Государств-Членов и 151 организации-наблюдателя.</w:t>
      </w:r>
    </w:p>
    <w:p w14:paraId="0CAB75C6" w14:textId="77777777" w:rsidR="00132062" w:rsidRPr="00F644BA" w:rsidRDefault="00132062" w:rsidP="003B4800">
      <w:pPr>
        <w:spacing w:after="120"/>
        <w:rPr>
          <w:lang w:val="ru-RU"/>
        </w:rPr>
      </w:pPr>
      <w:r w:rsidRPr="00F644BA">
        <w:rPr>
          <w:lang w:val="ru-RU"/>
        </w:rPr>
        <w:t xml:space="preserve">Предшествующая </w:t>
      </w:r>
      <w:r>
        <w:rPr>
          <w:lang w:val="ru-RU"/>
        </w:rPr>
        <w:t xml:space="preserve">ей </w:t>
      </w:r>
      <w:r w:rsidRPr="00F644BA">
        <w:rPr>
          <w:lang w:val="ru-RU"/>
        </w:rPr>
        <w:t xml:space="preserve">АР-23 </w:t>
      </w:r>
      <w:r>
        <w:rPr>
          <w:lang w:val="ru-RU"/>
        </w:rPr>
        <w:t xml:space="preserve">определила </w:t>
      </w:r>
      <w:r w:rsidRPr="00F644BA">
        <w:rPr>
          <w:lang w:val="ru-RU"/>
        </w:rPr>
        <w:t>программы будущей работы для МСЭ-R, пересмотрела Резолюции, утвердила Рекомендации и содействовала обеспечению гендерного равенства и устойчивому использованию спектра.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E05B4" w:rsidRPr="00177CCD" w14:paraId="3C462C9A" w14:textId="77777777" w:rsidTr="00A8283F">
        <w:trPr>
          <w:cantSplit/>
        </w:trPr>
        <w:tc>
          <w:tcPr>
            <w:tcW w:w="9061" w:type="dxa"/>
          </w:tcPr>
          <w:p w14:paraId="6C91F745" w14:textId="77777777" w:rsidR="002E05B4" w:rsidRPr="000820FB" w:rsidRDefault="002E05B4" w:rsidP="000820FB">
            <w:pPr>
              <w:jc w:val="center"/>
              <w:rPr>
                <w:b/>
                <w:bCs/>
                <w:lang w:val="ru-RU"/>
              </w:rPr>
            </w:pPr>
            <w:r w:rsidRPr="000820FB">
              <w:rPr>
                <w:b/>
                <w:bCs/>
                <w:lang w:val="ru-RU"/>
              </w:rPr>
              <w:t>Пример воздействия</w:t>
            </w:r>
          </w:p>
          <w:p w14:paraId="36C80768" w14:textId="77777777" w:rsidR="002E05B4" w:rsidRPr="00F644BA" w:rsidRDefault="002E05B4" w:rsidP="002E05B4">
            <w:pPr>
              <w:pStyle w:val="Headingb"/>
              <w:rPr>
                <w:lang w:val="ru-RU"/>
              </w:rPr>
            </w:pPr>
            <w:r w:rsidRPr="00F644BA">
              <w:rPr>
                <w:lang w:val="ru-RU"/>
              </w:rPr>
              <w:t xml:space="preserve">Премия "Эмми" за </w:t>
            </w:r>
            <w:r w:rsidRPr="00F644BA">
              <w:rPr>
                <w:lang w:eastAsia="zh-CN"/>
              </w:rPr>
              <w:t>HDR</w:t>
            </w:r>
            <w:r w:rsidRPr="00F644BA">
              <w:rPr>
                <w:lang w:val="ru-RU" w:eastAsia="zh-CN"/>
              </w:rPr>
              <w:t>-</w:t>
            </w:r>
            <w:r w:rsidRPr="00F644BA">
              <w:rPr>
                <w:lang w:eastAsia="zh-CN"/>
              </w:rPr>
              <w:t>TV</w:t>
            </w:r>
          </w:p>
          <w:p w14:paraId="32D0E5A4" w14:textId="4EA64AA1" w:rsidR="002E05B4" w:rsidRPr="00F644BA" w:rsidRDefault="002E05B4" w:rsidP="002E05B4">
            <w:pPr>
              <w:rPr>
                <w:lang w:val="ru-RU"/>
              </w:rPr>
            </w:pPr>
            <w:r w:rsidRPr="00F644BA">
              <w:rPr>
                <w:lang w:val="ru-RU"/>
              </w:rPr>
              <w:t>Телевидение большого динамического диапазона (HDR-TV) произвело революцию в телевизионном производстве и радиовещании, затронув всю цепочку обработки изображения – от методов съемки, постпроизводства и цветокоррекции до трансляции на телевизионных устройствах с поддержкой HDR. В 2023 году Рекомендация Сектора радиосвязи МСЭ, описывающая эти инновации (</w:t>
            </w:r>
            <w:hyperlink r:id="rId21" w:history="1">
              <w:r w:rsidRPr="00472567">
                <w:rPr>
                  <w:rStyle w:val="Hyperlink"/>
                  <w:lang w:val="ru-RU"/>
                </w:rPr>
                <w:t>МСЭ-R BT.2100</w:t>
              </w:r>
            </w:hyperlink>
            <w:r w:rsidRPr="00F644BA">
              <w:rPr>
                <w:lang w:val="ru-RU"/>
              </w:rPr>
              <w:t>), впервые опубликованная в 2016 году, была удостоена премии "Эмми". Вместе с премией "Эмми" в области инженерного творчества, науки и техники 2023</w:t>
            </w:r>
            <w:r>
              <w:rPr>
                <w:lang w:val="ru-RU"/>
              </w:rPr>
              <w:t> </w:t>
            </w:r>
            <w:r w:rsidRPr="00F644BA">
              <w:rPr>
                <w:lang w:val="ru-RU"/>
              </w:rPr>
              <w:t>года в общей сложности МСЭ получил шесть наград "Эмми".</w:t>
            </w:r>
          </w:p>
          <w:p w14:paraId="37D33287" w14:textId="13069BA6" w:rsidR="002E05B4" w:rsidRPr="00132062" w:rsidRDefault="00177CCD" w:rsidP="002E05B4">
            <w:pPr>
              <w:spacing w:after="120"/>
              <w:rPr>
                <w:szCs w:val="24"/>
                <w:lang w:val="ru-RU"/>
              </w:rPr>
            </w:pPr>
            <w:hyperlink r:id="rId22" w:history="1">
              <w:r w:rsidR="002E05B4" w:rsidRPr="00F644BA">
                <w:rPr>
                  <w:rStyle w:val="Hyperlink"/>
                  <w:rFonts w:asciiTheme="minorHAnsi" w:eastAsiaTheme="minorEastAsia" w:hAnsiTheme="minorHAnsi" w:cstheme="minorHAnsi"/>
                  <w:kern w:val="2"/>
                  <w:szCs w:val="24"/>
                  <w:lang w:val="ru-RU"/>
                  <w14:ligatures w14:val="standardContextual"/>
                </w:rPr>
                <w:t>Узнать больше о процессе исследований МСЭ-R в области HDR-TV</w:t>
              </w:r>
            </w:hyperlink>
            <w:r w:rsidR="002E05B4" w:rsidRPr="00F644BA">
              <w:rPr>
                <w:rFonts w:asciiTheme="minorHAnsi" w:eastAsiaTheme="minorEastAsia" w:hAnsiTheme="minorHAnsi" w:cstheme="minorHAnsi"/>
                <w:kern w:val="2"/>
                <w:szCs w:val="24"/>
                <w:lang w:val="ru-RU"/>
                <w14:ligatures w14:val="standardContextual"/>
              </w:rPr>
              <w:t>.</w:t>
            </w:r>
          </w:p>
        </w:tc>
      </w:tr>
    </w:tbl>
    <w:p w14:paraId="32609B78" w14:textId="77777777" w:rsidR="002E05B4" w:rsidRPr="00F644BA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lastRenderedPageBreak/>
        <w:t>Организационная эффективность</w:t>
      </w:r>
    </w:p>
    <w:p w14:paraId="3F3926C2" w14:textId="71CF9FCD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проходит процесс существенной трансформации в целях повышения эффективности, наращивания инноваций и </w:t>
      </w:r>
      <w:r>
        <w:rPr>
          <w:lang w:val="ru-RU"/>
        </w:rPr>
        <w:t>открытости</w:t>
      </w:r>
      <w:r w:rsidRPr="00F644BA">
        <w:rPr>
          <w:lang w:val="ru-RU"/>
        </w:rPr>
        <w:t xml:space="preserve"> своей деятельности. Комплексная дорожная карта трансформации, утвержденная Советом МСЭ, включает создание Группы по трансформации. </w:t>
      </w:r>
    </w:p>
    <w:p w14:paraId="0E90A3FE" w14:textId="3CED6B8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Организация способствует изменению внутренней культуры, при этом каждый восьмой сотрудник обучается по программе "Носители перемен". Учебные лаборатории предлагают персоналу получить практический опыт работы с появляющимися технологиями, </w:t>
      </w:r>
      <w:r>
        <w:rPr>
          <w:lang w:val="ru-RU"/>
        </w:rPr>
        <w:t xml:space="preserve">например в сфере </w:t>
      </w:r>
      <w:r w:rsidR="00173C57">
        <w:rPr>
          <w:lang w:val="ru-RU"/>
        </w:rPr>
        <w:t>квантовых технологий и ИИ</w:t>
      </w:r>
      <w:r w:rsidRPr="00F644BA">
        <w:rPr>
          <w:lang w:val="ru-RU"/>
        </w:rPr>
        <w:t xml:space="preserve">. Регулярные общие собрания способствуют развитию взаимодействия и открытой коммуникации с руководством. Создание Молодежного консультативного комитета МСЭ требует новых взглядов на возможность установления соединений в глобальном масштабе. </w:t>
      </w:r>
    </w:p>
    <w:p w14:paraId="5DEFEDA3" w14:textId="4D259D31" w:rsidR="002E05B4" w:rsidRDefault="002E05B4" w:rsidP="002E05B4">
      <w:pPr>
        <w:rPr>
          <w:lang w:val="ru-RU"/>
        </w:rPr>
      </w:pPr>
      <w:r w:rsidRPr="00F644BA">
        <w:rPr>
          <w:lang w:val="ru-RU"/>
        </w:rPr>
        <w:t xml:space="preserve">На собраниях Совета основное внимание уделяется руководству в ходе трансформации, а на брифингах дипломаты получают информацию об инициативах МСЭ. </w:t>
      </w:r>
      <w:r w:rsidR="0011188A">
        <w:rPr>
          <w:lang w:val="ru-RU"/>
        </w:rPr>
        <w:t>Серия</w:t>
      </w:r>
      <w:r w:rsidR="00173C57" w:rsidRPr="00173C57">
        <w:rPr>
          <w:lang w:val="ru-RU"/>
        </w:rPr>
        <w:t xml:space="preserve"> </w:t>
      </w:r>
      <w:r w:rsidR="0011188A" w:rsidRPr="00F644BA">
        <w:rPr>
          <w:lang w:val="ru-RU"/>
        </w:rPr>
        <w:t>"</w:t>
      </w:r>
      <w:r w:rsidR="0011188A">
        <w:rPr>
          <w:lang w:val="ru-RU"/>
        </w:rPr>
        <w:t>Раскрытие тайн цифровых технологий</w:t>
      </w:r>
      <w:r w:rsidR="0011188A" w:rsidRPr="00F644BA">
        <w:rPr>
          <w:lang w:val="ru-RU"/>
        </w:rPr>
        <w:t>"</w:t>
      </w:r>
      <w:r w:rsidR="0011188A">
        <w:rPr>
          <w:lang w:val="ru-RU"/>
        </w:rPr>
        <w:t xml:space="preserve"> </w:t>
      </w:r>
      <w:r w:rsidR="00173C57" w:rsidRPr="00173C57">
        <w:rPr>
          <w:lang w:val="ru-RU"/>
        </w:rPr>
        <w:t xml:space="preserve">призвана объяснить </w:t>
      </w:r>
      <w:r w:rsidR="0011188A">
        <w:rPr>
          <w:lang w:val="ru-RU"/>
        </w:rPr>
        <w:t xml:space="preserve">суть </w:t>
      </w:r>
      <w:r w:rsidR="00173C57" w:rsidRPr="00173C57">
        <w:rPr>
          <w:lang w:val="ru-RU"/>
        </w:rPr>
        <w:t>ключевы</w:t>
      </w:r>
      <w:r w:rsidR="0011188A">
        <w:rPr>
          <w:lang w:val="ru-RU"/>
        </w:rPr>
        <w:t>х</w:t>
      </w:r>
      <w:r w:rsidR="00173C57" w:rsidRPr="00173C57">
        <w:rPr>
          <w:lang w:val="ru-RU"/>
        </w:rPr>
        <w:t xml:space="preserve"> технологи</w:t>
      </w:r>
      <w:r w:rsidR="0011188A">
        <w:rPr>
          <w:lang w:val="ru-RU"/>
        </w:rPr>
        <w:t>й</w:t>
      </w:r>
      <w:r w:rsidR="00173C57" w:rsidRPr="00173C57">
        <w:rPr>
          <w:lang w:val="ru-RU"/>
        </w:rPr>
        <w:t xml:space="preserve"> и процесс</w:t>
      </w:r>
      <w:r w:rsidR="0011188A">
        <w:rPr>
          <w:lang w:val="ru-RU"/>
        </w:rPr>
        <w:t>ов</w:t>
      </w:r>
      <w:r w:rsidR="00173C57" w:rsidRPr="00173C57">
        <w:rPr>
          <w:lang w:val="ru-RU"/>
        </w:rPr>
        <w:t xml:space="preserve"> технического сотрудничества преимущественно нетехнической аудитории. </w:t>
      </w:r>
      <w:r w:rsidR="008542B1">
        <w:rPr>
          <w:lang w:val="ru-RU"/>
        </w:rPr>
        <w:t>Эта серия</w:t>
      </w:r>
      <w:r w:rsidR="00173C57" w:rsidRPr="00173C57">
        <w:rPr>
          <w:lang w:val="ru-RU"/>
        </w:rPr>
        <w:t xml:space="preserve"> объединяет сотрудников и экспертов МСЭ с представителями дипломатического сообщества, способствуя лучшему пониманию возникающих тенденций и стимулируя дискуссии об их потенциальном влиянии.</w:t>
      </w:r>
      <w:r w:rsidRPr="00F644BA">
        <w:rPr>
          <w:lang w:val="ru-RU"/>
        </w:rPr>
        <w:t xml:space="preserve"> Кроме того, имеющийся </w:t>
      </w:r>
      <w:r>
        <w:rPr>
          <w:lang w:val="ru-RU"/>
        </w:rPr>
        <w:t>комплект материалов</w:t>
      </w:r>
      <w:r w:rsidRPr="00F644BA">
        <w:rPr>
          <w:lang w:val="ru-RU"/>
        </w:rPr>
        <w:t xml:space="preserve"> помогает вновь назначенным дипломатам ориентироваться в деятельности МСЭ. </w:t>
      </w:r>
    </w:p>
    <w:p w14:paraId="38D116E4" w14:textId="63618499" w:rsidR="008542B1" w:rsidRPr="00F644BA" w:rsidRDefault="008542B1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Новая стратегия мобилизации ресурсов направлена на расширение финансирования с помощью партнерских отношений</w:t>
      </w:r>
      <w:r>
        <w:rPr>
          <w:lang w:val="ru-RU"/>
        </w:rPr>
        <w:t>.</w:t>
      </w:r>
    </w:p>
    <w:p w14:paraId="02D2AEDE" w14:textId="77777777" w:rsidR="00F57C47" w:rsidRPr="00964D8D" w:rsidRDefault="002E05B4" w:rsidP="002E05B4">
      <w:pPr>
        <w:rPr>
          <w:lang w:val="ru-RU"/>
        </w:rPr>
      </w:pPr>
      <w:r w:rsidRPr="00F644BA">
        <w:rPr>
          <w:lang w:val="ru-RU"/>
        </w:rPr>
        <w:t xml:space="preserve">МСЭ продолжает разрабатывать и внедрять Систему экологического менеджмента в целях постоянного снижения своего экологического следа от операционной деятельности. Согласно отчету "Экологизация под флагом ООН" 2023 года, выбросы CO2 МСЭ выросли с 1674 тонн в 2021 году до 1969 тонн в 2022 году. Это произошло в первую очередь из-за увеличения официальных поездок после прекращения пандемии Covid-19. </w:t>
      </w:r>
    </w:p>
    <w:p w14:paraId="587C600D" w14:textId="00421956" w:rsidR="002E05B4" w:rsidRPr="00F644BA" w:rsidRDefault="002E05B4" w:rsidP="002E05B4">
      <w:pPr>
        <w:rPr>
          <w:lang w:val="ru-RU"/>
        </w:rPr>
      </w:pPr>
      <w:r w:rsidRPr="00F644BA">
        <w:rPr>
          <w:lang w:val="ru-RU"/>
        </w:rPr>
        <w:t>Планы по модернизации штаб-квартиры в Женеве отражают продолжающуюся организационную эволюцию МСЭ, готовность к будущему и неизменную приверженность устойчивой цифровой трансформации.</w:t>
      </w:r>
    </w:p>
    <w:p w14:paraId="367DCAC2" w14:textId="77777777" w:rsidR="002E05B4" w:rsidRPr="00F644BA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>А вы с нами?</w:t>
      </w:r>
    </w:p>
    <w:p w14:paraId="12D84DDE" w14:textId="7777777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МСЭ вступает в захватывающий период и играет ключевую роль в принятии глобальных решений, которые будут иметь решающее значение для будущего человечества и нашей планеты. Предстоящий Саммит будущего ООН, который состоится в сентябре 2024 года, включает важный цифровой компонент, предусматривающий обсуждения, направленные на обеспечение первого Глобального цифрового договора. Широкий спектр видов деятельности МСЭ и четкая стратегическая направленность делают его одним из основных участников этих процессов. </w:t>
      </w:r>
    </w:p>
    <w:p w14:paraId="0F300BE0" w14:textId="7777777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Следующая предусмотренная Уставом МСЭ конференция – Всемирная ассамблея по стандартизации электросвязи (ВАСЭ-24) – состоится с 15 по 24 октября 2024 года в Нью-Дели, Индия. Мероприятие станет ключевым моментом для содействия разработке инклюзивных стандартов в соответствии с </w:t>
      </w:r>
      <w:r>
        <w:rPr>
          <w:lang w:val="ru-RU"/>
        </w:rPr>
        <w:t xml:space="preserve">принципами </w:t>
      </w:r>
      <w:r w:rsidRPr="00F644BA">
        <w:rPr>
          <w:lang w:val="ru-RU"/>
        </w:rPr>
        <w:t>устойчив</w:t>
      </w:r>
      <w:r>
        <w:rPr>
          <w:lang w:val="ru-RU"/>
        </w:rPr>
        <w:t>ого</w:t>
      </w:r>
      <w:r w:rsidRPr="00F644BA">
        <w:rPr>
          <w:lang w:val="ru-RU"/>
        </w:rPr>
        <w:t xml:space="preserve"> развити</w:t>
      </w:r>
      <w:r>
        <w:rPr>
          <w:lang w:val="ru-RU"/>
        </w:rPr>
        <w:t>я</w:t>
      </w:r>
      <w:r w:rsidRPr="00F644BA">
        <w:rPr>
          <w:lang w:val="ru-RU"/>
        </w:rPr>
        <w:t xml:space="preserve"> и действиями по борьбе с изменением климата. </w:t>
      </w:r>
      <w:r>
        <w:rPr>
          <w:lang w:val="ru-RU"/>
        </w:rPr>
        <w:t>Важным</w:t>
      </w:r>
      <w:r w:rsidRPr="00F644BA">
        <w:rPr>
          <w:lang w:val="ru-RU"/>
        </w:rPr>
        <w:t xml:space="preserve"> </w:t>
      </w:r>
      <w:r>
        <w:rPr>
          <w:lang w:val="ru-RU"/>
        </w:rPr>
        <w:t xml:space="preserve">преимуществом является также </w:t>
      </w:r>
      <w:r w:rsidRPr="00F644BA">
        <w:rPr>
          <w:lang w:val="ru-RU"/>
        </w:rPr>
        <w:t>универсальность и надежность</w:t>
      </w:r>
      <w:r>
        <w:rPr>
          <w:lang w:val="ru-RU"/>
        </w:rPr>
        <w:t xml:space="preserve"> </w:t>
      </w:r>
      <w:r w:rsidRPr="00F644BA">
        <w:rPr>
          <w:lang w:val="ru-RU"/>
        </w:rPr>
        <w:t>стандартов МСЭ,</w:t>
      </w:r>
      <w:r w:rsidRPr="009501E7">
        <w:rPr>
          <w:lang w:val="ru-RU"/>
        </w:rPr>
        <w:t xml:space="preserve"> </w:t>
      </w:r>
      <w:r>
        <w:rPr>
          <w:lang w:val="ru-RU"/>
        </w:rPr>
        <w:t xml:space="preserve">учитывая тот факт, что </w:t>
      </w:r>
      <w:r w:rsidRPr="00F644BA">
        <w:rPr>
          <w:lang w:val="ru-RU"/>
        </w:rPr>
        <w:t>сегмент МСЭ "Зеленая цифровая кампания" будет сохранен на КС-29.</w:t>
      </w:r>
    </w:p>
    <w:p w14:paraId="41445C21" w14:textId="7777777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>Глобальное сообщество МСЭ продолжает искать новых членов и партнеров, верных идее соединить мир, – и не только.</w:t>
      </w:r>
    </w:p>
    <w:p w14:paraId="768F29F6" w14:textId="7777777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lastRenderedPageBreak/>
        <w:t xml:space="preserve">Следующие четыре года, несомненно, будут ознаменованы новыми вызовами, многие из которых пока невозможно прогнозировать. Однако МСЭ как учреждение ООН в области цифровых технологий будет сохранять верность делу подключения всего человечества и формирования лучшего будущего для всех. </w:t>
      </w:r>
    </w:p>
    <w:p w14:paraId="3AE41F93" w14:textId="5FC4E8C0" w:rsidR="002E05B4" w:rsidRPr="00F644BA" w:rsidRDefault="002E05B4" w:rsidP="002E05B4">
      <w:pPr>
        <w:pStyle w:val="Heading1"/>
        <w:rPr>
          <w:rFonts w:asciiTheme="minorHAnsi" w:hAnsiTheme="minorHAnsi" w:cstheme="minorBidi"/>
          <w:lang w:val="ru-RU"/>
        </w:rPr>
      </w:pPr>
      <w:bookmarkStart w:id="19" w:name="_Toc168049876"/>
      <w:bookmarkStart w:id="20" w:name="_Toc168050262"/>
      <w:r w:rsidRPr="002E05B4">
        <w:rPr>
          <w:lang w:val="ru-RU"/>
        </w:rPr>
        <w:t>2</w:t>
      </w:r>
      <w:r w:rsidRPr="002E05B4">
        <w:rPr>
          <w:lang w:val="ru-RU"/>
        </w:rPr>
        <w:tab/>
      </w:r>
      <w:r w:rsidRPr="00F644BA">
        <w:rPr>
          <w:lang w:val="ru-RU"/>
        </w:rPr>
        <w:t>Предусмотренные Уставом глобальные конференции в 2023 году</w:t>
      </w:r>
      <w:bookmarkEnd w:id="19"/>
      <w:bookmarkEnd w:id="20"/>
    </w:p>
    <w:p w14:paraId="5C9C0B4A" w14:textId="77777777" w:rsidR="002E05B4" w:rsidRPr="00F644BA" w:rsidRDefault="002E05B4" w:rsidP="002E05B4">
      <w:pPr>
        <w:pStyle w:val="Heading2"/>
        <w:rPr>
          <w:lang w:val="ru-RU"/>
        </w:rPr>
      </w:pPr>
      <w:bookmarkStart w:id="21" w:name="_Toc165293887"/>
      <w:bookmarkStart w:id="22" w:name="_Toc168049877"/>
      <w:bookmarkStart w:id="23" w:name="_Toc168050263"/>
      <w:r w:rsidRPr="00F644BA">
        <w:rPr>
          <w:lang w:val="ru-RU"/>
        </w:rPr>
        <w:t>2.1</w:t>
      </w:r>
      <w:r w:rsidRPr="00F644BA">
        <w:rPr>
          <w:lang w:val="ru-RU"/>
        </w:rPr>
        <w:tab/>
        <w:t>ВКР-23</w:t>
      </w:r>
      <w:bookmarkEnd w:id="21"/>
      <w:bookmarkEnd w:id="22"/>
      <w:bookmarkEnd w:id="23"/>
    </w:p>
    <w:p w14:paraId="6969FB42" w14:textId="77777777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Опираясь на динамику текущей работы МСЭ по обеспечению универсальной возможности установления соединений и устойчивой цифровой трансформации, Всемирная конференция радиосвязи, ВКР-23, достигла ключевых достижений в области регулирования использования спектра для космических, научных и наземных радиослужб. </w:t>
      </w:r>
    </w:p>
    <w:p w14:paraId="1E600D4B" w14:textId="63D9A620" w:rsidR="002E05B4" w:rsidRPr="00F644BA" w:rsidRDefault="002E05B4" w:rsidP="002E05B4">
      <w:pPr>
        <w:rPr>
          <w:rFonts w:asciiTheme="minorHAnsi" w:eastAsiaTheme="minorEastAsia" w:hAnsiTheme="minorHAnsi" w:cstheme="minorBidi"/>
          <w:kern w:val="2"/>
          <w:lang w:val="ru-RU"/>
          <w14:ligatures w14:val="standardContextual"/>
        </w:rPr>
      </w:pPr>
      <w:r w:rsidRPr="00F644BA">
        <w:rPr>
          <w:lang w:val="ru-RU"/>
        </w:rPr>
        <w:t xml:space="preserve">Государства 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 xml:space="preserve"> Члены МСЭ достигли соглашения об обновлениях Регламента радиосвязи, которые определяют новые ресурсы спектра в поддержку инноваций в сфере технологий, расш</w:t>
      </w:r>
      <w:r>
        <w:rPr>
          <w:lang w:val="ru-RU"/>
        </w:rPr>
        <w:t xml:space="preserve">ирения </w:t>
      </w:r>
      <w:r w:rsidRPr="00F644BA">
        <w:rPr>
          <w:lang w:val="ru-RU"/>
        </w:rPr>
        <w:t>возможности установления соединений во всем мире, доступ</w:t>
      </w:r>
      <w:r>
        <w:rPr>
          <w:lang w:val="ru-RU"/>
        </w:rPr>
        <w:t>а</w:t>
      </w:r>
      <w:r w:rsidRPr="00F644BA">
        <w:rPr>
          <w:lang w:val="ru-RU"/>
        </w:rPr>
        <w:t xml:space="preserve"> к радиоресурсам космического базирования и равноправного их использования, а также повыш</w:t>
      </w:r>
      <w:r>
        <w:rPr>
          <w:lang w:val="ru-RU"/>
        </w:rPr>
        <w:t>ения</w:t>
      </w:r>
      <w:r w:rsidRPr="00F644BA">
        <w:rPr>
          <w:lang w:val="ru-RU"/>
        </w:rPr>
        <w:t xml:space="preserve"> безопасност</w:t>
      </w:r>
      <w:r>
        <w:rPr>
          <w:lang w:val="ru-RU"/>
        </w:rPr>
        <w:t>и</w:t>
      </w:r>
      <w:r w:rsidRPr="00F644BA">
        <w:rPr>
          <w:lang w:val="ru-RU"/>
        </w:rPr>
        <w:t xml:space="preserve"> на море, в воздухе и на суше. Конференция состоялась в Дубае, ОАЭ, в период с 20 ноября по 15 декабря 2023 года. ВКР-23 вместе с предшествующей ей Ассамблеей радиосвязи, АР-23, помогла вывести мир на путь к более соединенному, устойчивому, справедливому и инклюзивному цифровому будущему для всех.</w:t>
      </w:r>
    </w:p>
    <w:p w14:paraId="77A6028E" w14:textId="578A4EF0" w:rsidR="002E05B4" w:rsidRPr="00F644BA" w:rsidRDefault="002E05B4" w:rsidP="002E05B4">
      <w:pPr>
        <w:rPr>
          <w:rFonts w:ascii="Segoe UI" w:hAnsi="Segoe UI" w:cs="Segoe UI"/>
          <w:lang w:val="ru-RU"/>
        </w:rPr>
      </w:pPr>
      <w:r w:rsidRPr="00F644BA">
        <w:rPr>
          <w:lang w:val="ru-RU"/>
        </w:rPr>
        <w:t>На ВКР-23 в общей сложности присутствовали 3982 участника, представлявших 163</w:t>
      </w:r>
      <w:r>
        <w:rPr>
          <w:lang w:val="ru-RU"/>
        </w:rPr>
        <w:t> </w:t>
      </w:r>
      <w:r w:rsidRPr="00F644BA">
        <w:rPr>
          <w:lang w:val="ru-RU"/>
        </w:rPr>
        <w:t>Государства</w:t>
      </w:r>
      <w:r w:rsidR="00915036">
        <w:t> </w:t>
      </w:r>
      <w:r w:rsidRPr="00F644BA">
        <w:rPr>
          <w:lang w:val="ru-RU"/>
        </w:rPr>
        <w:t>– Члена МСЭ, в том числе 88 участников на уровне министров, и 151</w:t>
      </w:r>
      <w:r>
        <w:rPr>
          <w:lang w:val="ru-RU"/>
        </w:rPr>
        <w:t> </w:t>
      </w:r>
      <w:r w:rsidRPr="00F644BA">
        <w:rPr>
          <w:lang w:val="ru-RU"/>
        </w:rPr>
        <w:t xml:space="preserve">организацию-наблюдателя. Женщины составили 22 процента от общего числа делегатов на ВКР-23, что больше, чем на ВКР-19 в 2019 году, когда эта цифра составила 18 процентов. </w:t>
      </w:r>
    </w:p>
    <w:p w14:paraId="0B8A591A" w14:textId="2FC6F2DE" w:rsidR="002E05B4" w:rsidRPr="00964D8D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>Основные результаты ВКР-23</w:t>
      </w:r>
    </w:p>
    <w:p w14:paraId="5588F4BD" w14:textId="77777777" w:rsidR="002E05B4" w:rsidRPr="00F644BA" w:rsidRDefault="002E05B4" w:rsidP="002E05B4">
      <w:pPr>
        <w:rPr>
          <w:rFonts w:ascii="Segoe UI" w:hAnsi="Segoe UI" w:cs="Segoe UI"/>
          <w:lang w:val="ru-RU"/>
        </w:rPr>
      </w:pPr>
      <w:r w:rsidRPr="00F644BA">
        <w:rPr>
          <w:lang w:val="ru-RU"/>
        </w:rPr>
        <w:t xml:space="preserve">ВКР-23 рассмотрела более 30 тем, связанных с распределением и совместным использованием частот в целях эффективного использования орбитально-частотного ресурса. Далее приводятся основные итоги мероприятия. </w:t>
      </w:r>
    </w:p>
    <w:p w14:paraId="681A3B38" w14:textId="77777777" w:rsidR="002E05B4" w:rsidRPr="003F6C77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 xml:space="preserve">Подвижная и фиксированная широкополосная связь </w:t>
      </w:r>
    </w:p>
    <w:p w14:paraId="515EC3AA" w14:textId="4347F15D" w:rsidR="002E05B4" w:rsidRPr="00F644BA" w:rsidRDefault="002E05B4" w:rsidP="002E05B4">
      <w:pPr>
        <w:rPr>
          <w:rFonts w:asciiTheme="minorHAnsi" w:eastAsia="Arial Unicode MS" w:hAnsiTheme="minorHAnsi" w:cstheme="minorBidi"/>
          <w:lang w:val="ru-RU"/>
        </w:rPr>
      </w:pPr>
      <w:r w:rsidRPr="00F644BA">
        <w:rPr>
          <w:lang w:val="ru-RU"/>
        </w:rPr>
        <w:t xml:space="preserve">ВКР-23 определила для </w:t>
      </w:r>
      <w:r w:rsidR="00AC6581">
        <w:rPr>
          <w:lang w:val="ru-RU"/>
        </w:rPr>
        <w:t>Международн</w:t>
      </w:r>
      <w:r w:rsidR="00357356">
        <w:rPr>
          <w:lang w:val="ru-RU"/>
        </w:rPr>
        <w:t>ой</w:t>
      </w:r>
      <w:r w:rsidR="00AC6581">
        <w:rPr>
          <w:lang w:val="ru-RU"/>
        </w:rPr>
        <w:t xml:space="preserve"> подвижной электросвязи (</w:t>
      </w:r>
      <w:r w:rsidRPr="00F644BA">
        <w:rPr>
          <w:lang w:val="ru-RU"/>
        </w:rPr>
        <w:t>IMT</w:t>
      </w:r>
      <w:r w:rsidR="00AC6581">
        <w:rPr>
          <w:lang w:val="ru-RU"/>
        </w:rPr>
        <w:t>)</w:t>
      </w:r>
      <w:r w:rsidRPr="00F644BA">
        <w:rPr>
          <w:lang w:val="ru-RU"/>
        </w:rPr>
        <w:t xml:space="preserve"> в общей сложности дополнительные 1300 МГц и расширила определения для IMT в диапазонах частот между 3300</w:t>
      </w:r>
      <w:r w:rsidR="00915036">
        <w:t> </w:t>
      </w:r>
      <w:r w:rsidRPr="00F644BA">
        <w:rPr>
          <w:lang w:val="ru-RU"/>
        </w:rPr>
        <w:t>МГц и 10,5 ГГц, чтобы удовлетворить глобальный спрос на спектр для IMT в средних диапазонах. Полосы 3300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>3400 МГц, 3600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>3800</w:t>
      </w:r>
      <w:r>
        <w:rPr>
          <w:lang w:val="en-US"/>
        </w:rPr>
        <w:t> </w:t>
      </w:r>
      <w:r w:rsidRPr="00F644BA">
        <w:rPr>
          <w:lang w:val="ru-RU"/>
        </w:rPr>
        <w:t>МГц, 6425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>7125 МГц и 10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 xml:space="preserve">10,5 ГГц или их части были определены для IMT на региональной или страновой основе на условиях защиты существующих служб, таких как радиолокационная служба или фиксированная спутниковая служба. Кроме того, сохранена гибкость в том, что касается национальных и региональных решений по назначению </w:t>
      </w:r>
      <w:r>
        <w:rPr>
          <w:lang w:val="ru-RU"/>
        </w:rPr>
        <w:t>диапазона</w:t>
      </w:r>
      <w:r w:rsidRPr="00F644BA">
        <w:rPr>
          <w:lang w:val="ru-RU"/>
        </w:rPr>
        <w:t xml:space="preserve"> частот 6 ГГц для </w:t>
      </w:r>
      <w:r w:rsidR="00AC6581">
        <w:rPr>
          <w:lang w:val="ru-RU"/>
        </w:rPr>
        <w:t>локальных радиосетей (</w:t>
      </w:r>
      <w:r w:rsidRPr="00F644BA">
        <w:rPr>
          <w:lang w:val="ru-RU"/>
        </w:rPr>
        <w:t>RLAN</w:t>
      </w:r>
      <w:r w:rsidR="00AC6581">
        <w:rPr>
          <w:lang w:val="ru-RU"/>
        </w:rPr>
        <w:t>)</w:t>
      </w:r>
      <w:r w:rsidRPr="00F644BA">
        <w:rPr>
          <w:lang w:val="ru-RU"/>
        </w:rPr>
        <w:t xml:space="preserve"> или IMT. </w:t>
      </w:r>
    </w:p>
    <w:p w14:paraId="3B8525F4" w14:textId="4B1218C5" w:rsidR="002E05B4" w:rsidRPr="00F644BA" w:rsidRDefault="002E05B4" w:rsidP="002E05B4">
      <w:pPr>
        <w:rPr>
          <w:rFonts w:eastAsia="Calibri" w:cs="Calibri"/>
          <w:lang w:val="ru-RU"/>
        </w:rPr>
      </w:pPr>
      <w:r w:rsidRPr="00F644BA">
        <w:rPr>
          <w:lang w:val="ru-RU"/>
        </w:rPr>
        <w:t>Кроме того, ВКР-23 распределила полосу 470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694 МГц подвижным службам в Районе 1, расширив возможности установления соединений в сельских и городских районах с гарантированным радиовещанием. Полоса 614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694 МГц также была определена для IMT в некоторых странах Района 1.</w:t>
      </w:r>
    </w:p>
    <w:p w14:paraId="7E0DC945" w14:textId="104D10D1" w:rsidR="002E05B4" w:rsidRPr="00F644BA" w:rsidRDefault="002E05B4" w:rsidP="002E05B4">
      <w:pPr>
        <w:rPr>
          <w:rFonts w:cs="Calibri"/>
          <w:lang w:val="ru-RU"/>
        </w:rPr>
      </w:pPr>
      <w:r w:rsidRPr="00F644BA">
        <w:rPr>
          <w:lang w:val="ru-RU"/>
        </w:rPr>
        <w:t>Кроме того, ВКР-23 распределила на глобальной основе такие полосы частот, как 1710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>1980</w:t>
      </w:r>
      <w:r>
        <w:rPr>
          <w:lang w:val="en-US"/>
        </w:rPr>
        <w:t> </w:t>
      </w:r>
      <w:r w:rsidRPr="00F644BA">
        <w:rPr>
          <w:lang w:val="ru-RU"/>
        </w:rPr>
        <w:t>МГц и 2110</w:t>
      </w:r>
      <w:r w:rsidRPr="002E05B4">
        <w:rPr>
          <w:lang w:val="ru-RU"/>
        </w:rPr>
        <w:t>−</w:t>
      </w:r>
      <w:r w:rsidRPr="00F644BA">
        <w:rPr>
          <w:lang w:val="ru-RU"/>
        </w:rPr>
        <w:t>2160 МГц, для станций на высотных платформах (HIBS) в качестве базовых станций IMT, наряду с другими региональными полосами, общим объемом 801</w:t>
      </w:r>
      <w:r>
        <w:rPr>
          <w:lang w:val="ru-RU"/>
        </w:rPr>
        <w:t> </w:t>
      </w:r>
      <w:r w:rsidRPr="00F644BA">
        <w:rPr>
          <w:lang w:val="ru-RU"/>
        </w:rPr>
        <w:t>МГц. Это</w:t>
      </w:r>
      <w:r>
        <w:rPr>
          <w:lang w:val="ru-RU"/>
        </w:rPr>
        <w:t xml:space="preserve"> решение</w:t>
      </w:r>
      <w:r w:rsidRPr="00F644BA">
        <w:rPr>
          <w:lang w:val="ru-RU"/>
        </w:rPr>
        <w:t xml:space="preserve"> поддерживает разработку HIBS для расширения</w:t>
      </w:r>
      <w:r>
        <w:rPr>
          <w:lang w:val="ru-RU"/>
        </w:rPr>
        <w:t xml:space="preserve"> использования</w:t>
      </w:r>
      <w:r w:rsidRPr="00F644BA">
        <w:rPr>
          <w:lang w:val="ru-RU"/>
        </w:rPr>
        <w:t xml:space="preserve"> подвижной </w:t>
      </w:r>
      <w:r w:rsidRPr="00F644BA">
        <w:rPr>
          <w:lang w:val="ru-RU"/>
        </w:rPr>
        <w:lastRenderedPageBreak/>
        <w:t>широкополосной связи и электросвязи в обслуживаемых в недостаточной степени сообществах, включая связь при восстановлении после бедствий.</w:t>
      </w:r>
    </w:p>
    <w:p w14:paraId="71EF4EC7" w14:textId="77777777" w:rsidR="002E05B4" w:rsidRPr="003F6C77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 xml:space="preserve">Модернизация ГМССБ и дополнительный поставщик спутниковых услуг ГМССБ </w:t>
      </w:r>
    </w:p>
    <w:p w14:paraId="04AE2C19" w14:textId="2BBA99D6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 xml:space="preserve">ВКР-23 включила результаты модернизации Глобальной морской системы связи при бедствии и для обеспечения безопасности (ГМССБ) в Регламент радиосвязи. Это обеспечивает согласованность </w:t>
      </w:r>
      <w:r w:rsidR="00AC6581">
        <w:rPr>
          <w:lang w:val="ru-RU"/>
        </w:rPr>
        <w:t>Регламента радиосвязи</w:t>
      </w:r>
      <w:r w:rsidR="00AC6581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с последними решениями </w:t>
      </w:r>
      <w:r w:rsidR="00AC6581">
        <w:rPr>
          <w:lang w:val="ru-RU"/>
        </w:rPr>
        <w:t>Международн</w:t>
      </w:r>
      <w:r w:rsidR="00B61E45">
        <w:rPr>
          <w:lang w:val="ru-RU"/>
        </w:rPr>
        <w:t>ой</w:t>
      </w:r>
      <w:r w:rsidR="00AC6581">
        <w:rPr>
          <w:lang w:val="ru-RU"/>
        </w:rPr>
        <w:t xml:space="preserve"> морской организации (</w:t>
      </w:r>
      <w:r w:rsidRPr="00F644BA">
        <w:rPr>
          <w:lang w:val="ru-RU"/>
        </w:rPr>
        <w:t>ИМО</w:t>
      </w:r>
      <w:r w:rsidR="00AC6581">
        <w:rPr>
          <w:lang w:val="ru-RU"/>
        </w:rPr>
        <w:t>)</w:t>
      </w:r>
      <w:r w:rsidRPr="00F644BA">
        <w:rPr>
          <w:lang w:val="ru-RU"/>
        </w:rPr>
        <w:t xml:space="preserve"> и включение ряда </w:t>
      </w:r>
      <w:r>
        <w:rPr>
          <w:lang w:val="ru-RU"/>
        </w:rPr>
        <w:t>появляющихся</w:t>
      </w:r>
      <w:r w:rsidRPr="00F644BA">
        <w:rPr>
          <w:lang w:val="ru-RU"/>
        </w:rPr>
        <w:t xml:space="preserve"> технологий. Новая система автоматического соединения (ACS) обеспечит надежный доступ моряков к линиям радиосвязи. Внедрение цифровой системы навигационных данных (НАВДАТ) будет способствовать получению судами своевременных метеорологических и навигационных предупреждений. Использование передатчиков поиска и спасания с автоматической системой опознавания (AIS</w:t>
      </w:r>
      <w:r w:rsidR="00915036" w:rsidRPr="00915036">
        <w:rPr>
          <w:lang w:val="ru-RU"/>
        </w:rPr>
        <w:noBreakHyphen/>
      </w:r>
      <w:r w:rsidRPr="00F644BA">
        <w:rPr>
          <w:lang w:val="ru-RU"/>
        </w:rPr>
        <w:t xml:space="preserve">SART) упростит определение местоположения терпящих бедствие судов в целях спасания. </w:t>
      </w:r>
    </w:p>
    <w:p w14:paraId="28DE5BAD" w14:textId="77777777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>Конференция также предварительно признала возможность использования в ГМССБ спутниковой системы передачи сообщений BeiDou (BDMSS) при условии успешного завершения координации с существующими сетями и устранения помех.</w:t>
      </w:r>
    </w:p>
    <w:p w14:paraId="5E79B1B4" w14:textId="77777777" w:rsidR="002E05B4" w:rsidRPr="003F6C77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 xml:space="preserve">Цифровизация использования частот воздушной службы в полосах ВЧ </w:t>
      </w:r>
    </w:p>
    <w:p w14:paraId="7DA3295E" w14:textId="5FC7A81E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 xml:space="preserve">На ВКР-23 в план частот воздушной подвижной (на трассе) службы в полосах высоких частот (ВЧ), содержащийся в Приложении 27 </w:t>
      </w:r>
      <w:r w:rsidR="00AC6581">
        <w:rPr>
          <w:lang w:val="ru-RU"/>
        </w:rPr>
        <w:t>к Регламенту радиосвязи</w:t>
      </w:r>
      <w:r w:rsidRPr="00F644BA">
        <w:rPr>
          <w:lang w:val="ru-RU"/>
        </w:rPr>
        <w:t>, был добавлен ряд положений, что позволило внедрить новые цифровые широкополосные ВЧ-системы.</w:t>
      </w:r>
    </w:p>
    <w:p w14:paraId="2A47E0DC" w14:textId="77777777" w:rsidR="002E05B4" w:rsidRPr="003F6C77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 xml:space="preserve">Спектр для применений воздушной подвижной службы, не связанных с обеспечением безопасности </w:t>
      </w:r>
    </w:p>
    <w:p w14:paraId="228A2D91" w14:textId="0D681A02" w:rsidR="002E05B4" w:rsidRPr="00F644BA" w:rsidRDefault="002E05B4" w:rsidP="002E05B4">
      <w:pPr>
        <w:rPr>
          <w:rFonts w:ascii="Segoe UI" w:hAnsi="Segoe UI" w:cs="Segoe UI"/>
          <w:lang w:val="ru-RU"/>
        </w:rPr>
      </w:pPr>
      <w:r w:rsidRPr="00F644BA">
        <w:rPr>
          <w:lang w:val="ru-RU"/>
        </w:rPr>
        <w:t>ВКР-23 распределила воздушной подвижной (OR) службе полосу частот 15,41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15,7 ГГц на вторичной основе и 22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22,2 ГГц на первичной основе в Районе 1 и в некоторых странах Района</w:t>
      </w:r>
      <w:r>
        <w:rPr>
          <w:lang w:val="en-US"/>
        </w:rPr>
        <w:t> </w:t>
      </w:r>
      <w:r w:rsidRPr="00F644BA">
        <w:rPr>
          <w:lang w:val="ru-RU"/>
        </w:rPr>
        <w:t xml:space="preserve">3 на условиях непричинения помех существующим службам. </w:t>
      </w:r>
    </w:p>
    <w:p w14:paraId="4B286C1A" w14:textId="0E68283B" w:rsidR="002E05B4" w:rsidRPr="003F6C77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>Спутниковые службы</w:t>
      </w:r>
    </w:p>
    <w:p w14:paraId="68C8010D" w14:textId="5DE2884B" w:rsidR="002E05B4" w:rsidRPr="00F644BA" w:rsidRDefault="002E05B4" w:rsidP="002E05B4">
      <w:pPr>
        <w:rPr>
          <w:rFonts w:ascii="Segoe UI" w:hAnsi="Segoe UI" w:cs="Segoe UI"/>
          <w:lang w:val="ru-RU"/>
        </w:rPr>
      </w:pPr>
      <w:r w:rsidRPr="00F644BA">
        <w:rPr>
          <w:lang w:val="ru-RU"/>
        </w:rPr>
        <w:t>ВКР-23 приняла регламентарные, эксплуатационные и технические условия, при которых земные станции, находящиеся в движении (ESIM), могут взаимодействовать с космическими станциями фиксированной спутниковой службы на геостационарной спутниковой орбите (ГСО) в полосе частот 12,75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 xml:space="preserve">13,25 ГГц или с негеостационарными спутниковыми (НГСО) системами в диапазоне частот 30/20 ГГц. Это решение обеспечит бóльшую доступность полосы пропускания для обеспечения возможности установления соединений на морских или воздушных судах. </w:t>
      </w:r>
    </w:p>
    <w:p w14:paraId="530297C5" w14:textId="098965E9" w:rsidR="002E05B4" w:rsidRPr="00F644BA" w:rsidRDefault="002E05B4" w:rsidP="002E05B4">
      <w:pPr>
        <w:rPr>
          <w:rFonts w:ascii="Segoe UI" w:hAnsi="Segoe UI" w:cs="Segoe UI"/>
          <w:lang w:val="ru-RU"/>
        </w:rPr>
      </w:pPr>
      <w:r w:rsidRPr="00F644BA">
        <w:rPr>
          <w:lang w:val="ru-RU"/>
        </w:rPr>
        <w:t xml:space="preserve">ВКР-23 также обозначила план создания нового механизма, благодаря которому межспутниковые линии смогут работать в диапазоне частот </w:t>
      </w:r>
      <w:r w:rsidR="00B61E45">
        <w:rPr>
          <w:lang w:val="ru-RU"/>
        </w:rPr>
        <w:t>20–</w:t>
      </w:r>
      <w:r w:rsidRPr="00F644BA">
        <w:rPr>
          <w:lang w:val="ru-RU"/>
        </w:rPr>
        <w:t>30</w:t>
      </w:r>
      <w:r w:rsidR="00B61E45">
        <w:rPr>
          <w:lang w:val="ru-RU"/>
        </w:rPr>
        <w:t xml:space="preserve"> </w:t>
      </w:r>
      <w:r w:rsidRPr="00F644BA">
        <w:rPr>
          <w:lang w:val="ru-RU"/>
        </w:rPr>
        <w:t xml:space="preserve">ГГц, что позволит быстрее передавать на землю данные, собранные научными или экспериментальными датчиками. </w:t>
      </w:r>
    </w:p>
    <w:p w14:paraId="05B39BB6" w14:textId="60D41395" w:rsidR="002E05B4" w:rsidRPr="003F6C77" w:rsidRDefault="002E05B4" w:rsidP="002E05B4">
      <w:pPr>
        <w:rPr>
          <w:lang w:val="ru-RU"/>
        </w:rPr>
      </w:pPr>
      <w:r w:rsidRPr="00F644BA">
        <w:rPr>
          <w:lang w:val="ru-RU"/>
        </w:rPr>
        <w:t>ВКР-23 улучшила регламентарную систему ввода в действие и поэтапного подхода к развертыванию спутниковых группировок НГСО в конкретных полосах частот и службах. В</w:t>
      </w:r>
      <w:r w:rsidR="00915036">
        <w:t> </w:t>
      </w:r>
      <w:r w:rsidRPr="00F644BA">
        <w:rPr>
          <w:lang w:val="ru-RU"/>
        </w:rPr>
        <w:t xml:space="preserve">частности, ВКР-23 приняла ряд допустимых отклонений орбиты для заявленных значений и согласовала механизм для постэтапной процедуры. Этот подход позволит лучше оценивать точность Международного справочного регистра частот относительно фактического развертывания спутниковых систем НГСО. Приняв эти решения, ВКР-23 укрепила равновесие, установленное ВКР-19 между предотвращением "складирования" спектра, надлежащим функционированием механизмов координации, заявления и регистрации и оперативными потребностями, связанными с развертыванием систем НГСО. </w:t>
      </w:r>
    </w:p>
    <w:p w14:paraId="21B0AE45" w14:textId="5CBFE5C3" w:rsidR="002E05B4" w:rsidRPr="00F644BA" w:rsidRDefault="002E05B4" w:rsidP="002E05B4">
      <w:pPr>
        <w:rPr>
          <w:rFonts w:eastAsia="Calibri" w:cs="Calibri"/>
          <w:lang w:val="ru-RU"/>
        </w:rPr>
      </w:pPr>
      <w:r w:rsidRPr="00F644BA">
        <w:rPr>
          <w:lang w:val="ru-RU"/>
        </w:rPr>
        <w:t>Также ВКР-23 приняла меры, укрепляющие справедливый доступ к орбитальн</w:t>
      </w:r>
      <w:r w:rsidR="00B61E45">
        <w:rPr>
          <w:lang w:val="ru-RU"/>
        </w:rPr>
        <w:t>ым и спектральным</w:t>
      </w:r>
      <w:r w:rsidRPr="00F644BA">
        <w:rPr>
          <w:lang w:val="ru-RU"/>
        </w:rPr>
        <w:t xml:space="preserve"> ресурс</w:t>
      </w:r>
      <w:r w:rsidR="00B61E45">
        <w:rPr>
          <w:lang w:val="ru-RU"/>
        </w:rPr>
        <w:t>ам</w:t>
      </w:r>
      <w:r w:rsidRPr="00F644BA">
        <w:rPr>
          <w:lang w:val="ru-RU"/>
        </w:rPr>
        <w:t xml:space="preserve"> путем гарантирования долгосрочной защиты национальных планируемых </w:t>
      </w:r>
      <w:r w:rsidR="00AC6581">
        <w:rPr>
          <w:lang w:val="ru-RU"/>
        </w:rPr>
        <w:t>использований</w:t>
      </w:r>
      <w:r w:rsidRPr="00F644BA">
        <w:rPr>
          <w:lang w:val="ru-RU"/>
        </w:rPr>
        <w:t xml:space="preserve"> в </w:t>
      </w:r>
      <w:r w:rsidR="00AC6581">
        <w:rPr>
          <w:lang w:val="ru-RU"/>
        </w:rPr>
        <w:t>радиовещательной спутниковой службе</w:t>
      </w:r>
      <w:r w:rsidRPr="00F644BA">
        <w:rPr>
          <w:lang w:val="ru-RU"/>
        </w:rPr>
        <w:t xml:space="preserve"> </w:t>
      </w:r>
      <w:r w:rsidR="001E53EB">
        <w:rPr>
          <w:lang w:val="ru-RU"/>
        </w:rPr>
        <w:t>(</w:t>
      </w:r>
      <w:r w:rsidRPr="00F644BA">
        <w:rPr>
          <w:lang w:val="ru-RU"/>
        </w:rPr>
        <w:t>РСС</w:t>
      </w:r>
      <w:r w:rsidR="001E53EB">
        <w:rPr>
          <w:lang w:val="ru-RU"/>
        </w:rPr>
        <w:t>)</w:t>
      </w:r>
      <w:r w:rsidRPr="00F644BA">
        <w:rPr>
          <w:lang w:val="ru-RU"/>
        </w:rPr>
        <w:t xml:space="preserve">, фидерных </w:t>
      </w:r>
      <w:r w:rsidRPr="00F644BA">
        <w:rPr>
          <w:lang w:val="ru-RU"/>
        </w:rPr>
        <w:lastRenderedPageBreak/>
        <w:t>лини</w:t>
      </w:r>
      <w:r w:rsidR="001E53EB">
        <w:rPr>
          <w:lang w:val="ru-RU"/>
        </w:rPr>
        <w:t>ях</w:t>
      </w:r>
      <w:r w:rsidRPr="00F644BA">
        <w:rPr>
          <w:lang w:val="ru-RU"/>
        </w:rPr>
        <w:t xml:space="preserve"> РСС и </w:t>
      </w:r>
      <w:r w:rsidR="001E53EB">
        <w:rPr>
          <w:lang w:val="ru-RU"/>
        </w:rPr>
        <w:t>фиксированных спутниковы</w:t>
      </w:r>
      <w:r w:rsidR="00B61E45">
        <w:rPr>
          <w:lang w:val="ru-RU"/>
        </w:rPr>
        <w:t>х</w:t>
      </w:r>
      <w:r w:rsidR="001E53EB">
        <w:rPr>
          <w:lang w:val="ru-RU"/>
        </w:rPr>
        <w:t xml:space="preserve"> службах (</w:t>
      </w:r>
      <w:r w:rsidRPr="00F644BA">
        <w:rPr>
          <w:lang w:val="ru-RU"/>
        </w:rPr>
        <w:t>ФСС</w:t>
      </w:r>
      <w:r w:rsidR="001E53EB">
        <w:rPr>
          <w:lang w:val="ru-RU"/>
        </w:rPr>
        <w:t>)</w:t>
      </w:r>
      <w:r w:rsidRPr="00F644BA">
        <w:rPr>
          <w:lang w:val="ru-RU"/>
        </w:rPr>
        <w:t xml:space="preserve">, а также путем содействия новым странам или странам, еще не использующим </w:t>
      </w:r>
      <w:r w:rsidR="00B61E45">
        <w:rPr>
          <w:lang w:val="ru-RU"/>
        </w:rPr>
        <w:t xml:space="preserve">официальные </w:t>
      </w:r>
      <w:r w:rsidRPr="00F644BA">
        <w:rPr>
          <w:lang w:val="ru-RU"/>
        </w:rPr>
        <w:t>Списки</w:t>
      </w:r>
      <w:r w:rsidR="001E53EB">
        <w:rPr>
          <w:lang w:val="ru-RU"/>
        </w:rPr>
        <w:t xml:space="preserve"> МСЭ-</w:t>
      </w:r>
      <w:r w:rsidR="001E53EB">
        <w:rPr>
          <w:lang w:val="en-US"/>
        </w:rPr>
        <w:t>R</w:t>
      </w:r>
      <w:r w:rsidRPr="00F644BA">
        <w:rPr>
          <w:lang w:val="ru-RU"/>
        </w:rPr>
        <w:t xml:space="preserve">, в </w:t>
      </w:r>
      <w:r w:rsidR="001E53EB">
        <w:rPr>
          <w:lang w:val="ru-RU"/>
        </w:rPr>
        <w:t>консультациях по</w:t>
      </w:r>
      <w:r w:rsidRPr="00F644BA">
        <w:rPr>
          <w:lang w:val="ru-RU"/>
        </w:rPr>
        <w:t xml:space="preserve"> Приложения</w:t>
      </w:r>
      <w:r w:rsidR="001E53EB">
        <w:rPr>
          <w:lang w:val="ru-RU"/>
        </w:rPr>
        <w:t>м</w:t>
      </w:r>
      <w:r w:rsidRPr="00F644BA">
        <w:rPr>
          <w:lang w:val="ru-RU"/>
        </w:rPr>
        <w:t xml:space="preserve"> 30, 30A и 30B. Аналогичным образом ВКР-23 приняла решение о замене планируемых к использованию ресурсов РСС 41 страны, чьи ресурсы в Планах фидерных линий РСС или РСС ранее считались ухудшенными, и согласовала включение в Планы ФСС новых национальных выделений для девяти стран.</w:t>
      </w:r>
    </w:p>
    <w:p w14:paraId="172783C5" w14:textId="0A1573FC" w:rsidR="002E05B4" w:rsidRPr="00964D8D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>Поддержка научных служб</w:t>
      </w:r>
    </w:p>
    <w:p w14:paraId="61F6DFED" w14:textId="1091AFBF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>ВКР-23 распределила полосу частот 40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 xml:space="preserve">50 МГц для датчиков </w:t>
      </w:r>
      <w:r w:rsidR="001E53EB">
        <w:rPr>
          <w:lang w:val="ru-RU"/>
        </w:rPr>
        <w:t>спутниковой служб</w:t>
      </w:r>
      <w:r w:rsidR="00B61E45">
        <w:rPr>
          <w:lang w:val="ru-RU"/>
        </w:rPr>
        <w:t>е</w:t>
      </w:r>
      <w:r w:rsidR="001E53EB">
        <w:rPr>
          <w:lang w:val="ru-RU"/>
        </w:rPr>
        <w:t xml:space="preserve"> исследования Земли (</w:t>
      </w:r>
      <w:r w:rsidRPr="00F644BA">
        <w:rPr>
          <w:lang w:val="ru-RU"/>
        </w:rPr>
        <w:t>ССИЗ</w:t>
      </w:r>
      <w:r w:rsidR="001E53EB">
        <w:rPr>
          <w:lang w:val="ru-RU"/>
        </w:rPr>
        <w:t>)</w:t>
      </w:r>
      <w:r w:rsidRPr="00F644BA">
        <w:rPr>
          <w:lang w:val="ru-RU"/>
        </w:rPr>
        <w:t xml:space="preserve"> (активной) в целях улучшения наблюдений за толщиной ледниковых щитов в полярных районах.</w:t>
      </w:r>
    </w:p>
    <w:p w14:paraId="56F96C40" w14:textId="77777777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 xml:space="preserve">ВКР-23 повысила статус распределения службе космических исследований в полосе частот 14,8−15,35 ГГц до первичного, с тем чтобы улучшить регламентарный статус спутниковых систем ретрансляции данных, использующих эту полосу частот. </w:t>
      </w:r>
    </w:p>
    <w:p w14:paraId="39BAB555" w14:textId="5DEB4145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>ВКР-23 реорганизовала распределения ССИЗ (пассивной) в полосе частот 231,5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252 ГГц для обеспечения согласования с самыми современными требованиями систем дистанционного зондирования. Такая реорганизация повлекла за собой соответствующие изменения распределений фиксированной и подвижной службам.</w:t>
      </w:r>
    </w:p>
    <w:p w14:paraId="4ACB4ECD" w14:textId="77777777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>Что касается космической погоды, то ВКР-23 пришла к выводу, что датчики космической погоды могут работать во вспомогательной службе метеорологии в рамках распределений подкласса "ВСМ (космическая погода)". Исследования будут продолжаться до ВКР-27 с целью определения соответствующих полос частот для таких распределений.</w:t>
      </w:r>
    </w:p>
    <w:p w14:paraId="749AEEE7" w14:textId="63E7DD7B" w:rsidR="002E05B4" w:rsidRPr="00F644BA" w:rsidRDefault="002E05B4" w:rsidP="002E05B4">
      <w:pPr>
        <w:rPr>
          <w:rFonts w:asciiTheme="minorHAnsi" w:eastAsia="Arial Unicode MS" w:hAnsiTheme="minorHAnsi" w:cstheme="minorHAnsi"/>
          <w:lang w:val="ru-RU"/>
        </w:rPr>
      </w:pPr>
      <w:r w:rsidRPr="00F644BA">
        <w:rPr>
          <w:lang w:val="ru-RU"/>
        </w:rPr>
        <w:t>Наконец, ВКР-23 приняла предел плотности э.и.и.м. на космическую станцию НГСО для защиты датчиков ССИЗ (пассивной) в полосе частот 36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37 ГГц от систем НГСО ФСС, работающих в полосе 37,5</w:t>
      </w:r>
      <w:r w:rsidR="00F57C47" w:rsidRPr="00F57C47">
        <w:rPr>
          <w:lang w:val="ru-RU"/>
        </w:rPr>
        <w:t>−</w:t>
      </w:r>
      <w:r w:rsidRPr="00F644BA">
        <w:rPr>
          <w:lang w:val="ru-RU"/>
        </w:rPr>
        <w:t>38 ГГц.</w:t>
      </w:r>
    </w:p>
    <w:p w14:paraId="0CDC6A38" w14:textId="642819E0" w:rsidR="002E05B4" w:rsidRPr="00964D8D" w:rsidRDefault="002E05B4" w:rsidP="002E05B4">
      <w:pPr>
        <w:pStyle w:val="Headingb"/>
        <w:rPr>
          <w:lang w:val="ru-RU"/>
        </w:rPr>
      </w:pPr>
      <w:r w:rsidRPr="00F644BA">
        <w:rPr>
          <w:lang w:val="ru-RU"/>
        </w:rPr>
        <w:t>Палестина</w:t>
      </w:r>
    </w:p>
    <w:p w14:paraId="7EE396D2" w14:textId="77777777" w:rsidR="002E05B4" w:rsidRPr="00F644BA" w:rsidRDefault="002E05B4" w:rsidP="002E05B4">
      <w:pPr>
        <w:rPr>
          <w:rFonts w:ascii="Times New Roman" w:hAnsi="Times New Roman" w:cs="Calibri"/>
          <w:lang w:val="ru-RU"/>
        </w:rPr>
      </w:pPr>
      <w:r w:rsidRPr="00F644BA">
        <w:rPr>
          <w:lang w:val="ru-RU"/>
        </w:rPr>
        <w:t xml:space="preserve">ВКР-23 приняла Резолюцию 12 (Пересм. ВКР-23) о мерах для оказания постоянной помощи и поддержки Палестине в целях обеспечения ее возможности управлять своим радиочастотным спектром и использовать его; модернизировать свои сети электросвязи, в том числе создавать сети 4G и 5G и эксплуатировать их; получать необходимые частоты для микроволновых линий, которые считаются необходимыми для эксплуатации услуг 4G и 5G, и управлять использованием этих частот; в срочном порядке расширить, установить волоконно-оптические широкополосные сети электросвязи (и волоконно-оптические линии) между губернаторствами и основными городами, владеть и управлять ими и эксплуатировать их с целью обеспечения более устойчивой цифровой трансформации; получить частоты в диапазонах ОВЧ и УВЧ для фиксированной и подвижной служб электросвязи; а также получить ЧM-частоты для радиовещательной службы. </w:t>
      </w:r>
    </w:p>
    <w:p w14:paraId="21C5D148" w14:textId="77777777" w:rsidR="002E05B4" w:rsidRPr="00F644BA" w:rsidRDefault="002E05B4" w:rsidP="002E05B4">
      <w:pPr>
        <w:rPr>
          <w:rFonts w:asciiTheme="minorHAnsi" w:hAnsiTheme="minorHAnsi" w:cstheme="minorHAnsi"/>
          <w:lang w:val="ru-RU"/>
        </w:rPr>
      </w:pPr>
      <w:r w:rsidRPr="00F644BA">
        <w:rPr>
          <w:lang w:val="ru-RU"/>
        </w:rPr>
        <w:t>В пересмотренной Резолюции содержится также настоятельный призыв к заинтересованным сторонам содействовать ввозу и развертыванию оборудования в порядке выполнения соглашения, подписанного 27 декабря 2022 года в отношении эксплуатации услуг 4G и 5G</w:t>
      </w:r>
      <w:r>
        <w:rPr>
          <w:lang w:val="ru-RU"/>
        </w:rPr>
        <w:t>,</w:t>
      </w:r>
      <w:r w:rsidRPr="00F644BA">
        <w:rPr>
          <w:lang w:val="ru-RU"/>
        </w:rPr>
        <w:t xml:space="preserve"> и обеспечить возможность создания в Палестине своих собственных международных сетей доступа, включая спутниковые земные станции, подводные кабели и волоконно-оптические и микроволновые системы, в соответствии с Временным соглашением.</w:t>
      </w:r>
    </w:p>
    <w:p w14:paraId="71B66E08" w14:textId="77777777" w:rsidR="002E05B4" w:rsidRPr="00F644BA" w:rsidRDefault="002E05B4" w:rsidP="002E05B4">
      <w:pPr>
        <w:pStyle w:val="Heading2"/>
        <w:rPr>
          <w:lang w:val="ru-RU"/>
        </w:rPr>
      </w:pPr>
      <w:bookmarkStart w:id="24" w:name="_Toc165293888"/>
      <w:bookmarkStart w:id="25" w:name="_Toc168049878"/>
      <w:bookmarkStart w:id="26" w:name="_Toc168050264"/>
      <w:r w:rsidRPr="00F644BA">
        <w:rPr>
          <w:lang w:val="ru-RU"/>
        </w:rPr>
        <w:t>2.2</w:t>
      </w:r>
      <w:r w:rsidRPr="00F644BA">
        <w:rPr>
          <w:lang w:val="ru-RU"/>
        </w:rPr>
        <w:tab/>
        <w:t>АР-23</w:t>
      </w:r>
      <w:bookmarkEnd w:id="24"/>
      <w:bookmarkEnd w:id="25"/>
      <w:bookmarkEnd w:id="26"/>
    </w:p>
    <w:p w14:paraId="7EA82A74" w14:textId="77777777" w:rsidR="002E05B4" w:rsidRPr="00F644BA" w:rsidRDefault="002E05B4" w:rsidP="002E05B4">
      <w:pPr>
        <w:rPr>
          <w:rFonts w:cs="Calibri"/>
          <w:color w:val="000000"/>
          <w:shd w:val="clear" w:color="auto" w:fill="FFFFFF"/>
          <w:lang w:val="ru-RU"/>
        </w:rPr>
      </w:pPr>
      <w:r w:rsidRPr="00F644BA">
        <w:rPr>
          <w:lang w:val="ru-RU"/>
        </w:rPr>
        <w:t xml:space="preserve">На АР-23 присутствовали 566 участников, представлявших 95 администраций и 41 Члена Секторов, 1 Академическую организацию и 2 специализированных учреждения Организации Объединенных Наций. Планируя будущие направления развития систем радиосвязи и </w:t>
      </w:r>
      <w:r w:rsidRPr="00F644BA">
        <w:rPr>
          <w:lang w:val="ru-RU"/>
        </w:rPr>
        <w:lastRenderedPageBreak/>
        <w:t xml:space="preserve">информационно-коммуникационных технологий, АР-23 установила программы будущей работы МСЭ-R и утвердила ряд Рекомендаций и Резолюций МСЭ-R, которые будут оказывать глобальное воздействие на будущие технологии радиосвязи. </w:t>
      </w:r>
    </w:p>
    <w:p w14:paraId="1471A698" w14:textId="77777777" w:rsidR="002E05B4" w:rsidRPr="00F644BA" w:rsidRDefault="002E05B4" w:rsidP="002E05B4">
      <w:pPr>
        <w:pStyle w:val="Headingb"/>
        <w:rPr>
          <w:rFonts w:cs="Calibri"/>
          <w:color w:val="000000"/>
          <w:shd w:val="clear" w:color="auto" w:fill="FFFFFF"/>
          <w:lang w:val="ru-RU"/>
        </w:rPr>
      </w:pPr>
      <w:r w:rsidRPr="00F644BA">
        <w:rPr>
          <w:lang w:val="ru-RU"/>
        </w:rPr>
        <w:t>Основные результаты АР-23</w:t>
      </w:r>
      <w:bookmarkStart w:id="27" w:name="_Hlk160024134"/>
    </w:p>
    <w:p w14:paraId="6710D1D5" w14:textId="77777777" w:rsidR="002E05B4" w:rsidRPr="00F644BA" w:rsidRDefault="002E05B4" w:rsidP="002E05B4">
      <w:pPr>
        <w:rPr>
          <w:rFonts w:cs="Calibri"/>
          <w:color w:val="000000"/>
          <w:shd w:val="clear" w:color="auto" w:fill="FFFFFF"/>
          <w:lang w:val="ru-RU"/>
        </w:rPr>
      </w:pPr>
      <w:r w:rsidRPr="00F644BA">
        <w:rPr>
          <w:lang w:val="ru-RU"/>
        </w:rPr>
        <w:t>В общей сложности АР-23 пересмотрела 26 Резолюций МСЭ-R, в том числе:</w:t>
      </w:r>
    </w:p>
    <w:p w14:paraId="0B4ED690" w14:textId="511F9EA4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u w:val="single"/>
          <w:lang w:val="ru-RU"/>
        </w:rPr>
      </w:pPr>
      <w:r w:rsidRPr="00964D8D">
        <w:rPr>
          <w:lang w:val="ru-RU"/>
        </w:rPr>
        <w:t>•</w:t>
      </w:r>
      <w:r w:rsidRPr="00964D8D">
        <w:rPr>
          <w:lang w:val="ru-RU"/>
        </w:rPr>
        <w:tab/>
      </w:r>
      <w:r w:rsidRPr="00F644BA">
        <w:rPr>
          <w:lang w:val="ru-RU"/>
        </w:rPr>
        <w:t xml:space="preserve">была пересмотрена </w:t>
      </w:r>
      <w:r w:rsidRPr="00F644BA">
        <w:rPr>
          <w:b/>
          <w:bCs/>
          <w:lang w:val="ru-RU"/>
        </w:rPr>
        <w:t xml:space="preserve">Резолюция МСЭ-R </w:t>
      </w:r>
      <w:hyperlink r:id="rId23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1</w:t>
        </w:r>
      </w:hyperlink>
      <w:r w:rsidRPr="00F644BA">
        <w:rPr>
          <w:lang w:val="ru-RU"/>
        </w:rPr>
        <w:t xml:space="preserve"> "Методы работы ассамблеи радиосвязи, исследовательских комиссий по радиосвязи, Консультативной группы по радиосвязи и других групп Сектора радиосвязи";</w:t>
      </w:r>
    </w:p>
    <w:p w14:paraId="6A8A014A" w14:textId="72DAD057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u w:val="single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lang w:val="ru-RU"/>
        </w:rPr>
        <w:t>структура исследовательских комиссий МСЭ-R сохранена;</w:t>
      </w:r>
    </w:p>
    <w:p w14:paraId="4B606FD0" w14:textId="4F778E58" w:rsidR="002E05B4" w:rsidRPr="002E05B4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lang w:val="ru-RU"/>
        </w:rPr>
        <w:t xml:space="preserve">АР-23 утвердила программу работы и Вопросы исследовательских комиссий по радиосвязи (см. </w:t>
      </w:r>
      <w:r w:rsidRPr="00F644BA">
        <w:rPr>
          <w:b/>
          <w:bCs/>
          <w:lang w:val="ru-RU"/>
        </w:rPr>
        <w:t xml:space="preserve">Резолюцию МСЭ-R </w:t>
      </w:r>
      <w:hyperlink r:id="rId24" w:history="1">
        <w:r w:rsidRPr="002E05B4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5</w:t>
        </w:r>
      </w:hyperlink>
      <w:r w:rsidRPr="00F644BA">
        <w:rPr>
          <w:lang w:val="ru-RU"/>
        </w:rPr>
        <w:t>), а также четыре Рекомендации МСЭ-R;</w:t>
      </w:r>
    </w:p>
    <w:p w14:paraId="4DAE6909" w14:textId="389C9FCF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lang w:val="ru-RU"/>
        </w:rPr>
        <w:t xml:space="preserve">также была существенно пересмотрена </w:t>
      </w:r>
      <w:r w:rsidRPr="00F644BA">
        <w:rPr>
          <w:b/>
          <w:bCs/>
          <w:lang w:val="ru-RU"/>
        </w:rPr>
        <w:t xml:space="preserve">Резолюция МСЭ-R </w:t>
      </w:r>
      <w:hyperlink r:id="rId25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56</w:t>
        </w:r>
      </w:hyperlink>
      <w:r w:rsidRPr="00F644BA">
        <w:rPr>
          <w:lang w:val="ru-RU"/>
        </w:rPr>
        <w:t xml:space="preserve"> "Определение названий для международной подвижной электросвязи", в которую были включены термин "IMT-2030" и ссылка на Рекомендацию МСЭ-R M.2160, описывающую рамки и общие цели будущего развития "IMT на период до 2030 года и далее";</w:t>
      </w:r>
    </w:p>
    <w:p w14:paraId="37005C61" w14:textId="6BAB99DE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lang w:val="ru-RU"/>
        </w:rPr>
        <w:t xml:space="preserve">также была пересмотрена </w:t>
      </w:r>
      <w:r w:rsidRPr="00F644BA">
        <w:rPr>
          <w:b/>
          <w:bCs/>
          <w:lang w:val="ru-RU"/>
        </w:rPr>
        <w:t xml:space="preserve">Резолюция МСЭ-R </w:t>
      </w:r>
      <w:hyperlink r:id="rId26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65</w:t>
        </w:r>
      </w:hyperlink>
      <w:r w:rsidRPr="00F644BA">
        <w:rPr>
          <w:lang w:val="ru-RU"/>
        </w:rPr>
        <w:t xml:space="preserve"> "Принципы процесса будущего развития систем IMT-2020 и IMT-2030" для включения тех же понятий, что и в Резолюцию МСЭ-R 56.</w:t>
      </w:r>
    </w:p>
    <w:p w14:paraId="23E4D479" w14:textId="77777777" w:rsidR="002E05B4" w:rsidRPr="00F644BA" w:rsidRDefault="002E05B4" w:rsidP="0044267C">
      <w:pPr>
        <w:keepNext/>
        <w:keepLines/>
        <w:rPr>
          <w:rFonts w:asciiTheme="minorHAnsi" w:hAnsiTheme="minorHAnsi" w:cstheme="minorHAnsi"/>
          <w:color w:val="000000"/>
          <w:lang w:val="ru-RU"/>
        </w:rPr>
      </w:pPr>
      <w:r w:rsidRPr="00F644BA">
        <w:rPr>
          <w:lang w:val="ru-RU"/>
        </w:rPr>
        <w:t>Кроме того, были утверждены четыре новые Резолюции МСЭ-R:</w:t>
      </w:r>
    </w:p>
    <w:p w14:paraId="1CB7FAA1" w14:textId="6F7CADE1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b/>
          <w:bCs/>
          <w:lang w:val="ru-RU"/>
        </w:rPr>
        <w:t xml:space="preserve">Резолюция МСЭ-R </w:t>
      </w:r>
      <w:hyperlink r:id="rId27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72</w:t>
        </w:r>
      </w:hyperlink>
      <w:r w:rsidRPr="00F644BA">
        <w:rPr>
          <w:lang w:val="ru-RU"/>
        </w:rPr>
        <w:t xml:space="preserve"> "Поощрение гендерного равенства и равноправия и преодоление разрыва в том, что касается участия и вклада женщин и мужчин в деятельность МСЭ-R";</w:t>
      </w:r>
    </w:p>
    <w:p w14:paraId="5916AFB4" w14:textId="1D279135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b/>
          <w:bCs/>
          <w:lang w:val="ru-RU"/>
        </w:rPr>
        <w:t xml:space="preserve">Резолюция МСЭ-R </w:t>
      </w:r>
      <w:hyperlink r:id="rId28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73</w:t>
        </w:r>
      </w:hyperlink>
      <w:r w:rsidRPr="00F644BA">
        <w:rPr>
          <w:lang w:val="ru-RU"/>
        </w:rPr>
        <w:t xml:space="preserve"> "Использование технологий Международной подвижной электросвязи для фиксированной беспроводной широкополосной связи в полосах частот, распределенных фиксированной службе на первичной основе";</w:t>
      </w:r>
    </w:p>
    <w:p w14:paraId="565F7597" w14:textId="11FA4EE3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b/>
          <w:bCs/>
          <w:lang w:val="ru-RU"/>
        </w:rPr>
        <w:t xml:space="preserve">Резолюция МСЭ-R </w:t>
      </w:r>
      <w:hyperlink r:id="rId29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74</w:t>
        </w:r>
      </w:hyperlink>
      <w:r w:rsidRPr="00F644BA">
        <w:rPr>
          <w:lang w:val="ru-RU"/>
        </w:rPr>
        <w:t xml:space="preserve"> "Деятельность в области устойчивого использования ресурсов радиочастотного спектра и связанных с ним спутниковых орбит космическими службами";</w:t>
      </w:r>
    </w:p>
    <w:p w14:paraId="272EFC98" w14:textId="4AB10985" w:rsidR="002E05B4" w:rsidRPr="00F644BA" w:rsidRDefault="002E05B4" w:rsidP="002E05B4">
      <w:pPr>
        <w:pStyle w:val="enumlev1"/>
        <w:rPr>
          <w:rFonts w:asciiTheme="minorHAnsi" w:eastAsia="PMingLiU" w:hAnsiTheme="minorHAnsi" w:cstheme="minorHAnsi"/>
          <w:color w:val="000000"/>
          <w:lang w:val="ru-RU"/>
        </w:rPr>
      </w:pPr>
      <w:r w:rsidRPr="00964D8D">
        <w:rPr>
          <w:lang w:val="ru-RU"/>
        </w:rPr>
        <w:t>•</w:t>
      </w:r>
      <w:r w:rsidRPr="00F57C47">
        <w:rPr>
          <w:lang w:val="ru-RU"/>
        </w:rPr>
        <w:tab/>
      </w:r>
      <w:r w:rsidRPr="00F644BA">
        <w:rPr>
          <w:b/>
          <w:bCs/>
          <w:lang w:val="ru-RU"/>
        </w:rPr>
        <w:t xml:space="preserve">Резолюция МСЭ-R </w:t>
      </w:r>
      <w:hyperlink r:id="rId30" w:history="1">
        <w:r w:rsidRPr="00F644BA">
          <w:rPr>
            <w:rFonts w:asciiTheme="minorHAnsi" w:eastAsia="PMingLiU" w:hAnsiTheme="minorHAnsi" w:cstheme="minorHAnsi"/>
            <w:b/>
            <w:bCs/>
            <w:color w:val="0563C1"/>
            <w:u w:val="single"/>
            <w:lang w:val="ru-RU" w:eastAsia="zh-TW"/>
          </w:rPr>
          <w:t>75</w:t>
        </w:r>
      </w:hyperlink>
      <w:r w:rsidRPr="00F644BA">
        <w:rPr>
          <w:lang w:val="ru-RU"/>
        </w:rPr>
        <w:t xml:space="preserve"> "Усиление координации и сотрудничества между тремя Секторами МСЭ по вопросам, представляющим взаимный интерес". Эта новая Резолюция объединяет в себе тексты Резолюций МСЭ-R 6, МСЭ-R 7 и МСЭ-R 48, которые впоследствии были исключены.</w:t>
      </w:r>
    </w:p>
    <w:p w14:paraId="509D2BC9" w14:textId="77777777" w:rsidR="002E05B4" w:rsidRPr="00F644BA" w:rsidRDefault="002E05B4" w:rsidP="002E05B4">
      <w:pPr>
        <w:rPr>
          <w:rFonts w:asciiTheme="minorHAnsi" w:hAnsiTheme="minorHAnsi" w:cstheme="minorHAnsi"/>
          <w:color w:val="000000"/>
          <w:lang w:val="ru-RU"/>
        </w:rPr>
      </w:pPr>
      <w:r w:rsidRPr="00F644BA">
        <w:rPr>
          <w:lang w:val="ru-RU"/>
        </w:rPr>
        <w:t xml:space="preserve">Решения АР-23, имеющие отношение к ВКР-23, отражены в Документе </w:t>
      </w:r>
      <w:hyperlink r:id="rId31" w:history="1">
        <w:r w:rsidRPr="00F644BA">
          <w:rPr>
            <w:rStyle w:val="Hyperlink"/>
            <w:szCs w:val="24"/>
            <w:lang w:val="ru-RU"/>
          </w:rPr>
          <w:t>217</w:t>
        </w:r>
        <w:r w:rsidRPr="00F80885">
          <w:rPr>
            <w:lang w:val="ru-RU"/>
          </w:rPr>
          <w:t xml:space="preserve"> ВКР-23</w:t>
        </w:r>
      </w:hyperlink>
      <w:r w:rsidRPr="00F644BA">
        <w:rPr>
          <w:lang w:val="ru-RU"/>
        </w:rPr>
        <w:t>.</w:t>
      </w:r>
      <w:bookmarkEnd w:id="27"/>
    </w:p>
    <w:p w14:paraId="35A3F665" w14:textId="24A162D8" w:rsidR="002E05B4" w:rsidRPr="00F644BA" w:rsidRDefault="002E05B4" w:rsidP="002E05B4">
      <w:pPr>
        <w:pStyle w:val="Heading1"/>
        <w:rPr>
          <w:lang w:val="ru-RU"/>
        </w:rPr>
      </w:pPr>
      <w:bookmarkStart w:id="28" w:name="_Toc165293889"/>
      <w:bookmarkStart w:id="29" w:name="_Toc137211288"/>
      <w:bookmarkStart w:id="30" w:name="_Toc168049879"/>
      <w:bookmarkStart w:id="31" w:name="_Toc168050265"/>
      <w:r w:rsidRPr="002E05B4">
        <w:rPr>
          <w:lang w:val="ru-RU"/>
        </w:rPr>
        <w:t>3</w:t>
      </w:r>
      <w:r w:rsidRPr="002E05B4">
        <w:rPr>
          <w:lang w:val="ru-RU"/>
        </w:rPr>
        <w:tab/>
      </w:r>
      <w:r w:rsidRPr="00F644BA">
        <w:rPr>
          <w:lang w:val="ru-RU"/>
        </w:rPr>
        <w:t>Воздействие работы МСЭ</w:t>
      </w:r>
      <w:bookmarkEnd w:id="28"/>
      <w:r w:rsidR="001E53EB">
        <w:rPr>
          <w:lang w:val="ru-RU"/>
        </w:rPr>
        <w:t xml:space="preserve">: </w:t>
      </w:r>
      <w:bookmarkEnd w:id="29"/>
      <w:r w:rsidRPr="00F644BA">
        <w:rPr>
          <w:lang w:val="ru-RU"/>
        </w:rPr>
        <w:t>ход выполнения Повестки дня "Соединим к 2030 году"</w:t>
      </w:r>
      <w:bookmarkEnd w:id="30"/>
      <w:bookmarkEnd w:id="31"/>
    </w:p>
    <w:p w14:paraId="6E3063D2" w14:textId="22E39C97" w:rsidR="002E05B4" w:rsidRPr="00F644BA" w:rsidRDefault="001E53EB" w:rsidP="00324ACC">
      <w:pPr>
        <w:rPr>
          <w:rFonts w:asciiTheme="minorHAnsi" w:hAnsiTheme="minorHAnsi" w:cstheme="minorHAnsi"/>
          <w:lang w:val="ru-RU"/>
        </w:rPr>
      </w:pPr>
      <w:r>
        <w:rPr>
          <w:lang w:val="ru-RU"/>
        </w:rPr>
        <w:t>Новый Стратегический план МСЭ</w:t>
      </w:r>
      <w:r w:rsidR="002E05B4" w:rsidRPr="00F644BA">
        <w:rPr>
          <w:lang w:val="ru-RU"/>
        </w:rPr>
        <w:t xml:space="preserve"> на 2024</w:t>
      </w:r>
      <w:r w:rsidR="0044267C" w:rsidRPr="0044267C">
        <w:rPr>
          <w:lang w:val="ru-RU"/>
        </w:rPr>
        <w:t>−</w:t>
      </w:r>
      <w:r w:rsidR="002E05B4" w:rsidRPr="00F644BA">
        <w:rPr>
          <w:lang w:val="ru-RU"/>
        </w:rPr>
        <w:t>2027 годы</w:t>
      </w:r>
      <w:r>
        <w:rPr>
          <w:lang w:val="ru-RU"/>
        </w:rPr>
        <w:t xml:space="preserve"> ориентирован </w:t>
      </w:r>
      <w:r w:rsidR="002E05B4" w:rsidRPr="00F644BA">
        <w:rPr>
          <w:lang w:val="ru-RU"/>
        </w:rPr>
        <w:t xml:space="preserve">на две общие стратегические цели </w:t>
      </w:r>
      <w:r w:rsidR="0044267C" w:rsidRPr="0044267C">
        <w:rPr>
          <w:lang w:val="ru-RU"/>
        </w:rPr>
        <w:t>−</w:t>
      </w:r>
      <w:r w:rsidR="002E05B4" w:rsidRPr="00F644BA">
        <w:rPr>
          <w:lang w:val="ru-RU"/>
        </w:rPr>
        <w:t xml:space="preserve"> обеспечение универсальной возможности установления соединений и устойчивую цифровую трансформацию.</w:t>
      </w:r>
    </w:p>
    <w:p w14:paraId="5172550A" w14:textId="09B59E21" w:rsidR="002E05B4" w:rsidRPr="00F644BA" w:rsidRDefault="002E05B4" w:rsidP="00324ACC">
      <w:pPr>
        <w:pStyle w:val="Heading2"/>
        <w:rPr>
          <w:lang w:val="ru-RU"/>
        </w:rPr>
      </w:pPr>
      <w:bookmarkStart w:id="32" w:name="_Toc165293890"/>
      <w:bookmarkStart w:id="33" w:name="_Toc168049880"/>
      <w:bookmarkStart w:id="34" w:name="_Toc168050266"/>
      <w:r w:rsidRPr="00F644BA">
        <w:rPr>
          <w:lang w:val="ru-RU"/>
        </w:rPr>
        <w:t>3.1</w:t>
      </w:r>
      <w:r w:rsidRPr="00F644BA">
        <w:rPr>
          <w:lang w:val="ru-RU"/>
        </w:rPr>
        <w:tab/>
        <w:t>Стратегический план МСЭ на 2020</w:t>
      </w:r>
      <w:r w:rsidR="0044267C" w:rsidRPr="0044267C">
        <w:rPr>
          <w:lang w:val="ru-RU"/>
        </w:rPr>
        <w:t>−</w:t>
      </w:r>
      <w:r w:rsidRPr="00F644BA">
        <w:rPr>
          <w:lang w:val="ru-RU"/>
        </w:rPr>
        <w:t>2023 г</w:t>
      </w:r>
      <w:r>
        <w:rPr>
          <w:lang w:val="ru-RU"/>
        </w:rPr>
        <w:t>оды</w:t>
      </w:r>
      <w:r w:rsidR="001E53EB">
        <w:rPr>
          <w:lang w:val="ru-RU"/>
        </w:rPr>
        <w:t xml:space="preserve">: </w:t>
      </w:r>
      <w:r w:rsidRPr="00F644BA">
        <w:rPr>
          <w:lang w:val="ru-RU"/>
        </w:rPr>
        <w:t>конечные результаты</w:t>
      </w:r>
      <w:bookmarkEnd w:id="32"/>
      <w:bookmarkEnd w:id="33"/>
      <w:bookmarkEnd w:id="34"/>
    </w:p>
    <w:p w14:paraId="2A355440" w14:textId="263097EC" w:rsidR="002E05B4" w:rsidRPr="00F644BA" w:rsidRDefault="002E05B4" w:rsidP="00324ACC">
      <w:pPr>
        <w:rPr>
          <w:lang w:val="ru-RU"/>
        </w:rPr>
      </w:pPr>
      <w:r w:rsidRPr="00F644BA">
        <w:rPr>
          <w:lang w:val="ru-RU"/>
        </w:rPr>
        <w:t xml:space="preserve">В настоящем разделе кратко изложены основные результаты и ход достижения </w:t>
      </w:r>
      <w:r w:rsidR="00E84FD6">
        <w:rPr>
          <w:lang w:val="ru-RU"/>
        </w:rPr>
        <w:t xml:space="preserve">общих </w:t>
      </w:r>
      <w:r w:rsidRPr="00F644BA">
        <w:rPr>
          <w:lang w:val="ru-RU"/>
        </w:rPr>
        <w:t xml:space="preserve">целей и </w:t>
      </w:r>
      <w:r w:rsidR="00E84FD6">
        <w:rPr>
          <w:lang w:val="ru-RU"/>
        </w:rPr>
        <w:t xml:space="preserve">конкретных </w:t>
      </w:r>
      <w:r w:rsidRPr="00F644BA">
        <w:rPr>
          <w:lang w:val="ru-RU"/>
        </w:rPr>
        <w:t>целевых показателей на 2023 год, установленных в Стратегическом плане Союза на 2020−2023</w:t>
      </w:r>
      <w:r w:rsidR="003F6C77">
        <w:rPr>
          <w:lang w:val="en-US"/>
        </w:rPr>
        <w:t> </w:t>
      </w:r>
      <w:r w:rsidRPr="00F644BA">
        <w:rPr>
          <w:lang w:val="ru-RU"/>
        </w:rPr>
        <w:t xml:space="preserve">годы, в отношении которого Государства-Члены приняли обязательства в Резолюции 200 (Пересм. Бухарест, 2022 г.) </w:t>
      </w:r>
      <w:r w:rsidR="00E84FD6">
        <w:rPr>
          <w:lang w:val="ru-RU"/>
        </w:rPr>
        <w:t xml:space="preserve">МСЭ, которая представляет собой последнюю </w:t>
      </w:r>
      <w:r w:rsidR="00E84FD6">
        <w:rPr>
          <w:lang w:val="ru-RU"/>
        </w:rPr>
        <w:lastRenderedPageBreak/>
        <w:t xml:space="preserve">итерацию </w:t>
      </w:r>
      <w:r w:rsidRPr="00F644BA">
        <w:rPr>
          <w:lang w:val="ru-RU"/>
        </w:rPr>
        <w:t>Повестк</w:t>
      </w:r>
      <w:r w:rsidR="00E84FD6">
        <w:rPr>
          <w:lang w:val="ru-RU"/>
        </w:rPr>
        <w:t>и</w:t>
      </w:r>
      <w:r w:rsidRPr="00F644BA">
        <w:rPr>
          <w:lang w:val="ru-RU"/>
        </w:rPr>
        <w:t xml:space="preserve"> дня "Соединим к 2030 году". Все соответствующие диаграммы приведены на информационных панелях </w:t>
      </w:r>
      <w:hyperlink r:id="rId32" w:history="1">
        <w:r w:rsidRPr="00F644BA">
          <w:rPr>
            <w:rStyle w:val="Hyperlink"/>
            <w:szCs w:val="24"/>
            <w:lang w:val="ru-RU"/>
          </w:rPr>
          <w:t>здесь</w:t>
        </w:r>
      </w:hyperlink>
      <w:r w:rsidRPr="00F644BA">
        <w:rPr>
          <w:lang w:val="ru-RU"/>
        </w:rPr>
        <w:t>.</w:t>
      </w:r>
    </w:p>
    <w:p w14:paraId="5AEDD924" w14:textId="77777777" w:rsidR="002E05B4" w:rsidRPr="00F644BA" w:rsidRDefault="002E05B4" w:rsidP="00324ACC">
      <w:pPr>
        <w:pStyle w:val="Heading3"/>
        <w:rPr>
          <w:lang w:val="ru-RU"/>
        </w:rPr>
      </w:pPr>
      <w:bookmarkStart w:id="35" w:name="_Toc168049881"/>
      <w:r w:rsidRPr="00F644BA">
        <w:rPr>
          <w:lang w:val="ru-RU"/>
        </w:rPr>
        <w:t>3.1.1</w:t>
      </w:r>
      <w:r w:rsidRPr="00F644BA">
        <w:rPr>
          <w:lang w:val="ru-RU"/>
        </w:rPr>
        <w:tab/>
        <w:t>Рост (доступ к интернету и приемлемость в ценовом отношении)</w:t>
      </w:r>
      <w:bookmarkEnd w:id="35"/>
    </w:p>
    <w:p w14:paraId="71B01543" w14:textId="1ADAEFA1" w:rsidR="002E05B4" w:rsidRPr="00F644BA" w:rsidRDefault="002E05B4" w:rsidP="00324ACC">
      <w:pPr>
        <w:rPr>
          <w:rFonts w:eastAsia="Calibri" w:cs="Calibri"/>
          <w:lang w:val="ru-RU"/>
        </w:rPr>
      </w:pPr>
      <w:r w:rsidRPr="00F644BA">
        <w:rPr>
          <w:b/>
          <w:bCs/>
          <w:lang w:val="ru-RU"/>
        </w:rPr>
        <w:t>Доступ</w:t>
      </w:r>
      <w:r w:rsidRPr="00F644BA">
        <w:rPr>
          <w:lang w:val="ru-RU"/>
        </w:rPr>
        <w:t>: к концу 2023 года около 67 процентов мирового населения, или 5,4 м</w:t>
      </w:r>
      <w:r>
        <w:rPr>
          <w:lang w:val="ru-RU"/>
        </w:rPr>
        <w:t>лрд.</w:t>
      </w:r>
      <w:r w:rsidRPr="00F644BA">
        <w:rPr>
          <w:lang w:val="ru-RU"/>
        </w:rPr>
        <w:t xml:space="preserve"> человек, были подключены к сети, что означает рост на 4,7 процента с 2022 года, т. е. рост на 3,5</w:t>
      </w:r>
      <w:r w:rsidR="003F6C77">
        <w:rPr>
          <w:lang w:val="en-US"/>
        </w:rPr>
        <w:t> </w:t>
      </w:r>
      <w:r w:rsidRPr="00F644BA">
        <w:rPr>
          <w:lang w:val="ru-RU"/>
        </w:rPr>
        <w:t>процента с 2021 года по 2022 год. Число физических лиц, не имеющих доступа к интернету, сократилось, по оценкам, до 2,6 м</w:t>
      </w:r>
      <w:r>
        <w:rPr>
          <w:lang w:val="ru-RU"/>
        </w:rPr>
        <w:t>лрд.</w:t>
      </w:r>
      <w:r w:rsidRPr="00F644BA">
        <w:rPr>
          <w:lang w:val="ru-RU"/>
        </w:rPr>
        <w:t>, что составляет 33 процента мирового населения. В</w:t>
      </w:r>
      <w:r w:rsidR="00915036">
        <w:t> </w:t>
      </w:r>
      <w:r w:rsidRPr="00F644BA">
        <w:rPr>
          <w:lang w:val="ru-RU"/>
        </w:rPr>
        <w:t>2023</w:t>
      </w:r>
      <w:r w:rsidR="003F6C77">
        <w:rPr>
          <w:lang w:val="en-US"/>
        </w:rPr>
        <w:t> </w:t>
      </w:r>
      <w:r w:rsidRPr="00F644BA">
        <w:rPr>
          <w:lang w:val="ru-RU"/>
        </w:rPr>
        <w:t>году объем использования интернета в странах с высоким уровнем дохода достиг 93</w:t>
      </w:r>
      <w:r w:rsidR="003F6C77">
        <w:rPr>
          <w:lang w:val="en-US"/>
        </w:rPr>
        <w:t> </w:t>
      </w:r>
      <w:r w:rsidRPr="00F644BA">
        <w:rPr>
          <w:lang w:val="ru-RU"/>
        </w:rPr>
        <w:t xml:space="preserve">процентов. Если в 2023 году планы или цифровые стратегии в области широкополосной связи </w:t>
      </w:r>
      <w:r w:rsidR="00E84FD6">
        <w:rPr>
          <w:lang w:val="ru-RU"/>
        </w:rPr>
        <w:t>имели</w:t>
      </w:r>
      <w:r w:rsidR="00E84FD6" w:rsidRPr="00F644BA">
        <w:rPr>
          <w:lang w:val="ru-RU"/>
        </w:rPr>
        <w:t xml:space="preserve"> </w:t>
      </w:r>
      <w:r w:rsidRPr="00F644BA">
        <w:rPr>
          <w:lang w:val="ru-RU"/>
        </w:rPr>
        <w:t xml:space="preserve">167 стран, то с 2019 года этот показатель остановил рост и снизился по сравнению с 2022 годом (170). Необходимы дальнейшие усилия для поощрения оставшихся </w:t>
      </w:r>
      <w:r>
        <w:rPr>
          <w:lang w:val="ru-RU"/>
        </w:rPr>
        <w:t xml:space="preserve">приблизительно </w:t>
      </w:r>
      <w:r w:rsidRPr="00F644BA">
        <w:rPr>
          <w:lang w:val="ru-RU"/>
        </w:rPr>
        <w:t>20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>30 стран к разработке и принятию своих национальных планов в области широкополосной связи.</w:t>
      </w:r>
    </w:p>
    <w:p w14:paraId="4C11216B" w14:textId="5ED4C3E1" w:rsidR="002E05B4" w:rsidRPr="00F644BA" w:rsidDel="00E946D6" w:rsidRDefault="002E05B4" w:rsidP="00324ACC">
      <w:pPr>
        <w:rPr>
          <w:rFonts w:eastAsia="Calibri" w:cs="Calibri"/>
          <w:lang w:val="ru-RU"/>
        </w:rPr>
      </w:pPr>
      <w:r w:rsidRPr="00F644BA">
        <w:rPr>
          <w:b/>
          <w:bCs/>
          <w:lang w:val="ru-RU"/>
        </w:rPr>
        <w:t>Приемлемость в ценовом отношении</w:t>
      </w:r>
      <w:r w:rsidRPr="003F6C77">
        <w:rPr>
          <w:lang w:val="ru-RU"/>
        </w:rPr>
        <w:t>:</w:t>
      </w:r>
      <w:r w:rsidRPr="00F644BA">
        <w:rPr>
          <w:lang w:val="ru-RU"/>
        </w:rPr>
        <w:t xml:space="preserve"> в 2023 году сохранялась тенденция к снижению цен на ИКТ, при этом подвижная широкополосная связь только для передачи данных стала более приемлемой в ценовом отношении в глобальном масштабе и для разных групп по уровню дохода. В странах, по которым имеются данные, за период с 2017 года (базовый год) по 2023</w:t>
      </w:r>
      <w:r w:rsidR="00324ACC">
        <w:rPr>
          <w:lang w:val="en-US"/>
        </w:rPr>
        <w:t> </w:t>
      </w:r>
      <w:r w:rsidRPr="00F644BA">
        <w:rPr>
          <w:lang w:val="ru-RU"/>
        </w:rPr>
        <w:t>год произошло падение цен на 36 процентов с точки зрения ВНД на душу населения.</w:t>
      </w:r>
    </w:p>
    <w:p w14:paraId="3B474332" w14:textId="49F1D6E3" w:rsidR="002E05B4" w:rsidRPr="00F644BA" w:rsidRDefault="002E05B4" w:rsidP="00324ACC">
      <w:pPr>
        <w:rPr>
          <w:rFonts w:eastAsia="Calibri" w:cs="Calibri"/>
          <w:lang w:val="ru-RU"/>
        </w:rPr>
      </w:pPr>
      <w:r w:rsidRPr="00F644BA">
        <w:rPr>
          <w:lang w:val="ru-RU"/>
        </w:rPr>
        <w:t>Что касается роста числа контрактов, целевой показатель 1,5</w:t>
      </w:r>
      <w:r w:rsidR="00E84FD6">
        <w:rPr>
          <w:lang w:val="ru-RU"/>
        </w:rPr>
        <w:t xml:space="preserve">, предусмотренный в Стратегическом плане МСЭ на 2020–2023 годы, </w:t>
      </w:r>
      <w:r w:rsidRPr="00F644BA">
        <w:rPr>
          <w:lang w:val="ru-RU"/>
        </w:rPr>
        <w:t>направлен на 50-процентное увеличение с 2017</w:t>
      </w:r>
      <w:r w:rsidR="007E206D">
        <w:t> </w:t>
      </w:r>
      <w:r w:rsidRPr="00F644BA">
        <w:rPr>
          <w:lang w:val="ru-RU"/>
        </w:rPr>
        <w:t>по 2023 год. Число контрактов на фиксированную широкополосную связь за этот период увеличилось на 45,6 процента. Темпы роста варьировались в зависимости от уровня доходов: 56,5 процента для стран с низким уровнем дохода, 100,8 процента для стран с уровнем дохода ниже среднего, 56,7 процента для стран с уровнем дохода выше среднего и 20,4 процента для стран с высоким уровнем дохода. Число контрактов на подвижную широкополосную связь выросло на 48,2 процента при меняющихся темпах роста: 130,3</w:t>
      </w:r>
      <w:r w:rsidR="003F6C77">
        <w:rPr>
          <w:lang w:val="en-US"/>
        </w:rPr>
        <w:t> </w:t>
      </w:r>
      <w:r w:rsidRPr="00F644BA">
        <w:rPr>
          <w:lang w:val="ru-RU"/>
        </w:rPr>
        <w:t>процента для стран с низким уровнем дохода, 99,9 процента для стран с уровнем дохода ниже среднего, 31,6 процента для стран с высоким уровнем дохода и 31,1 процента для стран с высоким уровнем дохода. Хотя целево</w:t>
      </w:r>
      <w:r>
        <w:rPr>
          <w:lang w:val="ru-RU"/>
        </w:rPr>
        <w:t xml:space="preserve">й показатель </w:t>
      </w:r>
      <w:r w:rsidRPr="00F644BA">
        <w:rPr>
          <w:lang w:val="ru-RU"/>
        </w:rPr>
        <w:t xml:space="preserve">по этому </w:t>
      </w:r>
      <w:r>
        <w:rPr>
          <w:lang w:val="ru-RU"/>
        </w:rPr>
        <w:t xml:space="preserve">индикатору </w:t>
      </w:r>
      <w:r w:rsidRPr="00F644BA">
        <w:rPr>
          <w:lang w:val="ru-RU"/>
        </w:rPr>
        <w:t>не был достигнут, число контрактов на широкополосную связь значительно возросло, особенно в странах с низким уровнем дохода.</w:t>
      </w:r>
    </w:p>
    <w:p w14:paraId="1AC06CFA" w14:textId="77777777" w:rsidR="002E05B4" w:rsidRPr="00F644BA" w:rsidRDefault="002E05B4" w:rsidP="00324ACC">
      <w:pPr>
        <w:pStyle w:val="Heading3"/>
        <w:rPr>
          <w:lang w:val="ru-RU"/>
        </w:rPr>
      </w:pPr>
      <w:bookmarkStart w:id="36" w:name="_Toc168049882"/>
      <w:r w:rsidRPr="00F644BA">
        <w:rPr>
          <w:lang w:val="ru-RU"/>
        </w:rPr>
        <w:t>3.1.2</w:t>
      </w:r>
      <w:r w:rsidRPr="00F644BA">
        <w:rPr>
          <w:lang w:val="ru-RU"/>
        </w:rPr>
        <w:tab/>
      </w:r>
      <w:r>
        <w:rPr>
          <w:lang w:val="ru-RU"/>
        </w:rPr>
        <w:t>Открытость</w:t>
      </w:r>
      <w:r w:rsidRPr="00F644BA">
        <w:rPr>
          <w:lang w:val="ru-RU"/>
        </w:rPr>
        <w:t xml:space="preserve"> (устранение пробелов)</w:t>
      </w:r>
      <w:bookmarkEnd w:id="36"/>
      <w:r w:rsidRPr="00F644BA">
        <w:rPr>
          <w:lang w:val="ru-RU"/>
        </w:rPr>
        <w:t xml:space="preserve"> </w:t>
      </w:r>
    </w:p>
    <w:p w14:paraId="63217D4C" w14:textId="655B1743" w:rsidR="002E05B4" w:rsidRPr="00F644BA" w:rsidRDefault="002E05B4" w:rsidP="00324ACC">
      <w:pPr>
        <w:rPr>
          <w:lang w:val="ru-RU"/>
        </w:rPr>
      </w:pPr>
      <w:r w:rsidRPr="00F644BA">
        <w:rPr>
          <w:b/>
          <w:bCs/>
          <w:lang w:val="ru-RU"/>
        </w:rPr>
        <w:t>Доступ</w:t>
      </w:r>
      <w:r w:rsidRPr="003F6C77">
        <w:rPr>
          <w:lang w:val="ru-RU"/>
        </w:rPr>
        <w:t>:</w:t>
      </w:r>
      <w:r w:rsidRPr="00F644BA">
        <w:rPr>
          <w:lang w:val="ru-RU"/>
        </w:rPr>
        <w:t xml:space="preserve"> в странах с низким уровнем дохода доля пользователей интернета среди населения составляет 27 процентов по сравнению с 24 процентами в 2022 году. В странах с низким уровнем дохода доля пользователей интернета с 2020 года увеличилась на 44 процента и только за последний год </w:t>
      </w:r>
      <w:r w:rsidR="003F6C77" w:rsidRPr="003F6C77">
        <w:rPr>
          <w:lang w:val="ru-RU"/>
        </w:rPr>
        <w:t>−</w:t>
      </w:r>
      <w:r w:rsidRPr="00F644BA">
        <w:rPr>
          <w:lang w:val="ru-RU"/>
        </w:rPr>
        <w:t xml:space="preserve"> на 14 процентов. В странах с низким и средним уровнем дохода (категория стран, схожая с использовавшейся ранее группой "</w:t>
      </w:r>
      <w:r w:rsidRPr="00F644BA">
        <w:rPr>
          <w:i/>
          <w:iCs/>
          <w:lang w:val="ru-RU"/>
        </w:rPr>
        <w:t>развивающиеся страны</w:t>
      </w:r>
      <w:r w:rsidRPr="00F644BA">
        <w:rPr>
          <w:lang w:val="ru-RU"/>
        </w:rPr>
        <w:t>") в 2023</w:t>
      </w:r>
      <w:r w:rsidR="003F6C77">
        <w:rPr>
          <w:lang w:val="en-US"/>
        </w:rPr>
        <w:t> </w:t>
      </w:r>
      <w:r w:rsidRPr="00F644BA">
        <w:rPr>
          <w:lang w:val="ru-RU"/>
        </w:rPr>
        <w:t>году интернетом пользовались 63 процента населения. Однако по-прежнему сохраняются значительные разрывы в использовании интернета между регионами. В Африке пользователи интернета составляют лишь 37 процентов населения. Универсальная возможность установления соединений также остается отдаленной перспективой в наименее развитых странах (НРС) и развивающихся странах, не имеющих выхода к морю (ЛЛДС), где только 35 и 39</w:t>
      </w:r>
      <w:r w:rsidR="003F6C77">
        <w:rPr>
          <w:lang w:val="en-US"/>
        </w:rPr>
        <w:t> </w:t>
      </w:r>
      <w:r w:rsidRPr="00F644BA">
        <w:rPr>
          <w:lang w:val="ru-RU"/>
        </w:rPr>
        <w:t>процентов населения соответственно имеют доступ к интернету.</w:t>
      </w:r>
    </w:p>
    <w:p w14:paraId="16D0BB95" w14:textId="77777777" w:rsidR="002E05B4" w:rsidRPr="00F644BA" w:rsidRDefault="002E05B4" w:rsidP="00324ACC">
      <w:pPr>
        <w:rPr>
          <w:lang w:val="ru-RU"/>
        </w:rPr>
      </w:pPr>
      <w:r w:rsidRPr="00F644BA">
        <w:rPr>
          <w:b/>
          <w:bCs/>
          <w:lang w:val="ru-RU"/>
        </w:rPr>
        <w:t>Приемлемость в ценовом отношении</w:t>
      </w:r>
      <w:r w:rsidRPr="003F6C77">
        <w:rPr>
          <w:lang w:val="ru-RU"/>
        </w:rPr>
        <w:t>:</w:t>
      </w:r>
      <w:r w:rsidRPr="00F644BA">
        <w:rPr>
          <w:lang w:val="ru-RU"/>
        </w:rPr>
        <w:t xml:space="preserve"> несмотря на тенденцию к снижению цен, отсутствие доступности в ценовом отношении по-прежнему остается одним из основных препятствий для доступа в интернет, особенно в странах с низким уровнем дохода. Однако, учитывая совокупность стран с данными за период с 2017 (базовый год) по 2023 год, разница между странами с высоким доходом и уровнем дохода ниже среднего сократилась на 42 процента.</w:t>
      </w:r>
    </w:p>
    <w:p w14:paraId="32E7C956" w14:textId="060B13EE" w:rsidR="002E05B4" w:rsidRPr="00F644BA" w:rsidRDefault="002E05B4" w:rsidP="00324ACC">
      <w:pPr>
        <w:rPr>
          <w:rFonts w:eastAsia="Calibri" w:cs="Calibri"/>
          <w:lang w:val="ru-RU"/>
        </w:rPr>
      </w:pPr>
      <w:r w:rsidRPr="00F644BA">
        <w:rPr>
          <w:b/>
          <w:bCs/>
          <w:lang w:val="ru-RU"/>
        </w:rPr>
        <w:lastRenderedPageBreak/>
        <w:t>Гендерные аспекты</w:t>
      </w:r>
      <w:r w:rsidRPr="003F6C77">
        <w:rPr>
          <w:lang w:val="ru-RU"/>
        </w:rPr>
        <w:t>:</w:t>
      </w:r>
      <w:r w:rsidRPr="00F644BA">
        <w:rPr>
          <w:lang w:val="ru-RU"/>
        </w:rPr>
        <w:t xml:space="preserve"> в 2023 году во всем мире интернетом пользовались 70 процентов мужчин и 65 процентов женщин, в результате чего среди пользователей интернета мужчин было на 250</w:t>
      </w:r>
      <w:r w:rsidR="003F6C77">
        <w:rPr>
          <w:lang w:val="en-US"/>
        </w:rPr>
        <w:t> </w:t>
      </w:r>
      <w:r w:rsidRPr="00F644BA">
        <w:rPr>
          <w:lang w:val="ru-RU"/>
        </w:rPr>
        <w:t>миллионов больше, чем женщин. Показатель гендерного паритета увеличился с 0,90 в 2019</w:t>
      </w:r>
      <w:r w:rsidR="003F6C77">
        <w:rPr>
          <w:lang w:val="en-US"/>
        </w:rPr>
        <w:t> </w:t>
      </w:r>
      <w:r w:rsidRPr="00F644BA">
        <w:rPr>
          <w:lang w:val="ru-RU"/>
        </w:rPr>
        <w:t>году до 0,92 в 2023 году, что свидетельствует о прогрессе в деле достижения паритета. Вместе с тем сохраняется значительное неравенство, особенно в Африке, где мужчины пользуются интернетом на 30 процентов чаще, чем женщины. Наименее развитые страны и развивающиеся страны, не имеющие выхода к морю, также сталкиваются с трудностями в достижении гендерного паритета, несмотря на достигнутый в последнее время прогресс. С</w:t>
      </w:r>
      <w:r w:rsidR="007E206D">
        <w:t> </w:t>
      </w:r>
      <w:r w:rsidRPr="00F644BA">
        <w:rPr>
          <w:lang w:val="ru-RU"/>
        </w:rPr>
        <w:t>2019 года развивающиеся страны, не имеющие выхода к морю, добились лишь ограниченного прогресса в достижении гендерного паритета. Что касается владения телефоном, то женщины владеют телефоном на 8 процентов реже, чем мужчины, что на 35</w:t>
      </w:r>
      <w:r w:rsidR="007E206D">
        <w:t> </w:t>
      </w:r>
      <w:r w:rsidRPr="00F644BA">
        <w:rPr>
          <w:lang w:val="ru-RU"/>
        </w:rPr>
        <w:t>процентов превышает подобный показатель среди мужчин, не владеющих телефоном.</w:t>
      </w:r>
    </w:p>
    <w:p w14:paraId="50B1B5A4" w14:textId="77777777" w:rsidR="002E05B4" w:rsidRPr="00F644BA" w:rsidRDefault="002E05B4" w:rsidP="00324ACC">
      <w:pPr>
        <w:rPr>
          <w:lang w:val="ru-RU"/>
        </w:rPr>
      </w:pPr>
      <w:r w:rsidRPr="00F644BA">
        <w:rPr>
          <w:b/>
          <w:bCs/>
          <w:lang w:val="ru-RU"/>
        </w:rPr>
        <w:t>Доступность</w:t>
      </w:r>
      <w:r w:rsidRPr="003F6C77">
        <w:rPr>
          <w:lang w:val="ru-RU"/>
        </w:rPr>
        <w:t>:</w:t>
      </w:r>
      <w:r w:rsidRPr="00F644BA">
        <w:rPr>
          <w:lang w:val="ru-RU"/>
        </w:rPr>
        <w:t xml:space="preserve"> число стран, создавших нормативную базу для обеспечения доступности ИКТ для лиц с ограниченными возможностями, почти удвоилось с 61 в 2018 году до 117 в 2023 году.</w:t>
      </w:r>
    </w:p>
    <w:p w14:paraId="4C923516" w14:textId="77777777" w:rsidR="002E05B4" w:rsidRPr="00F644BA" w:rsidRDefault="002E05B4" w:rsidP="00324ACC">
      <w:pPr>
        <w:pStyle w:val="Heading3"/>
        <w:rPr>
          <w:lang w:val="ru-RU"/>
        </w:rPr>
      </w:pPr>
      <w:bookmarkStart w:id="37" w:name="_Toc168049883"/>
      <w:r w:rsidRPr="00F644BA">
        <w:rPr>
          <w:lang w:val="ru-RU"/>
        </w:rPr>
        <w:t>3.1.3</w:t>
      </w:r>
      <w:r w:rsidRPr="00F644BA">
        <w:rPr>
          <w:lang w:val="ru-RU"/>
        </w:rPr>
        <w:tab/>
        <w:t>Устойчивость</w:t>
      </w:r>
      <w:bookmarkEnd w:id="37"/>
    </w:p>
    <w:p w14:paraId="200B7080" w14:textId="4DC74126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 xml:space="preserve">В целом для полной оценки прогресса в деле достижения целевых показателей МСЭ в области устойчивости требуется больше данных. </w:t>
      </w:r>
    </w:p>
    <w:p w14:paraId="71E79A5D" w14:textId="2B20F9A2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u w:val="single"/>
          <w:lang w:val="ru-RU"/>
        </w:rPr>
        <w:t>Глобальный показатель переработки электронных отходов</w:t>
      </w:r>
      <w:r w:rsidRPr="00F644BA">
        <w:rPr>
          <w:lang w:val="ru-RU"/>
        </w:rPr>
        <w:t xml:space="preserve"> в 2017 году составил 20 процентов, а в 2019 году, до кризиса, вызванного COVID-19, – около 17 процентов. К 2022 году этот показатель увеличился до 22,3 процента (см. последний выпуск </w:t>
      </w:r>
      <w:hyperlink r:id="rId33" w:history="1">
        <w:r w:rsidRPr="00F644BA">
          <w:rPr>
            <w:rStyle w:val="Hyperlink"/>
            <w:szCs w:val="24"/>
            <w:lang w:val="ru-RU"/>
          </w:rPr>
          <w:t>"Глобального мониторинга электронных отходов"</w:t>
        </w:r>
      </w:hyperlink>
      <w:r w:rsidRPr="00F644BA">
        <w:rPr>
          <w:lang w:val="ru-RU"/>
        </w:rPr>
        <w:t>). Этот результат показывает хороший прогресс, который, однако</w:t>
      </w:r>
      <w:r w:rsidR="007E206D" w:rsidRPr="007E206D">
        <w:rPr>
          <w:lang w:val="ru-RU"/>
        </w:rPr>
        <w:t>,</w:t>
      </w:r>
      <w:r w:rsidRPr="00F644BA">
        <w:rPr>
          <w:lang w:val="ru-RU"/>
        </w:rPr>
        <w:t xml:space="preserve"> существенно далек от целевого показателя 30 процентов: для достижения этой цели официальный сбор и утилизация должны осуществляться гораздо более быстрыми темпами. Кроме того, в 2019 году во всем мире, как сообщается, были произведены рекордные 53,6</w:t>
      </w:r>
      <w:r w:rsidR="003F6C77">
        <w:rPr>
          <w:lang w:val="en-US"/>
        </w:rPr>
        <w:t> </w:t>
      </w:r>
      <w:r w:rsidRPr="00F644BA">
        <w:rPr>
          <w:lang w:val="ru-RU"/>
        </w:rPr>
        <w:t>миллиона метрических тонн (млн</w:t>
      </w:r>
      <w:r>
        <w:rPr>
          <w:lang w:val="ru-RU"/>
        </w:rPr>
        <w:t>.</w:t>
      </w:r>
      <w:r w:rsidRPr="00F644BA">
        <w:rPr>
          <w:lang w:val="ru-RU"/>
        </w:rPr>
        <w:t xml:space="preserve"> т) электронных отходов – выброшенных продуктов с аккумулятором или вилкой, таких как компьютеры и мобильные телефоны, и за последние пять лет этот показатель вырос на 9,2 млн</w:t>
      </w:r>
      <w:r>
        <w:rPr>
          <w:lang w:val="ru-RU"/>
        </w:rPr>
        <w:t>.</w:t>
      </w:r>
      <w:r w:rsidRPr="00F644BA">
        <w:rPr>
          <w:lang w:val="ru-RU"/>
        </w:rPr>
        <w:t xml:space="preserve"> т. Согласно новому отчету, к 2030 году объем глобальных электронных отходов достигнет 74,7 млн</w:t>
      </w:r>
      <w:r>
        <w:rPr>
          <w:lang w:val="ru-RU"/>
        </w:rPr>
        <w:t>.</w:t>
      </w:r>
      <w:r w:rsidRPr="00F644BA">
        <w:rPr>
          <w:lang w:val="ru-RU"/>
        </w:rPr>
        <w:t xml:space="preserve"> т, что почти вдвое превышает показатель 2014 года; это обусловлено увеличением темпов потребления электрического и электронного оборудования, сокращением сроков службы и ограниченными возможностями ремонта. Выпуск "Глобальный мониторинг электронных отходов" прогнозирует снижение задокументированных темпов сбора и утилизации с 22,3 процента в 2022 году до 20 процентов к 2030 году ввиду увеличивающейся разницы в деятельности по переработке по сравнению с ошеломляющим ростом образования электронных отходов во всем мире.</w:t>
      </w:r>
    </w:p>
    <w:p w14:paraId="5D19E702" w14:textId="68C97D74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>С другой стороны, уверенный прогресс достигнут в реализации к 2023 году политики, законодательства или регулирования в области электронных отходов для 50 процентов стран (около 97), при этом их число выросло с 48 стран в 2016 году до примерно 81 страны в 2023</w:t>
      </w:r>
      <w:r w:rsidR="003F6C77">
        <w:rPr>
          <w:lang w:val="en-US"/>
        </w:rPr>
        <w:t> </w:t>
      </w:r>
      <w:r w:rsidRPr="00F644BA">
        <w:rPr>
          <w:lang w:val="ru-RU"/>
        </w:rPr>
        <w:t xml:space="preserve">году. </w:t>
      </w:r>
    </w:p>
    <w:p w14:paraId="45C01011" w14:textId="45F6D3CB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 xml:space="preserve">Что касается </w:t>
      </w:r>
      <w:r w:rsidRPr="00F644BA">
        <w:rPr>
          <w:u w:val="single"/>
          <w:lang w:val="ru-RU"/>
        </w:rPr>
        <w:t>воздействия на климат</w:t>
      </w:r>
      <w:r w:rsidRPr="00F644BA">
        <w:rPr>
          <w:lang w:val="ru-RU"/>
        </w:rPr>
        <w:t xml:space="preserve"> (</w:t>
      </w:r>
      <w:r w:rsidR="00B40741">
        <w:rPr>
          <w:lang w:val="ru-RU"/>
        </w:rPr>
        <w:t xml:space="preserve">в этом отношении </w:t>
      </w:r>
      <w:r w:rsidR="00E84FD6">
        <w:rPr>
          <w:lang w:val="ru-RU"/>
        </w:rPr>
        <w:t>Стратегическ</w:t>
      </w:r>
      <w:r w:rsidR="00B40741">
        <w:rPr>
          <w:lang w:val="ru-RU"/>
        </w:rPr>
        <w:t>ий</w:t>
      </w:r>
      <w:r w:rsidR="00E84FD6">
        <w:rPr>
          <w:lang w:val="ru-RU"/>
        </w:rPr>
        <w:t xml:space="preserve"> план</w:t>
      </w:r>
      <w:r w:rsidR="00E84FD6" w:rsidRPr="00F644BA">
        <w:rPr>
          <w:lang w:val="ru-RU"/>
        </w:rPr>
        <w:t xml:space="preserve"> </w:t>
      </w:r>
      <w:r w:rsidRPr="00F644BA">
        <w:rPr>
          <w:lang w:val="ru-RU"/>
        </w:rPr>
        <w:t>на 2020</w:t>
      </w:r>
      <w:r w:rsidR="00E55E04" w:rsidRPr="003F6C77">
        <w:rPr>
          <w:lang w:val="ru-RU"/>
        </w:rPr>
        <w:t>−</w:t>
      </w:r>
      <w:r w:rsidRPr="00F644BA">
        <w:rPr>
          <w:lang w:val="ru-RU"/>
        </w:rPr>
        <w:t>2023 годы</w:t>
      </w:r>
      <w:r w:rsidR="00B40741">
        <w:rPr>
          <w:lang w:val="ru-RU"/>
        </w:rPr>
        <w:t xml:space="preserve"> ориентирован</w:t>
      </w:r>
      <w:r w:rsidRPr="00F644BA">
        <w:rPr>
          <w:lang w:val="ru-RU"/>
        </w:rPr>
        <w:t xml:space="preserve"> на чистое сокращение выбросов парниковых газов, связанных с электросвязью/ИКТ), МСЭ разработал стандарты, основанные на научно обоснованных целевых показателях, для достижения чистых нулевых выбросов ИКТ, а также для измерения стимулирующего эффекта решений ИКТ для сокращения выбросов парниковых газов в других секторах (стандарты серии</w:t>
      </w:r>
      <w:r w:rsidR="00E55E04">
        <w:rPr>
          <w:lang w:val="en-US"/>
        </w:rPr>
        <w:t> </w:t>
      </w:r>
      <w:r w:rsidRPr="00F644BA">
        <w:rPr>
          <w:lang w:val="ru-RU"/>
        </w:rPr>
        <w:t>L упоминаются в разделе 1). Однако они еще не применялись на систематической основе для измерения достигнутого прогресса. Ведется работа по разработке стандартизированной методики для создания базы данных по выбросам парниковых газов на национальном и мировом уровне, а также по коэффициентам выбросов.</w:t>
      </w:r>
      <w:r w:rsidR="00E84FD6">
        <w:rPr>
          <w:lang w:val="ru-RU"/>
        </w:rPr>
        <w:t xml:space="preserve"> </w:t>
      </w:r>
      <w:r w:rsidR="00E84FD6" w:rsidRPr="00E84FD6">
        <w:rPr>
          <w:lang w:val="ru-RU"/>
        </w:rPr>
        <w:t xml:space="preserve">Кроме того, МСЭ вместе с более чем 40 партнерами, </w:t>
      </w:r>
      <w:r w:rsidR="00E84FD6">
        <w:rPr>
          <w:lang w:val="ru-RU"/>
        </w:rPr>
        <w:t>в число которых входят</w:t>
      </w:r>
      <w:r w:rsidR="00E84FD6" w:rsidRPr="00E84FD6">
        <w:rPr>
          <w:lang w:val="ru-RU"/>
        </w:rPr>
        <w:t xml:space="preserve"> правительства, </w:t>
      </w:r>
      <w:r w:rsidR="00B40741">
        <w:rPr>
          <w:lang w:val="ru-RU"/>
        </w:rPr>
        <w:t>коммерческие предприятия</w:t>
      </w:r>
      <w:r w:rsidR="00E84FD6" w:rsidRPr="00E84FD6">
        <w:rPr>
          <w:lang w:val="ru-RU"/>
        </w:rPr>
        <w:t xml:space="preserve">, </w:t>
      </w:r>
      <w:r w:rsidR="00B40741">
        <w:rPr>
          <w:lang w:val="ru-RU"/>
        </w:rPr>
        <w:t xml:space="preserve">представители </w:t>
      </w:r>
      <w:r w:rsidR="00E84FD6" w:rsidRPr="00E84FD6">
        <w:rPr>
          <w:lang w:val="ru-RU"/>
        </w:rPr>
        <w:t>гражданско</w:t>
      </w:r>
      <w:r w:rsidR="00B40741">
        <w:rPr>
          <w:lang w:val="ru-RU"/>
        </w:rPr>
        <w:t>го</w:t>
      </w:r>
      <w:r w:rsidR="00E84FD6" w:rsidRPr="00E84FD6">
        <w:rPr>
          <w:lang w:val="ru-RU"/>
        </w:rPr>
        <w:t xml:space="preserve"> обществ</w:t>
      </w:r>
      <w:r w:rsidR="00B40741">
        <w:rPr>
          <w:lang w:val="ru-RU"/>
        </w:rPr>
        <w:t>а, а также</w:t>
      </w:r>
      <w:r w:rsidR="00E84FD6" w:rsidRPr="00E84FD6">
        <w:rPr>
          <w:lang w:val="ru-RU"/>
        </w:rPr>
        <w:t xml:space="preserve"> другие </w:t>
      </w:r>
      <w:r w:rsidR="00E84FD6">
        <w:rPr>
          <w:lang w:val="ru-RU"/>
        </w:rPr>
        <w:t>учреждения</w:t>
      </w:r>
      <w:r w:rsidR="00E84FD6" w:rsidRPr="00E84FD6">
        <w:rPr>
          <w:lang w:val="ru-RU"/>
        </w:rPr>
        <w:t xml:space="preserve"> ООН, </w:t>
      </w:r>
      <w:r w:rsidR="00C53C9C">
        <w:rPr>
          <w:lang w:val="ru-RU"/>
        </w:rPr>
        <w:lastRenderedPageBreak/>
        <w:t xml:space="preserve">реализовал сегмент </w:t>
      </w:r>
      <w:r w:rsidR="00C53C9C" w:rsidRPr="00E84FD6">
        <w:rPr>
          <w:lang w:val="ru-RU"/>
        </w:rPr>
        <w:t>"</w:t>
      </w:r>
      <w:r w:rsidR="00C53C9C">
        <w:rPr>
          <w:lang w:val="ru-RU"/>
        </w:rPr>
        <w:t>Зеленая цифровая кампания</w:t>
      </w:r>
      <w:r w:rsidR="00C53C9C" w:rsidRPr="00E84FD6">
        <w:rPr>
          <w:lang w:val="ru-RU"/>
        </w:rPr>
        <w:t>"</w:t>
      </w:r>
      <w:r w:rsidR="00E84FD6" w:rsidRPr="00E84FD6">
        <w:rPr>
          <w:lang w:val="ru-RU"/>
        </w:rPr>
        <w:t xml:space="preserve"> (GDA) </w:t>
      </w:r>
      <w:r w:rsidR="00B40741">
        <w:rPr>
          <w:lang w:val="ru-RU"/>
        </w:rPr>
        <w:t xml:space="preserve">в рамках КС-28 </w:t>
      </w:r>
      <w:r w:rsidR="00E84FD6" w:rsidRPr="00E84FD6">
        <w:rPr>
          <w:lang w:val="ru-RU"/>
        </w:rPr>
        <w:t xml:space="preserve">для активизации </w:t>
      </w:r>
      <w:r w:rsidR="00C53C9C">
        <w:rPr>
          <w:lang w:val="ru-RU"/>
        </w:rPr>
        <w:t>мер по использованию цифровых технологий для борьбы с изменением климата</w:t>
      </w:r>
      <w:r w:rsidR="00E84FD6" w:rsidRPr="00E84FD6">
        <w:rPr>
          <w:lang w:val="ru-RU"/>
        </w:rPr>
        <w:t xml:space="preserve">. В частности, </w:t>
      </w:r>
      <w:r w:rsidR="00C53C9C">
        <w:rPr>
          <w:lang w:val="ru-RU"/>
        </w:rPr>
        <w:t xml:space="preserve">была учреждения </w:t>
      </w:r>
      <w:r w:rsidR="00E84FD6" w:rsidRPr="00E84FD6">
        <w:rPr>
          <w:lang w:val="ru-RU"/>
        </w:rPr>
        <w:t>Рабочая группа GDA по внедрению "зеленых" стандартов</w:t>
      </w:r>
      <w:r w:rsidR="00C53C9C">
        <w:rPr>
          <w:lang w:val="ru-RU"/>
        </w:rPr>
        <w:t>.</w:t>
      </w:r>
    </w:p>
    <w:p w14:paraId="74353BEE" w14:textId="6DE738E5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 xml:space="preserve">В то же время полезным косвенным источником являются данные из </w:t>
      </w:r>
      <w:hyperlink r:id="rId34" w:history="1">
        <w:r w:rsidRPr="00F644BA">
          <w:rPr>
            <w:rStyle w:val="Hyperlink"/>
            <w:szCs w:val="24"/>
            <w:lang w:val="ru-RU"/>
          </w:rPr>
          <w:t>совместного доклада</w:t>
        </w:r>
      </w:hyperlink>
      <w:r w:rsidRPr="00F644BA">
        <w:rPr>
          <w:lang w:val="ru-RU"/>
        </w:rPr>
        <w:t xml:space="preserve"> МСЭ и Всемирного банка (в качестве вклада в "Зеленую цифровую кампанию"). В докладе представлены подробные данные о выбросах </w:t>
      </w:r>
      <w:r>
        <w:rPr>
          <w:lang w:val="ru-RU"/>
        </w:rPr>
        <w:t xml:space="preserve">парниковых газов </w:t>
      </w:r>
      <w:r w:rsidRPr="00F644BA">
        <w:rPr>
          <w:lang w:val="ru-RU"/>
        </w:rPr>
        <w:t>и энергопотреблении для сектора ИКТ в 30 странах с наибольшим объемом выбросов, в частности для электросвязи и центров обработки данных. Последние результаты показывают, что общий объем выбросов в секторе электросвязи (м</w:t>
      </w:r>
      <w:r>
        <w:rPr>
          <w:lang w:val="ru-RU"/>
        </w:rPr>
        <w:t xml:space="preserve">лн. </w:t>
      </w:r>
      <w:r w:rsidRPr="00F644BA">
        <w:rPr>
          <w:lang w:val="ru-RU"/>
        </w:rPr>
        <w:t>т</w:t>
      </w:r>
      <w:r>
        <w:rPr>
          <w:lang w:val="ru-RU"/>
        </w:rPr>
        <w:t>онн</w:t>
      </w:r>
      <w:r w:rsidRPr="00F644BA">
        <w:rPr>
          <w:lang w:val="ru-RU"/>
        </w:rPr>
        <w:t xml:space="preserve"> CO</w:t>
      </w:r>
      <w:r w:rsidRPr="00F644BA">
        <w:rPr>
          <w:vertAlign w:val="subscript"/>
          <w:lang w:val="ru-RU"/>
        </w:rPr>
        <w:t>2</w:t>
      </w:r>
      <w:r w:rsidRPr="00F644BA">
        <w:rPr>
          <w:lang w:val="ru-RU"/>
        </w:rPr>
        <w:t>) оставался стабильным, немного снизившись со 135 в 2020</w:t>
      </w:r>
      <w:r w:rsidR="00324ACC">
        <w:rPr>
          <w:lang w:val="en-US"/>
        </w:rPr>
        <w:t> </w:t>
      </w:r>
      <w:r w:rsidRPr="00F644BA">
        <w:rPr>
          <w:lang w:val="ru-RU"/>
        </w:rPr>
        <w:t>году до 133 в 2023 году. В докладе также представлены тематические исследования из нескольких стран, которые отчитываются о выбросах и энергопотреблении ИКТ, с целью изучения регуляторных подходов и политических последствий, вытекающих из полученных данных.</w:t>
      </w:r>
    </w:p>
    <w:p w14:paraId="39491EE9" w14:textId="77777777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 xml:space="preserve">Что касается целевого показателя по </w:t>
      </w:r>
      <w:r w:rsidRPr="00F644BA">
        <w:rPr>
          <w:u w:val="single"/>
          <w:lang w:val="ru-RU"/>
        </w:rPr>
        <w:t>кибербезопасности</w:t>
      </w:r>
      <w:r w:rsidRPr="00F644BA">
        <w:rPr>
          <w:lang w:val="ru-RU"/>
        </w:rPr>
        <w:t xml:space="preserve"> ("Улучшение готовности стран к кибербезопасности с ключевыми возможностями: наличие стратегии, национальные группы реагирования на компьютерные инциденты/нарушения компьютерной защиты и законодательство"), то доля стран, в которых созданы группы CIRT/CERT, увеличилась с примерно 55 процентов в 2018 году до 65 процентов в 2023 году, в то время как число стран, имеющих национальные стратегии и планы действий в области кибербезопасности, увеличилось до 127 стран в 2023 году по сравнению со 107 странами в 2020 году. </w:t>
      </w:r>
    </w:p>
    <w:p w14:paraId="45339774" w14:textId="35BC956A" w:rsidR="002E05B4" w:rsidRPr="00F644BA" w:rsidRDefault="002E05B4" w:rsidP="00324ACC">
      <w:pPr>
        <w:rPr>
          <w:color w:val="000000" w:themeColor="text1"/>
          <w:lang w:val="ru-RU"/>
        </w:rPr>
      </w:pPr>
      <w:r w:rsidRPr="00F644BA">
        <w:rPr>
          <w:lang w:val="ru-RU"/>
        </w:rPr>
        <w:t xml:space="preserve">Процентная доля стран, имеющих национальный план электросвязи в чрезвычайных ситуациях в рамках национальной и местной </w:t>
      </w:r>
      <w:r w:rsidRPr="00F644BA">
        <w:rPr>
          <w:u w:val="single"/>
          <w:lang w:val="ru-RU"/>
        </w:rPr>
        <w:t>стратегии снижения риска бедствий</w:t>
      </w:r>
      <w:r w:rsidRPr="00F644BA">
        <w:rPr>
          <w:lang w:val="ru-RU"/>
        </w:rPr>
        <w:t>, увеличилась с 66</w:t>
      </w:r>
      <w:r w:rsidR="00E55E04">
        <w:rPr>
          <w:lang w:val="en-US"/>
        </w:rPr>
        <w:t> </w:t>
      </w:r>
      <w:r w:rsidRPr="00F644BA">
        <w:rPr>
          <w:lang w:val="ru-RU"/>
        </w:rPr>
        <w:t>процентов в 2020 году до 83 процентов в 2023 году, что существенно, но значительно отстает от целевого показателя 2023 года ("Все страны").</w:t>
      </w:r>
    </w:p>
    <w:p w14:paraId="67460991" w14:textId="5EE5363C" w:rsidR="002E05B4" w:rsidRPr="00F644BA" w:rsidRDefault="002E05B4" w:rsidP="00324ACC">
      <w:pPr>
        <w:pStyle w:val="Heading3"/>
        <w:rPr>
          <w:lang w:val="ru-RU"/>
        </w:rPr>
      </w:pPr>
      <w:bookmarkStart w:id="38" w:name="_Toc168049884"/>
      <w:r w:rsidRPr="00F644BA">
        <w:rPr>
          <w:lang w:val="ru-RU"/>
        </w:rPr>
        <w:t>3.1.4</w:t>
      </w:r>
      <w:r w:rsidRPr="00F644BA">
        <w:rPr>
          <w:lang w:val="ru-RU"/>
        </w:rPr>
        <w:tab/>
        <w:t>Инновации</w:t>
      </w:r>
      <w:bookmarkEnd w:id="38"/>
    </w:p>
    <w:p w14:paraId="04E9E402" w14:textId="581F457B" w:rsidR="002E05B4" w:rsidRPr="00F644BA" w:rsidRDefault="002E05B4" w:rsidP="00324ACC">
      <w:pPr>
        <w:rPr>
          <w:rFonts w:eastAsia="Calibri"/>
          <w:lang w:val="ru-RU"/>
        </w:rPr>
      </w:pPr>
      <w:r w:rsidRPr="00F644BA">
        <w:rPr>
          <w:lang w:val="ru-RU"/>
        </w:rPr>
        <w:t>Целевой показатель на 2023 год: "Все страны имеют политику/стратегии содействия инновациям, ориентированным на электросвязь/ИКТ". Фактически собранные данные относятся к "количеству стран, имеющих политику/стратегии содействия инновациям" (а не конкретно "ориентированных на электросвязь/ИКТ"). С учетом этого количество стран увеличилось с 66 стран в 2016 году до 97 (около 50 процентов стран) в 2023 году, и еще предстоит пройти значительный путь для охвата "всех" стран (т. е. до более чем 90</w:t>
      </w:r>
      <w:r w:rsidR="00E55E04" w:rsidRPr="00E55E04">
        <w:rPr>
          <w:lang w:val="ru-RU"/>
        </w:rPr>
        <w:t>−</w:t>
      </w:r>
      <w:r w:rsidRPr="00F644BA">
        <w:rPr>
          <w:lang w:val="ru-RU"/>
        </w:rPr>
        <w:t>95</w:t>
      </w:r>
      <w:r w:rsidR="00E55E04">
        <w:rPr>
          <w:lang w:val="en-US"/>
        </w:rPr>
        <w:t> </w:t>
      </w:r>
      <w:r w:rsidRPr="00F644BA">
        <w:rPr>
          <w:lang w:val="ru-RU"/>
        </w:rPr>
        <w:t xml:space="preserve">процентов). </w:t>
      </w:r>
      <w:bookmarkStart w:id="39" w:name="_Hlk132102230"/>
      <w:bookmarkEnd w:id="39"/>
    </w:p>
    <w:p w14:paraId="1BDCDC86" w14:textId="42B96F07" w:rsidR="002E05B4" w:rsidRPr="00F644BA" w:rsidRDefault="002E05B4" w:rsidP="00324ACC">
      <w:pPr>
        <w:pStyle w:val="Heading3"/>
        <w:rPr>
          <w:rFonts w:eastAsiaTheme="minorEastAsia"/>
          <w:lang w:val="ru-RU"/>
        </w:rPr>
      </w:pPr>
      <w:bookmarkStart w:id="40" w:name="_Toc168049885"/>
      <w:r w:rsidRPr="00F644BA">
        <w:rPr>
          <w:lang w:val="ru-RU"/>
        </w:rPr>
        <w:t>3.1.5</w:t>
      </w:r>
      <w:r w:rsidRPr="00F644BA">
        <w:rPr>
          <w:lang w:val="ru-RU"/>
        </w:rPr>
        <w:tab/>
        <w:t>Партнерство</w:t>
      </w:r>
      <w:bookmarkEnd w:id="40"/>
    </w:p>
    <w:p w14:paraId="0304B236" w14:textId="2927DB94" w:rsidR="002E05B4" w:rsidRPr="00F644BA" w:rsidRDefault="002E05B4" w:rsidP="00324ACC">
      <w:pPr>
        <w:rPr>
          <w:rFonts w:eastAsiaTheme="minorEastAsia"/>
          <w:lang w:val="ru-RU"/>
        </w:rPr>
      </w:pPr>
      <w:r w:rsidRPr="00F644BA">
        <w:rPr>
          <w:lang w:val="ru-RU"/>
        </w:rPr>
        <w:t xml:space="preserve">В качестве косвенного способа оценки "повышенных эффективных партнерских отношений с заинтересованными сторонами и сотрудничества с другими организациями и объединениями в среде электросвязи/ИКТ" мы используем количественную оценку результатов ежегодного обследования членского состава МСЭ. </w:t>
      </w:r>
    </w:p>
    <w:p w14:paraId="66357790" w14:textId="77777777" w:rsidR="002E05B4" w:rsidRPr="00F644BA" w:rsidRDefault="002E05B4" w:rsidP="00324ACC">
      <w:pPr>
        <w:rPr>
          <w:lang w:val="ru-RU"/>
        </w:rPr>
      </w:pPr>
      <w:r w:rsidRPr="00F644BA">
        <w:rPr>
          <w:lang w:val="ru-RU"/>
        </w:rPr>
        <w:t xml:space="preserve">Результаты обследования показывают, что, по мнению членов, значение партнерства/сотрудничества велико и возросло с 2019 года (в 2023 году 61 процент респондентов согласились или полностью согласились). Они также считают, что их организация, работая с другими организациями, получает выгоду от возросшей синергии (около 70 процентов в 2023 году). </w:t>
      </w:r>
    </w:p>
    <w:p w14:paraId="2C38C720" w14:textId="573DD665" w:rsidR="002E05B4" w:rsidRPr="00F644BA" w:rsidRDefault="002E05B4" w:rsidP="00324ACC">
      <w:pPr>
        <w:rPr>
          <w:lang w:val="ru-RU"/>
        </w:rPr>
      </w:pPr>
      <w:r w:rsidRPr="00F644BA">
        <w:rPr>
          <w:lang w:val="ru-RU"/>
        </w:rPr>
        <w:t xml:space="preserve">Следует отметить, что в новом </w:t>
      </w:r>
      <w:r w:rsidR="00C53C9C">
        <w:rPr>
          <w:lang w:val="ru-RU"/>
        </w:rPr>
        <w:t>Стратегическом плане</w:t>
      </w:r>
      <w:r w:rsidRPr="00F644BA">
        <w:rPr>
          <w:lang w:val="ru-RU"/>
        </w:rPr>
        <w:t xml:space="preserve"> (2024–2027 гг.) инновации и партнерство </w:t>
      </w:r>
      <w:r w:rsidR="00C53C9C">
        <w:rPr>
          <w:lang w:val="ru-RU"/>
        </w:rPr>
        <w:t>характеризуются уже не</w:t>
      </w:r>
      <w:r w:rsidRPr="00F644BA">
        <w:rPr>
          <w:lang w:val="ru-RU"/>
        </w:rPr>
        <w:t xml:space="preserve"> к</w:t>
      </w:r>
      <w:r w:rsidR="00C53C9C">
        <w:rPr>
          <w:lang w:val="ru-RU"/>
        </w:rPr>
        <w:t>ак</w:t>
      </w:r>
      <w:r w:rsidRPr="00F644BA">
        <w:rPr>
          <w:lang w:val="ru-RU"/>
        </w:rPr>
        <w:t xml:space="preserve"> цел</w:t>
      </w:r>
      <w:r w:rsidR="00C53C9C">
        <w:rPr>
          <w:lang w:val="ru-RU"/>
        </w:rPr>
        <w:t>и</w:t>
      </w:r>
      <w:r w:rsidRPr="00F644BA">
        <w:rPr>
          <w:lang w:val="ru-RU"/>
        </w:rPr>
        <w:t xml:space="preserve">, а </w:t>
      </w:r>
      <w:r w:rsidR="00C53C9C">
        <w:rPr>
          <w:lang w:val="ru-RU"/>
        </w:rPr>
        <w:t>как ключевые</w:t>
      </w:r>
      <w:r w:rsidR="00846C83">
        <w:rPr>
          <w:lang w:val="ru-RU"/>
        </w:rPr>
        <w:t xml:space="preserve"> </w:t>
      </w:r>
      <w:r w:rsidRPr="00F644BA">
        <w:rPr>
          <w:lang w:val="ru-RU"/>
        </w:rPr>
        <w:t xml:space="preserve">средства достижения </w:t>
      </w:r>
      <w:r w:rsidR="00C53C9C">
        <w:rPr>
          <w:lang w:val="ru-RU"/>
        </w:rPr>
        <w:t xml:space="preserve">стратегических </w:t>
      </w:r>
      <w:r w:rsidRPr="00F644BA">
        <w:rPr>
          <w:lang w:val="ru-RU"/>
        </w:rPr>
        <w:t>целей</w:t>
      </w:r>
      <w:r w:rsidR="00C53C9C">
        <w:rPr>
          <w:lang w:val="ru-RU"/>
        </w:rPr>
        <w:t xml:space="preserve"> МСЭ по обеспечению универсальной возможности установления соединений и устойчивой цифровой трансформации</w:t>
      </w:r>
      <w:r w:rsidRPr="00F644BA">
        <w:rPr>
          <w:lang w:val="ru-RU"/>
        </w:rPr>
        <w:t>.</w:t>
      </w:r>
    </w:p>
    <w:p w14:paraId="193BF21D" w14:textId="7B080299" w:rsidR="002E05B4" w:rsidRPr="00F644BA" w:rsidRDefault="002E05B4" w:rsidP="00324ACC">
      <w:pPr>
        <w:pStyle w:val="Heading2"/>
        <w:rPr>
          <w:lang w:val="ru-RU"/>
        </w:rPr>
      </w:pPr>
      <w:bookmarkStart w:id="41" w:name="_Toc165293891"/>
      <w:bookmarkStart w:id="42" w:name="_Toc168049886"/>
      <w:bookmarkStart w:id="43" w:name="_Toc168050267"/>
      <w:r w:rsidRPr="00F644BA">
        <w:rPr>
          <w:lang w:val="ru-RU"/>
        </w:rPr>
        <w:lastRenderedPageBreak/>
        <w:t>3.2</w:t>
      </w:r>
      <w:r w:rsidRPr="00F644BA">
        <w:rPr>
          <w:lang w:val="ru-RU"/>
        </w:rPr>
        <w:tab/>
        <w:t xml:space="preserve">Сравнение </w:t>
      </w:r>
      <w:r>
        <w:rPr>
          <w:lang w:val="ru-RU"/>
        </w:rPr>
        <w:t xml:space="preserve">с </w:t>
      </w:r>
      <w:r w:rsidRPr="00F644BA">
        <w:rPr>
          <w:lang w:val="ru-RU"/>
        </w:rPr>
        <w:t>целевы</w:t>
      </w:r>
      <w:r>
        <w:rPr>
          <w:lang w:val="ru-RU"/>
        </w:rPr>
        <w:t>ми</w:t>
      </w:r>
      <w:r w:rsidRPr="00F644BA">
        <w:rPr>
          <w:lang w:val="ru-RU"/>
        </w:rPr>
        <w:t xml:space="preserve"> показател</w:t>
      </w:r>
      <w:r>
        <w:rPr>
          <w:lang w:val="ru-RU"/>
        </w:rPr>
        <w:t>ями</w:t>
      </w:r>
      <w:r w:rsidRPr="00F644BA">
        <w:rPr>
          <w:lang w:val="ru-RU"/>
        </w:rPr>
        <w:t xml:space="preserve"> Стратегического плана </w:t>
      </w:r>
      <w:r w:rsidR="00E84FD6">
        <w:rPr>
          <w:lang w:val="ru-RU"/>
        </w:rPr>
        <w:t xml:space="preserve">МСЭ </w:t>
      </w:r>
      <w:r w:rsidRPr="00F644BA">
        <w:rPr>
          <w:lang w:val="ru-RU"/>
        </w:rPr>
        <w:t>на 2024</w:t>
      </w:r>
      <w:r w:rsidR="0044267C" w:rsidRPr="0044267C">
        <w:rPr>
          <w:lang w:val="ru-RU"/>
        </w:rPr>
        <w:t>−</w:t>
      </w:r>
      <w:r w:rsidRPr="00F644BA">
        <w:rPr>
          <w:lang w:val="ru-RU"/>
        </w:rPr>
        <w:t>2027 годы</w:t>
      </w:r>
      <w:bookmarkEnd w:id="41"/>
      <w:bookmarkEnd w:id="42"/>
      <w:bookmarkEnd w:id="43"/>
    </w:p>
    <w:p w14:paraId="1C424EE8" w14:textId="77777777" w:rsidR="002E05B4" w:rsidRPr="00F644BA" w:rsidRDefault="002E05B4" w:rsidP="00C9681F">
      <w:pPr>
        <w:spacing w:after="120"/>
        <w:rPr>
          <w:lang w:val="ru-RU"/>
        </w:rPr>
      </w:pPr>
      <w:r w:rsidRPr="00F644BA">
        <w:rPr>
          <w:lang w:val="ru-RU"/>
        </w:rPr>
        <w:t>СП на 2024–2027 годы включает 12 стратегических целевых показателей: семь для стратегической цели по универсальной возможности установления соединений и пять – по устойчивой цифровой трансформации, а именно:</w:t>
      </w:r>
    </w:p>
    <w:tbl>
      <w:tblPr>
        <w:tblStyle w:val="TableGrid"/>
        <w:tblW w:w="9351" w:type="dxa"/>
        <w:tblLayout w:type="fixed"/>
        <w:tblLook w:val="04A0" w:firstRow="1" w:lastRow="0" w:firstColumn="1" w:lastColumn="0" w:noHBand="0" w:noVBand="1"/>
      </w:tblPr>
      <w:tblGrid>
        <w:gridCol w:w="1730"/>
        <w:gridCol w:w="7621"/>
      </w:tblGrid>
      <w:tr w:rsidR="00C9681F" w:rsidRPr="00C9681F" w14:paraId="79E6214D" w14:textId="77777777" w:rsidTr="00A8283F">
        <w:tc>
          <w:tcPr>
            <w:tcW w:w="1730" w:type="dxa"/>
            <w:shd w:val="clear" w:color="auto" w:fill="365F91" w:themeFill="accent1" w:themeFillShade="BF"/>
          </w:tcPr>
          <w:p w14:paraId="5E33725F" w14:textId="77777777" w:rsidR="00C9681F" w:rsidRPr="00C9681F" w:rsidRDefault="00C9681F" w:rsidP="00C9681F">
            <w:pPr>
              <w:pStyle w:val="Tablehead"/>
              <w:rPr>
                <w:color w:val="FFFFFF" w:themeColor="background1"/>
              </w:rPr>
            </w:pPr>
            <w:r w:rsidRPr="00C9681F">
              <w:rPr>
                <w:color w:val="FFFFFF" w:themeColor="background1"/>
                <w:lang w:val="ru-RU"/>
              </w:rPr>
              <w:t>Цель</w:t>
            </w:r>
          </w:p>
        </w:tc>
        <w:tc>
          <w:tcPr>
            <w:tcW w:w="7621" w:type="dxa"/>
            <w:shd w:val="clear" w:color="auto" w:fill="365F91" w:themeFill="accent1" w:themeFillShade="BF"/>
          </w:tcPr>
          <w:p w14:paraId="76B787EA" w14:textId="77777777" w:rsidR="00C9681F" w:rsidRPr="00C9681F" w:rsidRDefault="00C9681F" w:rsidP="00C9681F">
            <w:pPr>
              <w:pStyle w:val="Tablehead"/>
              <w:rPr>
                <w:color w:val="FFFFFF" w:themeColor="background1"/>
              </w:rPr>
            </w:pPr>
            <w:r w:rsidRPr="00C9681F">
              <w:rPr>
                <w:color w:val="FFFFFF" w:themeColor="background1"/>
                <w:lang w:val="ru-RU"/>
              </w:rPr>
              <w:t>Целевой показатель</w:t>
            </w:r>
          </w:p>
        </w:tc>
      </w:tr>
      <w:tr w:rsidR="00C9681F" w:rsidRPr="00F644BA" w14:paraId="14C69035" w14:textId="77777777" w:rsidTr="00A8283F">
        <w:tc>
          <w:tcPr>
            <w:tcW w:w="1730" w:type="dxa"/>
            <w:vMerge w:val="restart"/>
          </w:tcPr>
          <w:p w14:paraId="0C988C93" w14:textId="77777777" w:rsidR="00C9681F" w:rsidRPr="00F644BA" w:rsidRDefault="00C9681F" w:rsidP="00C9681F">
            <w:pPr>
              <w:pStyle w:val="Tabletext"/>
            </w:pPr>
            <w:r w:rsidRPr="00F644BA">
              <w:rPr>
                <w:lang w:val="ru-RU"/>
              </w:rPr>
              <w:t>Универсальная возможность установления соединений</w:t>
            </w:r>
          </w:p>
        </w:tc>
        <w:tc>
          <w:tcPr>
            <w:tcW w:w="7621" w:type="dxa"/>
          </w:tcPr>
          <w:p w14:paraId="535591C8" w14:textId="77777777" w:rsidR="00C9681F" w:rsidRPr="00F644BA" w:rsidRDefault="00C9681F" w:rsidP="00C9681F">
            <w:pPr>
              <w:pStyle w:val="Tabletext"/>
            </w:pPr>
            <w:r w:rsidRPr="00F644BA">
              <w:rPr>
                <w:lang w:val="ru-RU"/>
              </w:rPr>
              <w:t>1.1: Универсальный охват широкополосной связью</w:t>
            </w:r>
          </w:p>
        </w:tc>
      </w:tr>
      <w:tr w:rsidR="00C9681F" w:rsidRPr="00177CCD" w14:paraId="3ACFCE4C" w14:textId="77777777" w:rsidTr="00A8283F">
        <w:tc>
          <w:tcPr>
            <w:tcW w:w="1730" w:type="dxa"/>
            <w:vMerge/>
          </w:tcPr>
          <w:p w14:paraId="2096FFF9" w14:textId="77777777" w:rsidR="00C9681F" w:rsidRPr="00F644BA" w:rsidRDefault="00C9681F" w:rsidP="00C9681F">
            <w:pPr>
              <w:pStyle w:val="Tabletext"/>
            </w:pPr>
          </w:p>
        </w:tc>
        <w:tc>
          <w:tcPr>
            <w:tcW w:w="7621" w:type="dxa"/>
          </w:tcPr>
          <w:p w14:paraId="5BE6A835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1.2: Услуги широкополосной связи, приемлемые в ценовом отношении для всех</w:t>
            </w:r>
          </w:p>
        </w:tc>
      </w:tr>
      <w:tr w:rsidR="00C9681F" w:rsidRPr="00177CCD" w14:paraId="22DB0E18" w14:textId="77777777" w:rsidTr="00A8283F">
        <w:tc>
          <w:tcPr>
            <w:tcW w:w="1730" w:type="dxa"/>
            <w:vMerge/>
          </w:tcPr>
          <w:p w14:paraId="512A19AB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572789B7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1.3: Широкополосный доступ для каждого домашнего хозяйства</w:t>
            </w:r>
          </w:p>
        </w:tc>
      </w:tr>
      <w:tr w:rsidR="00C9681F" w:rsidRPr="00177CCD" w14:paraId="4BEA1BB4" w14:textId="77777777" w:rsidTr="00A8283F">
        <w:tc>
          <w:tcPr>
            <w:tcW w:w="1730" w:type="dxa"/>
            <w:vMerge/>
          </w:tcPr>
          <w:p w14:paraId="48B875AD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67874836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1.4: Владение устройствами с выходом в интернет и доступ к этим устройствам</w:t>
            </w:r>
          </w:p>
        </w:tc>
      </w:tr>
      <w:tr w:rsidR="00C9681F" w:rsidRPr="00177CCD" w14:paraId="1003890C" w14:textId="77777777" w:rsidTr="00A8283F">
        <w:tc>
          <w:tcPr>
            <w:tcW w:w="1730" w:type="dxa"/>
            <w:vMerge/>
          </w:tcPr>
          <w:p w14:paraId="6F35AB4B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78F95374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1.5: Доступ к интернету для всех школ</w:t>
            </w:r>
          </w:p>
        </w:tc>
      </w:tr>
      <w:tr w:rsidR="00C9681F" w:rsidRPr="00177CCD" w14:paraId="1E28D38D" w14:textId="77777777" w:rsidTr="00A8283F">
        <w:tc>
          <w:tcPr>
            <w:tcW w:w="1730" w:type="dxa"/>
            <w:vMerge/>
          </w:tcPr>
          <w:p w14:paraId="72AD473B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7C929346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1.6: Повышение готовности стран в области кибербезопасности (ключевые характеристики: наличие стратегии, CIRT/CERT и законодательство)</w:t>
            </w:r>
          </w:p>
        </w:tc>
      </w:tr>
      <w:tr w:rsidR="00C9681F" w:rsidRPr="00177CCD" w14:paraId="676D3E6C" w14:textId="77777777" w:rsidTr="00A8283F">
        <w:tc>
          <w:tcPr>
            <w:tcW w:w="1730" w:type="dxa"/>
            <w:vMerge/>
          </w:tcPr>
          <w:p w14:paraId="1F488A16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3CE63ADE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1.7: Универсальный доступ к интернету всех отдельных лиц</w:t>
            </w:r>
          </w:p>
        </w:tc>
      </w:tr>
      <w:tr w:rsidR="00C9681F" w:rsidRPr="00177CCD" w14:paraId="61AA1BC1" w14:textId="77777777" w:rsidTr="00A8283F">
        <w:tc>
          <w:tcPr>
            <w:tcW w:w="1730" w:type="dxa"/>
            <w:vMerge w:val="restart"/>
          </w:tcPr>
          <w:p w14:paraId="6500A507" w14:textId="77777777" w:rsidR="00C9681F" w:rsidRPr="00F644BA" w:rsidRDefault="00C9681F" w:rsidP="00C9681F">
            <w:pPr>
              <w:pStyle w:val="Tabletext"/>
            </w:pPr>
            <w:bookmarkStart w:id="44" w:name="_Hlk161228148"/>
            <w:r>
              <w:rPr>
                <w:lang w:val="ru-RU"/>
              </w:rPr>
              <w:t>У</w:t>
            </w:r>
            <w:r w:rsidRPr="00F644BA">
              <w:rPr>
                <w:lang w:val="ru-RU"/>
              </w:rPr>
              <w:t>стойчив</w:t>
            </w:r>
            <w:r>
              <w:rPr>
                <w:lang w:val="ru-RU"/>
              </w:rPr>
              <w:t>ая</w:t>
            </w:r>
            <w:r w:rsidRPr="00F644BA">
              <w:rPr>
                <w:lang w:val="ru-RU"/>
              </w:rPr>
              <w:t xml:space="preserve"> цифров</w:t>
            </w:r>
            <w:r>
              <w:rPr>
                <w:lang w:val="ru-RU"/>
              </w:rPr>
              <w:t>ая</w:t>
            </w:r>
            <w:r w:rsidRPr="00F644BA">
              <w:rPr>
                <w:lang w:val="ru-RU"/>
              </w:rPr>
              <w:t xml:space="preserve"> трансформаци</w:t>
            </w:r>
            <w:bookmarkEnd w:id="44"/>
            <w:r>
              <w:rPr>
                <w:lang w:val="ru-RU"/>
              </w:rPr>
              <w:t>я</w:t>
            </w:r>
          </w:p>
        </w:tc>
        <w:tc>
          <w:tcPr>
            <w:tcW w:w="7621" w:type="dxa"/>
          </w:tcPr>
          <w:p w14:paraId="64C7D7AE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2.1: Сокращение всех цифровых разрывов (в частности, по признаку пола, возрасту, между городскими и сельскими районами)</w:t>
            </w:r>
          </w:p>
        </w:tc>
      </w:tr>
      <w:tr w:rsidR="00C9681F" w:rsidRPr="00177CCD" w14:paraId="36E6F12F" w14:textId="77777777" w:rsidTr="00A8283F">
        <w:tc>
          <w:tcPr>
            <w:tcW w:w="1730" w:type="dxa"/>
            <w:vMerge/>
          </w:tcPr>
          <w:p w14:paraId="55F7AA61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19504154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2.2: Обладание цифровыми навыками большинством физических лиц</w:t>
            </w:r>
          </w:p>
        </w:tc>
      </w:tr>
      <w:tr w:rsidR="00C9681F" w:rsidRPr="00177CCD" w14:paraId="590ACA23" w14:textId="77777777" w:rsidTr="00A8283F">
        <w:tc>
          <w:tcPr>
            <w:tcW w:w="1730" w:type="dxa"/>
            <w:vMerge/>
          </w:tcPr>
          <w:p w14:paraId="54BF5E5B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4C93B16F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2.3: Универсальное использование услуг интернета предприятиями</w:t>
            </w:r>
          </w:p>
        </w:tc>
      </w:tr>
      <w:tr w:rsidR="00C9681F" w:rsidRPr="00177CCD" w14:paraId="710A0C0E" w14:textId="77777777" w:rsidTr="00A8283F">
        <w:tc>
          <w:tcPr>
            <w:tcW w:w="1730" w:type="dxa"/>
            <w:vMerge/>
          </w:tcPr>
          <w:p w14:paraId="0DF98040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37B9E16E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2.4: Онлайновый доступ большинства лиц к государственным службам</w:t>
            </w:r>
          </w:p>
        </w:tc>
      </w:tr>
      <w:tr w:rsidR="00C9681F" w:rsidRPr="00177CCD" w14:paraId="5C328F5B" w14:textId="77777777" w:rsidTr="00A8283F">
        <w:tc>
          <w:tcPr>
            <w:tcW w:w="1730" w:type="dxa"/>
            <w:vMerge/>
          </w:tcPr>
          <w:p w14:paraId="297D5FC9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</w:p>
        </w:tc>
        <w:tc>
          <w:tcPr>
            <w:tcW w:w="7621" w:type="dxa"/>
          </w:tcPr>
          <w:p w14:paraId="49D06EAC" w14:textId="77777777" w:rsidR="00C9681F" w:rsidRPr="00F644BA" w:rsidRDefault="00C9681F" w:rsidP="00C9681F">
            <w:pPr>
              <w:pStyle w:val="Tabletext"/>
              <w:rPr>
                <w:lang w:val="ru-RU"/>
              </w:rPr>
            </w:pPr>
            <w:r w:rsidRPr="00F644BA">
              <w:rPr>
                <w:lang w:val="ru-RU"/>
              </w:rPr>
              <w:t>2.5: Существенное улучшение вклада ИКТ в меры, принимаемые в отношении климата и окружающей среды</w:t>
            </w:r>
          </w:p>
        </w:tc>
      </w:tr>
    </w:tbl>
    <w:p w14:paraId="747E7589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Анализ существующих данных показывает, что имеются </w:t>
      </w:r>
      <w:r>
        <w:rPr>
          <w:lang w:val="ru-RU"/>
        </w:rPr>
        <w:t>индикаторы</w:t>
      </w:r>
      <w:r w:rsidRPr="00F644BA">
        <w:rPr>
          <w:lang w:val="ru-RU"/>
        </w:rPr>
        <w:t>, свидетельствующие о прогрессе в достижении многих целевых показателей. Вместе с тем для ряда целевых показателей должны быть собраны новые данные. В разделе 3.2.1, ниже, обсуждается наличие данных для стратегической цели по универсальной возможности установления соединений, и раздел 3.2.2 посвящен стратегической цели по реализации устойчивой цифровой трансформации.</w:t>
      </w:r>
    </w:p>
    <w:p w14:paraId="294D6082" w14:textId="77777777" w:rsidR="00C9681F" w:rsidRPr="00F644BA" w:rsidRDefault="00C9681F" w:rsidP="00E55E04">
      <w:pPr>
        <w:pStyle w:val="Heading3"/>
        <w:ind w:left="798" w:hanging="798"/>
        <w:rPr>
          <w:lang w:val="ru-RU"/>
        </w:rPr>
      </w:pPr>
      <w:bookmarkStart w:id="45" w:name="_Toc165293892"/>
      <w:bookmarkStart w:id="46" w:name="_Toc168049887"/>
      <w:r w:rsidRPr="00F644BA">
        <w:rPr>
          <w:lang w:val="ru-RU"/>
        </w:rPr>
        <w:t>3.2.1</w:t>
      </w:r>
      <w:r w:rsidRPr="00F644BA">
        <w:rPr>
          <w:lang w:val="ru-RU"/>
        </w:rPr>
        <w:tab/>
        <w:t>Стратегические целевые показатели, связанные с универсальной возможностью установления соединений</w:t>
      </w:r>
      <w:bookmarkEnd w:id="45"/>
      <w:bookmarkEnd w:id="46"/>
    </w:p>
    <w:p w14:paraId="187C3093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Имеются данные по охвату и приемлемости в ценовом отношении широкополосной связи (целевые показатели 1.1 и 1.2). </w:t>
      </w:r>
    </w:p>
    <w:p w14:paraId="56B5F2C8" w14:textId="77777777" w:rsidR="00C9681F" w:rsidRPr="00F644BA" w:rsidRDefault="00C9681F" w:rsidP="00C9681F">
      <w:pPr>
        <w:rPr>
          <w:rFonts w:eastAsia="Calibri" w:cs="Calibri"/>
          <w:lang w:val="ru-RU"/>
        </w:rPr>
      </w:pPr>
      <w:r w:rsidRPr="00F644BA">
        <w:rPr>
          <w:lang w:val="ru-RU"/>
        </w:rPr>
        <w:t xml:space="preserve">Что касается </w:t>
      </w:r>
      <w:r w:rsidRPr="00F644BA">
        <w:rPr>
          <w:i/>
          <w:iCs/>
          <w:lang w:val="ru-RU"/>
        </w:rPr>
        <w:t>широкополосного доступа к каждому домашнему хозяйству</w:t>
      </w:r>
      <w:r w:rsidRPr="00F644BA">
        <w:rPr>
          <w:lang w:val="ru-RU"/>
        </w:rPr>
        <w:t xml:space="preserve"> (целевой показатель 1.3), то только 57 Государств-Членов представили данные за 2020 год или далее, что свидетельствует о низком уровне наличия данных. С учетом того, что широкополосный интернет стал основой для доступа в интернет в большей части мира, вспомогательной мерой могло бы стать предоставление данных о доле домашних хозяйств, имеющих доступ в интернет. В то время как МСЭ координирует сбор этих данных в будущем с Отделом народонаселения ДЭСВ ООН, сопоставимый в глобальном масштабе набор данных о численности домашних хозяйств ожидается по крайней мере до 2027 года.</w:t>
      </w:r>
    </w:p>
    <w:p w14:paraId="1D2FC0D8" w14:textId="326A479F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Смартфоны служат основным устройством, используемым для доступа в интернет, поэтому данные о </w:t>
      </w:r>
      <w:r w:rsidRPr="00F644BA">
        <w:rPr>
          <w:i/>
          <w:iCs/>
          <w:lang w:val="ru-RU"/>
        </w:rPr>
        <w:t>владении устройствами с выходом в интернет и доступ к этим устройствам</w:t>
      </w:r>
      <w:r w:rsidRPr="00F644BA">
        <w:rPr>
          <w:lang w:val="ru-RU"/>
        </w:rPr>
        <w:t xml:space="preserve"> (целевой показатель 1.4), можно измерять по доле отдельных лиц, владеющих смартфоном. В</w:t>
      </w:r>
      <w:r w:rsidR="007E206D">
        <w:t> </w:t>
      </w:r>
      <w:r w:rsidRPr="00F644BA">
        <w:rPr>
          <w:lang w:val="ru-RU"/>
        </w:rPr>
        <w:t xml:space="preserve">этом случае также наличия данных недостаточно для измерения на глобальном уровне </w:t>
      </w:r>
      <w:r w:rsidR="0044267C" w:rsidRPr="0044267C">
        <w:rPr>
          <w:lang w:val="ru-RU"/>
        </w:rPr>
        <w:t>−</w:t>
      </w:r>
      <w:r w:rsidRPr="00F644BA">
        <w:rPr>
          <w:lang w:val="ru-RU"/>
        </w:rPr>
        <w:t xml:space="preserve"> только 32 Государства-Члена представили данные по этому </w:t>
      </w:r>
      <w:r>
        <w:rPr>
          <w:lang w:val="ru-RU"/>
        </w:rPr>
        <w:t>индикатору</w:t>
      </w:r>
      <w:r w:rsidRPr="00F644BA">
        <w:rPr>
          <w:lang w:val="ru-RU"/>
        </w:rPr>
        <w:t xml:space="preserve"> на 2020 год или далее. С другой стороны, данные о доле отдельных лиц, имеющих мобильный телефон, доступны и </w:t>
      </w:r>
      <w:r w:rsidRPr="00F644BA">
        <w:rPr>
          <w:lang w:val="ru-RU"/>
        </w:rPr>
        <w:lastRenderedPageBreak/>
        <w:t xml:space="preserve">регулярно распространяются через ежегодную </w:t>
      </w:r>
      <w:hyperlink r:id="rId35" w:history="1">
        <w:r w:rsidRPr="00F644BA">
          <w:rPr>
            <w:rStyle w:val="Hyperlink"/>
            <w:szCs w:val="24"/>
            <w:lang w:val="ru-RU"/>
          </w:rPr>
          <w:t>публикацию "Факты и цифры"</w:t>
        </w:r>
      </w:hyperlink>
      <w:r w:rsidRPr="00F644BA">
        <w:rPr>
          <w:lang w:val="ru-RU"/>
        </w:rPr>
        <w:t>. Однако эти данные включают устройства, не имеющие подключения к интернету.</w:t>
      </w:r>
    </w:p>
    <w:p w14:paraId="4C05DE4F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>Что касается готовности стран к кибербезопасности, МСЭ предоставляет данные о странах, имеющих CIRTS (оценки, учреждения и/или усовершенствования), странах, получающим помощь в программах МСЭ по проведению тренировочных занятий по кибербезопасности, и странах, имеющих национальные стратегии и планы действий в области кибербезопасности. Таким образом, имеется хорошая основа для оценки прогресса в достижении этого целевого показателя.</w:t>
      </w:r>
    </w:p>
    <w:p w14:paraId="182E4D40" w14:textId="308F3BB1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Вопрос о наличии данных о доступе в интернет для отдельных лиц обсуждается в разделе 3.1.1. Таким образом, этот целевой показатель надлежащим образом охвачен, имеются данные, а оценка достигнутого прогресса может быть проведена с самого первого года вступления в силу нового </w:t>
      </w:r>
      <w:r w:rsidR="00E84FD6">
        <w:rPr>
          <w:lang w:val="ru-RU"/>
        </w:rPr>
        <w:t>Стратегического плана</w:t>
      </w:r>
      <w:r w:rsidRPr="00F644BA">
        <w:rPr>
          <w:lang w:val="ru-RU"/>
        </w:rPr>
        <w:t xml:space="preserve"> (2024 г</w:t>
      </w:r>
      <w:r w:rsidR="007E206D" w:rsidRPr="007E206D">
        <w:rPr>
          <w:lang w:val="ru-RU"/>
        </w:rPr>
        <w:t>.</w:t>
      </w:r>
      <w:r w:rsidRPr="00F644BA">
        <w:rPr>
          <w:lang w:val="ru-RU"/>
        </w:rPr>
        <w:t>).</w:t>
      </w:r>
    </w:p>
    <w:p w14:paraId="43564DD7" w14:textId="77777777" w:rsidR="00C9681F" w:rsidRPr="00F644BA" w:rsidRDefault="00C9681F" w:rsidP="00C9681F">
      <w:pPr>
        <w:pStyle w:val="Heading3"/>
        <w:rPr>
          <w:lang w:val="ru-RU"/>
        </w:rPr>
      </w:pPr>
      <w:bookmarkStart w:id="47" w:name="_Toc165293893"/>
      <w:bookmarkStart w:id="48" w:name="_Toc168049888"/>
      <w:r w:rsidRPr="00F644BA">
        <w:rPr>
          <w:lang w:val="ru-RU"/>
        </w:rPr>
        <w:t>3.2.2</w:t>
      </w:r>
      <w:r w:rsidRPr="00F644BA">
        <w:rPr>
          <w:lang w:val="ru-RU"/>
        </w:rPr>
        <w:tab/>
        <w:t>Устойчивая цифровая трансформация</w:t>
      </w:r>
      <w:bookmarkEnd w:id="47"/>
      <w:bookmarkEnd w:id="48"/>
    </w:p>
    <w:p w14:paraId="60F516C8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>Для оценки прогресса в достижении целевого показателя 2.1 (</w:t>
      </w:r>
      <w:r w:rsidRPr="00F644BA">
        <w:rPr>
          <w:i/>
          <w:iCs/>
          <w:lang w:val="ru-RU"/>
        </w:rPr>
        <w:t>Сокращение всех цифровых разрывов</w:t>
      </w:r>
      <w:r w:rsidRPr="00F644BA">
        <w:rPr>
          <w:lang w:val="ru-RU"/>
        </w:rPr>
        <w:t>) требуется значительный объем данных. В настоящее время имеются данные о гендерном разрыве (см. п. 3.1.2, выше), а также данные о доступе к интернету в разбивке по возрасту и между городскими/сельскими районами; и в разбивке по уровню развития). Таким образом, этот целевой показатель надлежащим образом охвачен, и имеющиеся данные должны обеспечить надлежащую оценку достигнутого прогресса. Потребуются дополнительные усилия для надлежащей оценки прогресса в ликвидации разрывов, связанных с молодежью, коренными народами, стареющим населением, сельским населением и т. д.</w:t>
      </w:r>
    </w:p>
    <w:p w14:paraId="3577E327" w14:textId="60B45F76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Измерение прогресса в области цифровых навыков (целевой показатель 2.2: </w:t>
      </w:r>
      <w:r w:rsidRPr="00F644BA">
        <w:rPr>
          <w:i/>
          <w:iCs/>
          <w:lang w:val="ru-RU"/>
        </w:rPr>
        <w:t>Обладание цифровыми навыками большинством физических лиц</w:t>
      </w:r>
      <w:r w:rsidRPr="00F644BA">
        <w:rPr>
          <w:lang w:val="ru-RU"/>
        </w:rPr>
        <w:t xml:space="preserve">) представляет две отдельные проблемы. Во-первых, "цифровые навыки" – это широкое понятие, которое нельзя измерить одним </w:t>
      </w:r>
      <w:r>
        <w:rPr>
          <w:lang w:val="ru-RU"/>
        </w:rPr>
        <w:t>индикатором</w:t>
      </w:r>
      <w:r w:rsidRPr="00F644BA">
        <w:rPr>
          <w:lang w:val="ru-RU"/>
        </w:rPr>
        <w:t xml:space="preserve">. В связи с этим проводится обследование отдельных лиц на предмет того, участвуют ли они в широком спектре видов деятельности. </w:t>
      </w:r>
      <w:hyperlink r:id="rId36" w:history="1">
        <w:r w:rsidRPr="00F644BA">
          <w:rPr>
            <w:rStyle w:val="Hyperlink"/>
            <w:szCs w:val="24"/>
            <w:lang w:val="ru-RU"/>
          </w:rPr>
          <w:t>Группа экспертов по показателям ИКТ в домашних хозяйствах (EGH)</w:t>
        </w:r>
      </w:hyperlink>
      <w:r w:rsidRPr="00F644BA">
        <w:rPr>
          <w:lang w:val="ru-RU"/>
        </w:rPr>
        <w:t xml:space="preserve"> недавно рекомендовала ряд усовершенствований в области измерения цифровых навыков, которые внедряют страны. В настоящее время виды деятельности сгруппированы по пяти областям навыков: 1)</w:t>
      </w:r>
      <w:r w:rsidR="007E206D">
        <w:t> </w:t>
      </w:r>
      <w:r w:rsidRPr="00F644BA">
        <w:rPr>
          <w:lang w:val="ru-RU"/>
        </w:rPr>
        <w:t>связь и сотрудничество; 2)</w:t>
      </w:r>
      <w:r w:rsidR="007E206D">
        <w:t> </w:t>
      </w:r>
      <w:r w:rsidRPr="00F644BA">
        <w:rPr>
          <w:lang w:val="ru-RU"/>
        </w:rPr>
        <w:t>грамотность в области информации и данных; 3)</w:t>
      </w:r>
      <w:r w:rsidR="007E206D">
        <w:t> </w:t>
      </w:r>
      <w:r w:rsidRPr="00F644BA">
        <w:rPr>
          <w:lang w:val="ru-RU"/>
        </w:rPr>
        <w:t>создание цифрового контента; 4)</w:t>
      </w:r>
      <w:r w:rsidR="007E206D">
        <w:t> </w:t>
      </w:r>
      <w:r w:rsidRPr="00F644BA">
        <w:rPr>
          <w:lang w:val="ru-RU"/>
        </w:rPr>
        <w:t>решение проблем; и 5)</w:t>
      </w:r>
      <w:r w:rsidR="007E206D">
        <w:t> </w:t>
      </w:r>
      <w:r w:rsidRPr="00F644BA">
        <w:rPr>
          <w:lang w:val="ru-RU"/>
        </w:rPr>
        <w:t xml:space="preserve">безопасность. Впервые в 2024 году будут собраны данные о доле лиц, обладающих базовыми навыками и навыками выше базового уровня, для каждой из этих областей навыков. Вторая проблема также связана с наличием данных – менее половины Государств-Членов предоставили достаточный объем данных для измерения каких-либо цифровых навыков. </w:t>
      </w:r>
    </w:p>
    <w:p w14:paraId="5352299B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 xml:space="preserve">Об использовании услуг интернета предприятиями (целевой показатель 2.3) имеются соответствующие данные от ЮНКТАД, и поэтому можно провести оценку. С другой стороны, данных по </w:t>
      </w:r>
      <w:r w:rsidRPr="00F644BA">
        <w:rPr>
          <w:i/>
          <w:iCs/>
          <w:lang w:val="ru-RU"/>
        </w:rPr>
        <w:t>онлайновому доступу большинства лиц к государственным службам</w:t>
      </w:r>
      <w:r w:rsidRPr="00F644BA">
        <w:rPr>
          <w:lang w:val="ru-RU"/>
        </w:rPr>
        <w:t xml:space="preserve"> (целевой показатель 2.4) по-прежнему недостаточно. Данные по этому </w:t>
      </w:r>
      <w:r>
        <w:rPr>
          <w:lang w:val="ru-RU"/>
        </w:rPr>
        <w:t>индикатору</w:t>
      </w:r>
      <w:r w:rsidRPr="00F644BA">
        <w:rPr>
          <w:lang w:val="ru-RU"/>
        </w:rPr>
        <w:t xml:space="preserve"> за 2020 год или далее имеются только по 46 Государствам-Членам. МСЭ продолжает подчеркивать важность этого </w:t>
      </w:r>
      <w:r>
        <w:rPr>
          <w:lang w:val="ru-RU"/>
        </w:rPr>
        <w:t>индикатора</w:t>
      </w:r>
      <w:r w:rsidRPr="00F644BA">
        <w:rPr>
          <w:lang w:val="ru-RU"/>
        </w:rPr>
        <w:t xml:space="preserve"> и призывает Государства-Члены включить этот вопрос в свои будущие обследования использования ИКТ домашними хозяйствами.</w:t>
      </w:r>
    </w:p>
    <w:p w14:paraId="1213025E" w14:textId="77777777" w:rsidR="00C9681F" w:rsidRPr="00F644BA" w:rsidRDefault="00C9681F" w:rsidP="00C9681F">
      <w:pPr>
        <w:rPr>
          <w:lang w:val="ru-RU"/>
        </w:rPr>
      </w:pPr>
      <w:r w:rsidRPr="00F644BA">
        <w:rPr>
          <w:lang w:val="ru-RU"/>
        </w:rPr>
        <w:t>Что касается целевого показателя 2.5 по вкладу ИКТ в меры, принимаемые в отношении климата и окружающей среды, то наличие соответствующих данных, а также планы по сбору недостающих данных в будущем уже обсуждаются в разделе 3.1.3.</w:t>
      </w:r>
    </w:p>
    <w:p w14:paraId="6EB7E446" w14:textId="77777777" w:rsidR="00F80885" w:rsidRPr="00107B29" w:rsidRDefault="00F80885" w:rsidP="006D1A0E">
      <w:pPr>
        <w:pStyle w:val="Heading1"/>
        <w:rPr>
          <w:lang w:val="ru-RU"/>
        </w:rPr>
      </w:pPr>
      <w:bookmarkStart w:id="49" w:name="_Hlk167908142"/>
      <w:bookmarkStart w:id="50" w:name="_Toc168049889"/>
      <w:bookmarkStart w:id="51" w:name="_Toc168050268"/>
      <w:bookmarkStart w:id="52" w:name="_Toc37860454"/>
      <w:bookmarkStart w:id="53" w:name="_Toc37861215"/>
      <w:bookmarkStart w:id="54" w:name="_Toc37943334"/>
      <w:bookmarkStart w:id="55" w:name="_Toc2074337837"/>
      <w:bookmarkStart w:id="56" w:name="_Toc164927164"/>
      <w:bookmarkEnd w:id="49"/>
      <w:r w:rsidRPr="00107B29">
        <w:rPr>
          <w:lang w:val="ru-RU"/>
        </w:rPr>
        <w:lastRenderedPageBreak/>
        <w:t>4</w:t>
      </w:r>
      <w:r w:rsidRPr="00107B29">
        <w:rPr>
          <w:lang w:val="ru-RU"/>
        </w:rPr>
        <w:tab/>
        <w:t>Основные темы работы МСЭ</w:t>
      </w:r>
      <w:bookmarkEnd w:id="50"/>
      <w:bookmarkEnd w:id="51"/>
      <w:r w:rsidRPr="00107B29">
        <w:rPr>
          <w:lang w:val="ru-RU"/>
        </w:rPr>
        <w:t xml:space="preserve"> </w:t>
      </w:r>
      <w:bookmarkStart w:id="57" w:name="_Toc37860456"/>
      <w:bookmarkStart w:id="58" w:name="_Toc37861217"/>
      <w:bookmarkStart w:id="59" w:name="_Toc37943336"/>
      <w:bookmarkEnd w:id="52"/>
      <w:bookmarkEnd w:id="53"/>
      <w:bookmarkEnd w:id="54"/>
      <w:bookmarkEnd w:id="55"/>
      <w:bookmarkEnd w:id="56"/>
    </w:p>
    <w:p w14:paraId="1FBD44D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Работа МСЭ по-прежнему в значительной степени направлена на управление использованием радиочастотного спектра в мире; разработку устойчивых и инклюзивных технологических стандартов; формирование появляющихся технологий на благо человечества; а также решение проблем климата и воздействия на окружающую среду, обусловленных стремительно ускоряющимся внедрением технологий. Осуществляемые под руководством МСЭ проекты и инициативы служат укреплению сотрудничества в области кибербезопасности, обеспечению открытого для всех и равного доступа к цифровым технологиям; а также созданию результативных партнерских отношений для достижения Целей ООН в области устойчивого развития. Большая часть этой работы выполняется в рамках семинаров-практикумов для углубленного изучения, а также в рамках международных собраний высокого уровня.</w:t>
      </w:r>
    </w:p>
    <w:p w14:paraId="3B05FBA4" w14:textId="77777777" w:rsidR="00F80885" w:rsidRPr="00107B29" w:rsidRDefault="00F80885" w:rsidP="006D1A0E">
      <w:pPr>
        <w:pStyle w:val="Heading2"/>
        <w:rPr>
          <w:lang w:val="ru-RU"/>
        </w:rPr>
      </w:pPr>
      <w:bookmarkStart w:id="60" w:name="_Toc581462974"/>
      <w:bookmarkStart w:id="61" w:name="_Toc164927165"/>
      <w:bookmarkStart w:id="62" w:name="_Toc168049890"/>
      <w:bookmarkStart w:id="63" w:name="_Toc168050269"/>
      <w:r w:rsidRPr="00107B29">
        <w:rPr>
          <w:lang w:val="ru-RU"/>
        </w:rPr>
        <w:t>4.1</w:t>
      </w:r>
      <w:r w:rsidRPr="00107B29">
        <w:rPr>
          <w:lang w:val="ru-RU"/>
        </w:rPr>
        <w:tab/>
      </w:r>
      <w:bookmarkEnd w:id="57"/>
      <w:bookmarkEnd w:id="58"/>
      <w:bookmarkEnd w:id="59"/>
      <w:bookmarkEnd w:id="60"/>
      <w:bookmarkEnd w:id="61"/>
      <w:r w:rsidRPr="00107B29">
        <w:rPr>
          <w:lang w:val="ru-RU"/>
        </w:rPr>
        <w:t>Регулирование использования и управление использованием спектра и орбит</w:t>
      </w:r>
      <w:bookmarkEnd w:id="62"/>
      <w:bookmarkEnd w:id="63"/>
    </w:p>
    <w:p w14:paraId="6F9383C3" w14:textId="77777777" w:rsidR="00F80885" w:rsidRPr="00107B29" w:rsidRDefault="00F80885" w:rsidP="00107B29">
      <w:pPr>
        <w:rPr>
          <w:lang w:val="ru-RU"/>
        </w:rPr>
      </w:pPr>
      <w:bookmarkStart w:id="64" w:name="_Toc37860457"/>
      <w:bookmarkStart w:id="65" w:name="_Toc37861218"/>
      <w:bookmarkStart w:id="66" w:name="_Toc37943337"/>
      <w:r w:rsidRPr="00107B29">
        <w:rPr>
          <w:lang w:val="ru-RU"/>
        </w:rPr>
        <w:t xml:space="preserve">МСЭ поддерживает Регламент радиосвязи </w:t>
      </w:r>
      <w:r w:rsidRPr="006D1A0E">
        <w:rPr>
          <w:lang w:val="ru-RU"/>
        </w:rPr>
        <w:t>−</w:t>
      </w:r>
      <w:r w:rsidRPr="00107B29">
        <w:rPr>
          <w:lang w:val="ru-RU"/>
        </w:rPr>
        <w:t xml:space="preserve"> международный договор, регулирующий использование радиочастотного спектра и спутниковых орбит для всех видов беспроводной связи. Организация поддерживает регламентарные положения и содействует соответствующему международному сотрудничеству, тем самым обеспечивая справедливый доступ к спектру и орбитам и их рациональное использование как ограниченных природных ресурсов. В МСЭ национальные администрации согласовывают вопросы присвоения радиочастот и управления использованием радиочастот, осуществляя при этом непрерывную координацию для предотвращения вредных радиопомех. МСЭ и Бюро радиосвязи создают благоприятные условия для этой деятельности, поддерживая Государства-Члены во всем мире путем предоставления данных и специальных знаний в области связи на суше, на море, в воздухе и в космическом пространстве.</w:t>
      </w:r>
    </w:p>
    <w:p w14:paraId="0932D118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Результаты обработки заявок на космические службы и других соответствующих видов деятельности</w:t>
      </w:r>
    </w:p>
    <w:p w14:paraId="7D8C45E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С 2019 по 2023 год было обработано 5556 запросов о координации и заявлении (1147 в 2023 г.). Для Планов радиовещательной спутниковой службы и связанных с ней фидерных линий также было обработано 506 запросов (113 в 2023 г., в том числе 82 запроса согласно Резолюции 559 (ВКР-19)). Для Плана фиксированной спутниковой службы за тот же период поступил 281</w:t>
      </w:r>
      <w:r>
        <w:rPr>
          <w:lang w:val="en-US"/>
        </w:rPr>
        <w:t> </w:t>
      </w:r>
      <w:r w:rsidRPr="00107B29">
        <w:rPr>
          <w:lang w:val="ru-RU"/>
        </w:rPr>
        <w:t xml:space="preserve">запрос. Точные данные по годам см. в информационных панелях по </w:t>
      </w:r>
      <w:hyperlink r:id="rId37" w:history="1">
        <w:r w:rsidRPr="00107B29">
          <w:rPr>
            <w:rStyle w:val="Hyperlink"/>
            <w:lang w:val="ru-RU"/>
          </w:rPr>
          <w:t>ссылке</w:t>
        </w:r>
      </w:hyperlink>
      <w:r w:rsidRPr="00107B29">
        <w:rPr>
          <w:lang w:val="ru-RU"/>
        </w:rPr>
        <w:t>.</w:t>
      </w:r>
    </w:p>
    <w:p w14:paraId="0963AEDB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Заявки на наземные службы</w:t>
      </w:r>
    </w:p>
    <w:p w14:paraId="5037B08B" w14:textId="77777777" w:rsidR="00F80885" w:rsidRPr="00E868BB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Все результаты работы в отношении заявок на наземные службы приведены в информационной панели по </w:t>
      </w:r>
      <w:hyperlink r:id="rId38" w:history="1">
        <w:r w:rsidRPr="00107B29">
          <w:rPr>
            <w:rStyle w:val="Hyperlink"/>
            <w:lang w:val="ru-RU"/>
          </w:rPr>
          <w:t>ссылке</w:t>
        </w:r>
      </w:hyperlink>
      <w:r w:rsidRPr="00107B29">
        <w:rPr>
          <w:lang w:val="ru-RU"/>
        </w:rPr>
        <w:t>.</w:t>
      </w:r>
    </w:p>
    <w:p w14:paraId="037CAC0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К примеру, в 2023 году в МСРЧ было зарегистрировано 71</w:t>
      </w:r>
      <w:r>
        <w:rPr>
          <w:lang w:val="en-US"/>
        </w:rPr>
        <w:t> </w:t>
      </w:r>
      <w:r w:rsidRPr="00107B29">
        <w:rPr>
          <w:lang w:val="ru-RU"/>
        </w:rPr>
        <w:t>083</w:t>
      </w:r>
      <w:r>
        <w:rPr>
          <w:lang w:val="en-US"/>
        </w:rPr>
        <w:t> </w:t>
      </w:r>
      <w:r w:rsidRPr="00107B29">
        <w:rPr>
          <w:lang w:val="ru-RU"/>
        </w:rPr>
        <w:t>заявки (25 263 в Планах), 58</w:t>
      </w:r>
      <w:r>
        <w:rPr>
          <w:lang w:val="en-US"/>
        </w:rPr>
        <w:t> </w:t>
      </w:r>
      <w:r w:rsidRPr="00107B29">
        <w:rPr>
          <w:lang w:val="ru-RU"/>
        </w:rPr>
        <w:t>322</w:t>
      </w:r>
      <w:r>
        <w:rPr>
          <w:lang w:val="en-US"/>
        </w:rPr>
        <w:t> </w:t>
      </w:r>
      <w:r w:rsidRPr="00107B29">
        <w:rPr>
          <w:lang w:val="ru-RU"/>
        </w:rPr>
        <w:t>пересмотра заключений в отношении наземных станций, для занесения в базу данных МСЭ по морским службам было получено 9442</w:t>
      </w:r>
      <w:r>
        <w:rPr>
          <w:lang w:val="en-US"/>
        </w:rPr>
        <w:t> </w:t>
      </w:r>
      <w:r w:rsidRPr="00107B29">
        <w:rPr>
          <w:lang w:val="ru-RU"/>
        </w:rPr>
        <w:t>заявления береговых и судовых станций, а также обработано более 5500</w:t>
      </w:r>
      <w:r>
        <w:rPr>
          <w:lang w:val="en-US"/>
        </w:rPr>
        <w:t> </w:t>
      </w:r>
      <w:r w:rsidRPr="00107B29">
        <w:rPr>
          <w:lang w:val="ru-RU"/>
        </w:rPr>
        <w:t>донесений о вредных помехах.</w:t>
      </w:r>
    </w:p>
    <w:p w14:paraId="60E1233F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Совершенствование программного обеспечения МСЭ-R</w:t>
      </w:r>
    </w:p>
    <w:p w14:paraId="38120E64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Бюро радиосвязи (БР) продолжает создание программных приложений и баз данных для наиболее эффективного содействия использованию результатов работы МСЭ-R Членами МСЭ. В 2022 году БР продолжало обновлять программное обеспечение, с помощью которого пользователи могут осуществить запрос и анализ в отношении Таблицы распределения частот, содержащейся в Статье 5 Регламента радиосвязи, а также других текстов, в том числе Резолюций ВКР, Рекомендаций МСЭ-R, включенных посредством ссылки, и Правил процедуры. Это приложение позволяет извлекать регламентарные положения, относящиеся к регионам и </w:t>
      </w:r>
      <w:r w:rsidRPr="00107B29">
        <w:rPr>
          <w:lang w:val="ru-RU"/>
        </w:rPr>
        <w:lastRenderedPageBreak/>
        <w:t>отдельным странам, для представления региональных или национальных таблиц распределения частот.</w:t>
      </w:r>
    </w:p>
    <w:p w14:paraId="27BED863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Ход работы в области наземных служб</w:t>
      </w:r>
    </w:p>
    <w:p w14:paraId="5F80216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 ходом работы в области наземных служб можно ознакомиться здесь: </w:t>
      </w:r>
      <w:hyperlink r:id="rId39" w:history="1">
        <w:r w:rsidRPr="00107B29">
          <w:rPr>
            <w:rStyle w:val="Hyperlink"/>
            <w:lang w:val="ru-RU"/>
          </w:rPr>
          <w:t>https://www.itu.int/en/ITU-R/terrestrial/Pages/default.aspx</w:t>
        </w:r>
      </w:hyperlink>
      <w:r w:rsidRPr="00107B29">
        <w:rPr>
          <w:lang w:val="ru-RU"/>
        </w:rPr>
        <w:t xml:space="preserve">. Подробная информация о конкретных усовершенствованиях также приведена в Документе </w:t>
      </w:r>
      <w:hyperlink r:id="rId40" w:history="1">
        <w:r w:rsidRPr="00107B29">
          <w:rPr>
            <w:rStyle w:val="Hyperlink"/>
            <w:lang w:val="ru-RU"/>
          </w:rPr>
          <w:t>C23/35</w:t>
        </w:r>
      </w:hyperlink>
      <w:r w:rsidRPr="00107B29">
        <w:rPr>
          <w:lang w:val="ru-RU"/>
        </w:rPr>
        <w:t>.</w:t>
      </w:r>
    </w:p>
    <w:p w14:paraId="518F8680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Ход реализации дорожной карты по информационным системам БР для космических служб (КГР-19, 2012 г.)</w:t>
      </w:r>
    </w:p>
    <w:p w14:paraId="0A27BAEA" w14:textId="77777777" w:rsidR="00F80885" w:rsidRPr="00107B29" w:rsidRDefault="00F80885" w:rsidP="006D1A0E">
      <w:pPr>
        <w:pStyle w:val="enumlev1"/>
        <w:rPr>
          <w:lang w:val="ru-RU"/>
        </w:rPr>
      </w:pPr>
      <w:r w:rsidRPr="009372AB">
        <w:rPr>
          <w:lang w:val="ru-RU"/>
        </w:rPr>
        <w:t>•</w:t>
      </w:r>
      <w:r w:rsidRPr="009372AB">
        <w:rPr>
          <w:lang w:val="ru-RU"/>
        </w:rPr>
        <w:tab/>
      </w:r>
      <w:r w:rsidRPr="00107B29">
        <w:rPr>
          <w:lang w:val="ru-RU"/>
        </w:rPr>
        <w:t>Переработка традиционного программного обеспечения для технического рассмотрения: модернизированная версия программного обеспечения PXT находится в процессе приемочного пользовательского тестирования, продолжается перенос компонентов GIMS Fortran.</w:t>
      </w:r>
    </w:p>
    <w:p w14:paraId="313A5164" w14:textId="77777777" w:rsidR="00F80885" w:rsidRPr="00107B29" w:rsidRDefault="00F80885" w:rsidP="006D1A0E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107B29">
        <w:rPr>
          <w:lang w:val="ru-RU"/>
        </w:rPr>
        <w:t>Проектирование и разработка информационной системы БР для космических служб (SIS БР): Ведется разработка системы сбора данных BRSIS-Capture, перевод базы данных SNS с Ingres на SQL Server должен быть завершен к концу 2024 года, а SNS Online и SNL Online будут заменены на инструмент анализа данных МСЭ Space Explorer к середине 2024 года.</w:t>
      </w:r>
    </w:p>
    <w:p w14:paraId="25512D84" w14:textId="77777777" w:rsidR="00F80885" w:rsidRPr="00107B29" w:rsidRDefault="00F80885" w:rsidP="006D1A0E">
      <w:pPr>
        <w:pStyle w:val="Headingb"/>
        <w:rPr>
          <w:lang w:val="ru-RU"/>
        </w:rPr>
      </w:pPr>
      <w:r w:rsidRPr="00107B29">
        <w:rPr>
          <w:lang w:val="ru-RU"/>
        </w:rPr>
        <w:t>Результаты деятельности в области космических применений</w:t>
      </w:r>
    </w:p>
    <w:p w14:paraId="364BDFAB" w14:textId="77777777" w:rsidR="00F80885" w:rsidRPr="00107B29" w:rsidRDefault="00F80885" w:rsidP="006D1A0E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107B29">
        <w:rPr>
          <w:lang w:val="ru-RU"/>
        </w:rPr>
        <w:t xml:space="preserve">Система электронного представления заявок (e-Submission) (выполнение Резолюции 908 (Пересм. ВКР-15)): </w:t>
      </w:r>
    </w:p>
    <w:p w14:paraId="17D07E3D" w14:textId="77777777" w:rsidR="00F80885" w:rsidRPr="00107B29" w:rsidRDefault="00F80885" w:rsidP="006D1A0E">
      <w:pPr>
        <w:pStyle w:val="enumlev2"/>
        <w:rPr>
          <w:lang w:val="ru-RU"/>
        </w:rPr>
      </w:pPr>
      <w:r w:rsidRPr="006D1A0E">
        <w:rPr>
          <w:lang w:val="ru-RU"/>
        </w:rPr>
        <w:t>−</w:t>
      </w:r>
      <w:r w:rsidRPr="006D1A0E">
        <w:rPr>
          <w:lang w:val="ru-RU"/>
        </w:rPr>
        <w:tab/>
      </w:r>
      <w:r w:rsidRPr="00107B29">
        <w:rPr>
          <w:lang w:val="ru-RU"/>
        </w:rPr>
        <w:t>Сентябрь 2023 года: введение нового статуса "опубликовано в ИФИК БР" (Published in BR IFIC): при публикации заявки в ИФИК БР (Космические службы) в Специальной секции или Части I-S в соответствии с Регламентом радиосвязи статус заявки в системе e-Submission изменяется с "Published As Received" ("Опубликовано в том виде, в каком получено") на "Published in BR IFIC" ("опубликовано в ИФИК БР").</w:t>
      </w:r>
    </w:p>
    <w:p w14:paraId="348798D7" w14:textId="77777777" w:rsidR="00F80885" w:rsidRPr="00107B29" w:rsidRDefault="00F80885" w:rsidP="006D1A0E">
      <w:pPr>
        <w:pStyle w:val="enumlev2"/>
        <w:rPr>
          <w:lang w:val="ru-RU"/>
        </w:rPr>
      </w:pPr>
      <w:r w:rsidRPr="006D1A0E">
        <w:rPr>
          <w:lang w:val="ru-RU"/>
        </w:rPr>
        <w:t>−</w:t>
      </w:r>
      <w:r w:rsidRPr="006D1A0E">
        <w:rPr>
          <w:lang w:val="ru-RU"/>
        </w:rPr>
        <w:tab/>
      </w:r>
      <w:r w:rsidRPr="00107B29">
        <w:rPr>
          <w:lang w:val="ru-RU"/>
        </w:rPr>
        <w:t xml:space="preserve">Октябрь 2023 года: Новый онлайновый инструмент для рассмотрения e-Examination помогает администрациям (или операторам) провести проверку соответствия пределам п.п.м. и э.и.и.м., указанным в Регламенте радиосвязи, при представлении заявок на регистрацию спутниковых сетей в Бюро (или администрациям). </w:t>
      </w:r>
    </w:p>
    <w:p w14:paraId="50FF502A" w14:textId="77777777" w:rsidR="00F80885" w:rsidRPr="00107B29" w:rsidRDefault="00F80885" w:rsidP="006D1A0E">
      <w:pPr>
        <w:pStyle w:val="enumlev2"/>
        <w:rPr>
          <w:lang w:val="ru-RU"/>
        </w:rPr>
      </w:pPr>
      <w:r w:rsidRPr="006D1A0E">
        <w:rPr>
          <w:lang w:val="ru-RU"/>
        </w:rPr>
        <w:t>−</w:t>
      </w:r>
      <w:r w:rsidRPr="006D1A0E">
        <w:rPr>
          <w:lang w:val="ru-RU"/>
        </w:rPr>
        <w:tab/>
      </w:r>
      <w:r w:rsidRPr="00107B29">
        <w:rPr>
          <w:lang w:val="ru-RU"/>
        </w:rPr>
        <w:t xml:space="preserve">Декабрь 2023 года: Для удовлетворения неотложных потребностей, касающихся новых представлений, основанных на решениях ВКР-23, в систему были внесены изменения, с тем чтобы она могла принимать элементы данных, принятые ВКР-23 и вступившие в силу в конце Конференции в связи с правилом процедуры, касающимся приемлемости. </w:t>
      </w:r>
    </w:p>
    <w:p w14:paraId="6DB32FD9" w14:textId="77777777" w:rsidR="00F80885" w:rsidRPr="00107B29" w:rsidRDefault="00F80885" w:rsidP="006D1A0E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107B29">
        <w:rPr>
          <w:lang w:val="ru-RU"/>
        </w:rPr>
        <w:t xml:space="preserve">Система электронной переписки (e-Communication) (выполнение Резолюции 907 (Пересм. ВКР-15)): в настоящее время разрабатывается новая функция для интеграции с системой e-Submission, которая упростит отслеживание переписки между Бюро и заявляющей администрацией, касающейся корреспонденции о приемлемости, и ее внедрение ожидается в первой половине 2024 года. </w:t>
      </w:r>
    </w:p>
    <w:p w14:paraId="0E3F9ACF" w14:textId="77777777" w:rsidR="00F80885" w:rsidRPr="00107B29" w:rsidRDefault="00F80885" w:rsidP="006D1A0E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107B29">
        <w:rPr>
          <w:lang w:val="ru-RU"/>
        </w:rPr>
        <w:t xml:space="preserve">Перевод ИФИК БР (Космические службы) из формата DVD в онлайновый механизм </w:t>
      </w:r>
      <w:r w:rsidRPr="00EC6FB8">
        <w:rPr>
          <w:lang w:val="ru-RU"/>
        </w:rPr>
        <w:t>−</w:t>
      </w:r>
      <w:r w:rsidRPr="00107B29">
        <w:rPr>
          <w:lang w:val="ru-RU"/>
        </w:rPr>
        <w:t xml:space="preserve"> веб-приложение ИФИК БР (Космические службы) было выпущено в январе 2024 года. </w:t>
      </w:r>
      <w:bookmarkEnd w:id="64"/>
      <w:bookmarkEnd w:id="65"/>
      <w:bookmarkEnd w:id="66"/>
    </w:p>
    <w:p w14:paraId="3922BE28" w14:textId="77777777" w:rsidR="00F80885" w:rsidRPr="00107B29" w:rsidRDefault="00F80885" w:rsidP="006D1A0E">
      <w:pPr>
        <w:pStyle w:val="Heading2"/>
        <w:rPr>
          <w:lang w:val="ru-RU"/>
        </w:rPr>
      </w:pPr>
      <w:bookmarkStart w:id="67" w:name="_Toc37860458"/>
      <w:bookmarkStart w:id="68" w:name="_Toc37861219"/>
      <w:bookmarkStart w:id="69" w:name="_Toc37943338"/>
      <w:bookmarkStart w:id="70" w:name="Section_1_4"/>
      <w:bookmarkStart w:id="71" w:name="_Toc1871808104"/>
      <w:bookmarkStart w:id="72" w:name="_Toc164927166"/>
      <w:bookmarkStart w:id="73" w:name="_Toc168049891"/>
      <w:bookmarkStart w:id="74" w:name="_Toc168050270"/>
      <w:r w:rsidRPr="00107B29">
        <w:rPr>
          <w:lang w:val="ru-RU"/>
        </w:rPr>
        <w:lastRenderedPageBreak/>
        <w:t>4.2</w:t>
      </w:r>
      <w:r w:rsidRPr="00107B29">
        <w:rPr>
          <w:lang w:val="ru-RU"/>
        </w:rPr>
        <w:tab/>
        <w:t>Появляющиеся технологии – формирование основ для устойчивой цифровой трансформации</w:t>
      </w:r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14:paraId="04E5DEE6" w14:textId="77777777" w:rsidR="00F80885" w:rsidRPr="00107B29" w:rsidRDefault="00F80885" w:rsidP="00EC6FB8">
      <w:pPr>
        <w:spacing w:after="120"/>
        <w:rPr>
          <w:lang w:val="ru-RU"/>
        </w:rPr>
      </w:pPr>
      <w:r w:rsidRPr="00107B29">
        <w:rPr>
          <w:lang w:val="ru-RU"/>
        </w:rPr>
        <w:t>Работая над формированием ускоряющегося развития технологий, МСЭ уделяет пристальное внимание искусственному интеллекту (ИИ), квантовым информационным технологиям и потенциалу метавселенной или виртуальных миров для поддержки открытой для всех и устойчивой цифровой трансформации во всем мире.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F80885" w:rsidRPr="00177CCD" w14:paraId="758FA768" w14:textId="77777777" w:rsidTr="00CF4BAE">
        <w:tc>
          <w:tcPr>
            <w:tcW w:w="9061" w:type="dxa"/>
          </w:tcPr>
          <w:p w14:paraId="01A4D348" w14:textId="77777777" w:rsidR="00F80885" w:rsidRPr="00107B29" w:rsidRDefault="00F80885" w:rsidP="00EC6FB8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Пример воздействия</w:t>
            </w:r>
          </w:p>
          <w:p w14:paraId="2B4A2DB3" w14:textId="77777777" w:rsidR="00F80885" w:rsidRPr="00107B29" w:rsidRDefault="00F80885" w:rsidP="00EC6FB8">
            <w:pPr>
              <w:pStyle w:val="Headingb"/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Реагирование с использованием электросвязи в чрезвычайных ситуациях в Папуа-Новой Гвинее</w:t>
            </w:r>
          </w:p>
          <w:p w14:paraId="57C7FCE0" w14:textId="77777777" w:rsidR="00F80885" w:rsidRPr="00107B29" w:rsidRDefault="00F80885" w:rsidP="00107B29">
            <w:pPr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После разрушений, вызванных извержением вулкана Багана в июле 2023 года, МСЭ поставил важнейшее оборудование спутниковой электросвязи для поддержки гуманитарной деятельности в Папуа-Новой Гвинее. Предоставление спутниковых телефонов Iridium и терминалов BGAN Inmarsat помогло восстановить важнейшие линии связи и облегчило координацию эвакуации сообществ, находившихся в условиях повышенного риска. Цифровые технологии имеют важнейшее значение для своевременной передачи информации после бедствий, снижения основных рисков и спасания жизней.</w:t>
            </w:r>
          </w:p>
          <w:p w14:paraId="2E3D0258" w14:textId="77777777" w:rsidR="00F80885" w:rsidRPr="009372AB" w:rsidRDefault="00177CCD" w:rsidP="00EC6FB8">
            <w:pPr>
              <w:spacing w:after="120"/>
              <w:rPr>
                <w:rFonts w:eastAsia="Times New Roman"/>
                <w:lang w:val="ru-RU"/>
              </w:rPr>
            </w:pPr>
            <w:hyperlink r:id="rId41" w:history="1">
              <w:r w:rsidR="00F80885" w:rsidRPr="00107B29">
                <w:rPr>
                  <w:rStyle w:val="Hyperlink"/>
                  <w:lang w:val="ru-RU"/>
                </w:rPr>
                <w:t>Узнать больше о развертывании оборудования МСЭ.</w:t>
              </w:r>
            </w:hyperlink>
          </w:p>
        </w:tc>
      </w:tr>
    </w:tbl>
    <w:p w14:paraId="23163EE3" w14:textId="77777777" w:rsidR="00F80885" w:rsidRPr="00107B29" w:rsidRDefault="00F80885" w:rsidP="00EC6FB8">
      <w:pPr>
        <w:pStyle w:val="Heading3"/>
        <w:rPr>
          <w:lang w:val="ru-RU"/>
        </w:rPr>
      </w:pPr>
      <w:bookmarkStart w:id="75" w:name="_Toc168049892"/>
      <w:bookmarkStart w:id="76" w:name="Section_1_5"/>
      <w:r w:rsidRPr="00107B29">
        <w:rPr>
          <w:lang w:val="ru-RU"/>
        </w:rPr>
        <w:t>4.2.1</w:t>
      </w:r>
      <w:r w:rsidRPr="00107B29">
        <w:rPr>
          <w:lang w:val="ru-RU"/>
        </w:rPr>
        <w:tab/>
        <w:t>Искусственный интеллект</w:t>
      </w:r>
      <w:bookmarkEnd w:id="75"/>
    </w:p>
    <w:p w14:paraId="277758E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МСЭ предоставляет всем заинтересованным сторонам глобальную платформу для использования возможностей и решения проблем, связанных с безопасным и открытым для всех развитием технологий и приложений ИИ. </w:t>
      </w:r>
    </w:p>
    <w:p w14:paraId="289AE9A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Развитие все более мощных систем ИИ приводит к контрастному сочетанию рисков и преимуществ. Инструменты ИИ могут улучшить жизнь людей и их благосостояние, укрепить глобальные меры реагирования на изменение климата и стимулировать устойчивое развитие для всех. Тем не менее когда миллиарды человек лишены доступа к цифровым технологиям, революция в области ИИ угрожает усугубить глобальное неравенство.</w:t>
      </w:r>
    </w:p>
    <w:p w14:paraId="5A0304B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Работа МСЭ, связанная с развитием ИИ, включает: </w:t>
      </w:r>
    </w:p>
    <w:p w14:paraId="40D9824E" w14:textId="77777777" w:rsidR="00F80885" w:rsidRPr="00107B29" w:rsidRDefault="00F80885" w:rsidP="00EC6FB8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EC6FB8">
        <w:rPr>
          <w:u w:val="single"/>
          <w:lang w:val="ru-RU"/>
        </w:rPr>
        <w:t>ИИ в стандартизации</w:t>
      </w:r>
      <w:r w:rsidRPr="00107B29">
        <w:rPr>
          <w:lang w:val="ru-RU"/>
        </w:rPr>
        <w:t xml:space="preserve">, включая работу соответствующих </w:t>
      </w:r>
      <w:hyperlink r:id="rId42" w:history="1">
        <w:r w:rsidRPr="00107B29">
          <w:rPr>
            <w:rStyle w:val="Hyperlink"/>
            <w:lang w:val="ru-RU"/>
          </w:rPr>
          <w:t>оперативных групп МСЭ-Т</w:t>
        </w:r>
      </w:hyperlink>
      <w:r w:rsidRPr="00107B29">
        <w:rPr>
          <w:lang w:val="ru-RU"/>
        </w:rPr>
        <w:t xml:space="preserve"> (дополнительную информацию см. в разделе 4.2). </w:t>
      </w:r>
    </w:p>
    <w:p w14:paraId="7368B44A" w14:textId="77777777" w:rsidR="00F80885" w:rsidRPr="00107B29" w:rsidRDefault="00F80885" w:rsidP="00EC6FB8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hyperlink r:id="rId43" w:history="1">
        <w:r w:rsidRPr="00107B29">
          <w:rPr>
            <w:rStyle w:val="Hyperlink"/>
            <w:lang w:val="ru-RU"/>
          </w:rPr>
          <w:t>ИИ во благо</w:t>
        </w:r>
      </w:hyperlink>
      <w:r w:rsidRPr="00EC6FB8">
        <w:rPr>
          <w:lang w:val="ru-RU"/>
        </w:rPr>
        <w:t>.</w:t>
      </w:r>
    </w:p>
    <w:p w14:paraId="12D95F71" w14:textId="77777777" w:rsidR="00F80885" w:rsidRPr="00107B29" w:rsidRDefault="00F80885" w:rsidP="00EC6FB8">
      <w:pPr>
        <w:pStyle w:val="enumlev1"/>
        <w:rPr>
          <w:lang w:val="ru-RU"/>
        </w:rPr>
      </w:pPr>
      <w:r w:rsidRPr="006D1A0E">
        <w:rPr>
          <w:lang w:val="ru-RU"/>
        </w:rPr>
        <w:t>•</w:t>
      </w:r>
      <w:r w:rsidRPr="006D1A0E">
        <w:rPr>
          <w:lang w:val="ru-RU"/>
        </w:rPr>
        <w:tab/>
      </w:r>
      <w:r w:rsidRPr="00107B29">
        <w:rPr>
          <w:lang w:val="ru-RU"/>
        </w:rPr>
        <w:t>Конкурсы в области искусственного интеллекта и машинного обучения (ИИ/МО): В</w:t>
      </w:r>
      <w:r>
        <w:rPr>
          <w:lang w:val="en-US"/>
        </w:rPr>
        <w:t> </w:t>
      </w:r>
      <w:r w:rsidRPr="00107B29">
        <w:rPr>
          <w:lang w:val="ru-RU"/>
        </w:rPr>
        <w:t xml:space="preserve">отчетном периоде конкурсы проводились по темам </w:t>
      </w:r>
      <w:hyperlink r:id="rId44" w:history="1">
        <w:r w:rsidRPr="00107B29">
          <w:rPr>
            <w:rStyle w:val="Hyperlink"/>
            <w:lang w:val="ru-RU"/>
          </w:rPr>
          <w:t>сетей связи</w:t>
        </w:r>
      </w:hyperlink>
      <w:r w:rsidRPr="00107B29">
        <w:rPr>
          <w:lang w:val="ru-RU"/>
        </w:rPr>
        <w:t xml:space="preserve">, </w:t>
      </w:r>
      <w:hyperlink r:id="rId45" w:history="1">
        <w:r w:rsidRPr="00107B29">
          <w:rPr>
            <w:rStyle w:val="Hyperlink"/>
            <w:lang w:val="ru-RU"/>
          </w:rPr>
          <w:t xml:space="preserve">анализа </w:t>
        </w:r>
        <w:proofErr w:type="spellStart"/>
        <w:r w:rsidRPr="00107B29">
          <w:rPr>
            <w:rStyle w:val="Hyperlink"/>
            <w:lang w:val="ru-RU"/>
          </w:rPr>
          <w:t>геопространственных</w:t>
        </w:r>
        <w:proofErr w:type="spellEnd"/>
        <w:r w:rsidRPr="00107B29">
          <w:rPr>
            <w:rStyle w:val="Hyperlink"/>
            <w:lang w:val="ru-RU"/>
          </w:rPr>
          <w:t xml:space="preserve"> данных</w:t>
        </w:r>
      </w:hyperlink>
      <w:r w:rsidRPr="00107B29">
        <w:rPr>
          <w:lang w:val="ru-RU"/>
        </w:rPr>
        <w:t xml:space="preserve">, </w:t>
      </w:r>
      <w:hyperlink r:id="rId46" w:history="1">
        <w:r w:rsidRPr="00107B29">
          <w:rPr>
            <w:rStyle w:val="Hyperlink"/>
            <w:lang w:val="ru-RU"/>
          </w:rPr>
          <w:t>изменения климата</w:t>
        </w:r>
      </w:hyperlink>
      <w:r w:rsidRPr="00107B29">
        <w:rPr>
          <w:lang w:val="ru-RU"/>
        </w:rPr>
        <w:t xml:space="preserve"> и </w:t>
      </w:r>
      <w:hyperlink r:id="rId47" w:history="1">
        <w:r w:rsidRPr="00107B29">
          <w:rPr>
            <w:rStyle w:val="Hyperlink"/>
            <w:lang w:val="ru-RU"/>
          </w:rPr>
          <w:t>энергии синтеза</w:t>
        </w:r>
      </w:hyperlink>
      <w:r w:rsidRPr="00107B29">
        <w:rPr>
          <w:lang w:val="ru-RU"/>
        </w:rPr>
        <w:t>.</w:t>
      </w:r>
    </w:p>
    <w:p w14:paraId="382F1C8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Влияние ИИ/МО на работу МСЭ в области стандартизации продолжает расти, в частности в отношении оркестровки сетей и управления сетями, мультимедиа, оценки качества обслуживания, энергоэффективности, протоколов и спецификаций тестирования, будущих сетей, кабельных сетей, эксплуатации и технического обслуживания сетей, безопасности, цифрового здравоохранения, "умной" мобильности, цифрового сельского хозяйства и управления операциями в случае бедствий. </w:t>
      </w:r>
    </w:p>
    <w:p w14:paraId="02668D3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Глобальное и открытое для всех сообщество "ИИ во благо" объединяет компании частного сектора, структуры гражданского общества и государственные институты, которые непрерывно работают с идеями в области ИИ, машинного обучения и инструментами интерфейса "машина-мозг". </w:t>
      </w:r>
    </w:p>
    <w:p w14:paraId="33450BF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lastRenderedPageBreak/>
        <w:t>Параллельно с этим в рамках МСЭ начались подробные обсуждения вопросов управления, направленных на управление рисками, в том числе риском усугубления цифрового разрыва, и обеспечение пользы ИИ для всего человечества.</w:t>
      </w:r>
    </w:p>
    <w:p w14:paraId="7AE9D6E7" w14:textId="77777777" w:rsidR="00F80885" w:rsidRPr="00107B29" w:rsidRDefault="00F80885" w:rsidP="00EC6FB8">
      <w:pPr>
        <w:pStyle w:val="Heading3"/>
        <w:rPr>
          <w:lang w:val="ru-RU"/>
        </w:rPr>
      </w:pPr>
      <w:bookmarkStart w:id="77" w:name="_Toc168049893"/>
      <w:r w:rsidRPr="00107B29">
        <w:rPr>
          <w:lang w:val="ru-RU"/>
        </w:rPr>
        <w:t>4.2.2</w:t>
      </w:r>
      <w:r w:rsidRPr="00107B29">
        <w:rPr>
          <w:lang w:val="ru-RU"/>
        </w:rPr>
        <w:tab/>
        <w:t>Квантовые информационные технологии</w:t>
      </w:r>
      <w:bookmarkEnd w:id="77"/>
    </w:p>
    <w:p w14:paraId="77E665A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работе МСЭ по стандартизации рассматриваются аспекты сетей и безопасности квантовых информационных технологий, при этом первоначальное внимание уделяется квантовому распределению ключей (QKD) </w:t>
      </w:r>
      <w:r w:rsidRPr="00EC6FB8">
        <w:rPr>
          <w:lang w:val="ru-RU"/>
        </w:rPr>
        <w:t>−</w:t>
      </w:r>
      <w:r w:rsidRPr="00107B29">
        <w:rPr>
          <w:lang w:val="ru-RU"/>
        </w:rPr>
        <w:t xml:space="preserve"> средству обеспечения квантовых безопасных методов шифрования и аутентификации. Стандарты МСЭ для сетей QKD позволят интегрировать технологии QKD в крупномасштабные сети ИКТ и обеспечить безопасность этих сетей QKD. </w:t>
      </w:r>
    </w:p>
    <w:p w14:paraId="5CD5F2A8" w14:textId="77777777" w:rsidR="00F80885" w:rsidRPr="00107B29" w:rsidRDefault="00F80885" w:rsidP="00EC6FB8">
      <w:pPr>
        <w:pStyle w:val="Heading3"/>
        <w:rPr>
          <w:lang w:val="ru-RU"/>
        </w:rPr>
      </w:pPr>
      <w:bookmarkStart w:id="78" w:name="_Toc168049894"/>
      <w:r w:rsidRPr="00107B29">
        <w:rPr>
          <w:lang w:val="ru-RU"/>
        </w:rPr>
        <w:t>4.2.3</w:t>
      </w:r>
      <w:r w:rsidRPr="00107B29">
        <w:rPr>
          <w:lang w:val="ru-RU"/>
        </w:rPr>
        <w:tab/>
        <w:t>Метавселенная</w:t>
      </w:r>
      <w:bookmarkEnd w:id="78"/>
    </w:p>
    <w:p w14:paraId="16CB0C26" w14:textId="77777777" w:rsidR="00F80885" w:rsidRPr="00107B29" w:rsidRDefault="00F80885" w:rsidP="00EC6FB8">
      <w:pPr>
        <w:spacing w:after="120"/>
        <w:rPr>
          <w:lang w:val="ru-RU"/>
        </w:rPr>
      </w:pPr>
      <w:r w:rsidRPr="00107B29">
        <w:rPr>
          <w:lang w:val="ru-RU"/>
        </w:rPr>
        <w:t xml:space="preserve">К настоящему времени </w:t>
      </w:r>
      <w:hyperlink r:id="rId48" w:history="1">
        <w:r w:rsidRPr="00107B29">
          <w:rPr>
            <w:rStyle w:val="Hyperlink"/>
            <w:lang w:val="ru-RU"/>
          </w:rPr>
          <w:t>Оперативная группа МСЭ-Т по метавселенной (ОГ-MV)</w:t>
        </w:r>
      </w:hyperlink>
      <w:r w:rsidRPr="00107B29">
        <w:rPr>
          <w:lang w:val="ru-RU"/>
        </w:rPr>
        <w:t xml:space="preserve"> подготовила 37</w:t>
      </w:r>
      <w:r>
        <w:rPr>
          <w:lang w:val="ru-RU"/>
        </w:rPr>
        <w:t> </w:t>
      </w:r>
      <w:hyperlink r:id="rId49" w:history="1">
        <w:r w:rsidRPr="00107B29">
          <w:rPr>
            <w:rStyle w:val="Hyperlink"/>
            <w:lang w:val="ru-RU"/>
          </w:rPr>
          <w:t>итоговых документов</w:t>
        </w:r>
      </w:hyperlink>
      <w:r w:rsidRPr="00107B29">
        <w:rPr>
          <w:lang w:val="ru-RU"/>
        </w:rPr>
        <w:t xml:space="preserve">, в том числе определение метавселенной и дорожную карту по стандартизации. Помимо этого, в итоговых документах рассматриваются вопросы генеративного ИИ в метавселенной, межплатформенной функциональной совместимости, безопасности и доверия, доступности, энергоэффективности и устойчивости, приложений метавселенной для городов и промышленных объектов, IoT, цифровых двойников, этических проблем для рассмотрения в работе по стандартизации метавселенной, а также соображений, относящихся к политике и регулированию.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F80885" w:rsidRPr="00177CCD" w14:paraId="4819D966" w14:textId="77777777" w:rsidTr="00CF4BAE">
        <w:tc>
          <w:tcPr>
            <w:tcW w:w="9061" w:type="dxa"/>
          </w:tcPr>
          <w:p w14:paraId="069DBD9D" w14:textId="77777777" w:rsidR="00F80885" w:rsidRPr="00107B29" w:rsidRDefault="00F80885" w:rsidP="00EC6FB8">
            <w:pPr>
              <w:jc w:val="center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Пример воздействия</w:t>
            </w:r>
          </w:p>
          <w:p w14:paraId="6C7FDF2A" w14:textId="77777777" w:rsidR="00F80885" w:rsidRPr="00107B29" w:rsidRDefault="00F80885" w:rsidP="00EC6FB8">
            <w:pPr>
              <w:pStyle w:val="Headingb"/>
              <w:rPr>
                <w:lang w:val="ru-RU"/>
              </w:rPr>
            </w:pPr>
            <w:r w:rsidRPr="00107B29">
              <w:rPr>
                <w:lang w:val="ru-RU"/>
              </w:rPr>
              <w:t>Переход Черногории на IPv6</w:t>
            </w:r>
          </w:p>
          <w:p w14:paraId="00A131C4" w14:textId="77777777" w:rsidR="00F80885" w:rsidRPr="00107B29" w:rsidRDefault="00F80885" w:rsidP="00107B29">
            <w:pPr>
              <w:rPr>
                <w:lang w:val="ru-RU"/>
              </w:rPr>
            </w:pPr>
            <w:r w:rsidRPr="00107B29">
              <w:rPr>
                <w:lang w:val="ru-RU"/>
              </w:rPr>
              <w:t xml:space="preserve">Переход на новейший протокол интернет IPv6 содействует развитию цифровой экономики, способствует ускорению инноваций и может значительно повысить социально-экономический потенциал и устойчивость страны. Открытие Университетом Черногории новой лаборатории по IPv6 знаменует собой важнейший шаг в ускорении цифровой трансформации. МСЭ предоставил техническую поддержку для перехода Черногории с IPv4 на IPv6. Задачами новой лаборатории по IPv6 является содействие инновациям, развитие цифрового потенциала и совершенствование цифровой инфраструктуры в стране. </w:t>
            </w:r>
          </w:p>
          <w:p w14:paraId="42FEE812" w14:textId="77777777" w:rsidR="00F80885" w:rsidRPr="00107B29" w:rsidRDefault="00177CCD" w:rsidP="00EC6FB8">
            <w:pPr>
              <w:spacing w:after="120"/>
              <w:rPr>
                <w:lang w:val="ru-RU"/>
              </w:rPr>
            </w:pPr>
            <w:hyperlink r:id="rId50" w:history="1">
              <w:r w:rsidR="00F80885" w:rsidRPr="00107B29">
                <w:rPr>
                  <w:rStyle w:val="Hyperlink"/>
                  <w:lang w:val="ru-RU"/>
                </w:rPr>
                <w:t>Узнать больше о лаборатории по IPv6</w:t>
              </w:r>
            </w:hyperlink>
          </w:p>
        </w:tc>
      </w:tr>
    </w:tbl>
    <w:p w14:paraId="22B601B6" w14:textId="77777777" w:rsidR="00F80885" w:rsidRPr="00107B29" w:rsidRDefault="00F80885" w:rsidP="00EC6FB8">
      <w:pPr>
        <w:pStyle w:val="Heading2"/>
        <w:rPr>
          <w:lang w:val="ru-RU"/>
        </w:rPr>
      </w:pPr>
      <w:bookmarkStart w:id="79" w:name="_Toc164927167"/>
      <w:bookmarkStart w:id="80" w:name="_Toc168049895"/>
      <w:bookmarkStart w:id="81" w:name="_Toc168050271"/>
      <w:r w:rsidRPr="00107B29">
        <w:rPr>
          <w:lang w:val="ru-RU"/>
        </w:rPr>
        <w:t>4.3</w:t>
      </w:r>
      <w:r w:rsidRPr="00107B29">
        <w:rPr>
          <w:lang w:val="ru-RU"/>
        </w:rPr>
        <w:tab/>
        <w:t>Климат и окружающая среда: мониторинг и сокращение выбросов и электронных отходов</w:t>
      </w:r>
      <w:bookmarkEnd w:id="79"/>
      <w:bookmarkEnd w:id="80"/>
      <w:bookmarkEnd w:id="81"/>
    </w:p>
    <w:bookmarkEnd w:id="76"/>
    <w:p w14:paraId="3B6C6CE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дополнение к связанным с климатом и окружающей средой результатам ВКР-23, изложенным в разделе 2, МСЭ находится на передовой глобальных инициатив по формированию циркуляционной цифровой экономики, сокращению электронных отходов и выбросов парниковых газов, а также выдвижению стремительно развивающейся цифровой отрасли на передний план борьбы с изменением климата и охраны окружающей среды. </w:t>
      </w:r>
    </w:p>
    <w:p w14:paraId="499B705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рамках сегмента </w:t>
      </w:r>
      <w:r w:rsidRPr="00EC6FB8">
        <w:rPr>
          <w:rFonts w:asciiTheme="minorHAnsi" w:hAnsiTheme="minorHAnsi" w:cstheme="minorHAnsi"/>
          <w:lang w:val="ru-RU"/>
        </w:rPr>
        <w:t>«</w:t>
      </w:r>
      <w:r w:rsidRPr="00107B29">
        <w:rPr>
          <w:lang w:val="ru-RU"/>
        </w:rPr>
        <w:t>"Зеленая" цифровая кампания</w:t>
      </w:r>
      <w:r w:rsidRPr="00EC6FB8">
        <w:rPr>
          <w:rFonts w:asciiTheme="minorHAnsi" w:hAnsiTheme="minorHAnsi" w:cstheme="minorHAnsi"/>
          <w:lang w:val="ru-RU"/>
        </w:rPr>
        <w:t>»</w:t>
      </w:r>
      <w:r w:rsidRPr="00107B29">
        <w:rPr>
          <w:lang w:val="ru-RU"/>
        </w:rPr>
        <w:t xml:space="preserve"> на КС-28 основные участники отрасли взяли на себя обязательства по сокращению выбросов и созданию глобальной системы мониторинга в масштабах всей отрасли. Осуществляемый в настоящее время проект поддерживает цифровую трансформацию в "умных" городах и сообществах с помощью стандартов для IoT, цифровых двойников и ИИ. В связи с ростом частоты и масштаба связанных с климатическими условиями бедствий МСЭ принимает активное участие в инициативе Генерального секретаря ООН "Раннее предупреждение для всех".</w:t>
      </w:r>
    </w:p>
    <w:p w14:paraId="6B3205A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lastRenderedPageBreak/>
        <w:t>В рамках проектов и видов деятельности МСЭ-D в области циркуляционной экономики и реагирования на изменение климата в период с марта 2023 года по март 2024 года были выполнены несколько ключевых этапов. В частности, к ним относятся следующие итоги работы:</w:t>
      </w:r>
    </w:p>
    <w:p w14:paraId="790F08FD" w14:textId="77777777" w:rsidR="00F80885" w:rsidRPr="00107B29" w:rsidRDefault="00F80885" w:rsidP="00EC6FB8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>20 марта 2024 года был представлен 4-й выпуск "Глобального мониторинга электронных отходов". Из 81 страны, принявших национальную политику, законодательство или нормативные акты в области электронных отходов, в 67 странах применялся принцип расширенной ответственности производителя (РОП), в нормативных актах 46 стран были зафиксированы целевые показатели по сбору электронных отходов, а в 36 странах – контрольные показатели по утилизации электронных отходов на национальном уровне. В течение первых 12 часов после выпуска отчет получил освещение в основных средствах массовой информации; было опубликовано 955 статей на 813 различных новостных сайтах на 27 языках в 65 странах. В связи с этим оценивается, что информация в том или ином виде достигла 3,3 млрд. человек. В числе СМИ, освещавших выпуск "Глобального мониторинга электронных отходов", были AP, Reuters, Deutsche Presse Agentur, а также CNN, Daily Mail, Die Welt, Le Monde, Le Temps и другие.</w:t>
      </w:r>
    </w:p>
    <w:p w14:paraId="50D8DCE7" w14:textId="77777777" w:rsidR="00F80885" w:rsidRPr="00107B29" w:rsidRDefault="00F80885" w:rsidP="00EC6FB8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>МСЭ и Всемирный альянс по сопоставительному анализу укрепили мониторинг выбросов парниковых газов, использования энергии и климатических обязательств 200</w:t>
      </w:r>
      <w:r>
        <w:rPr>
          <w:lang w:val="ru-RU"/>
        </w:rPr>
        <w:t> </w:t>
      </w:r>
      <w:r w:rsidRPr="00107B29">
        <w:rPr>
          <w:lang w:val="ru-RU"/>
        </w:rPr>
        <w:t xml:space="preserve">ведущих технологических компаний с помощью ежегодного отчета об оценке отрасли "Экологизация цифровых компаний, 2023 год: Мониторинг выбросов и климатических обязательств". </w:t>
      </w:r>
    </w:p>
    <w:p w14:paraId="2A9F61A9" w14:textId="77777777" w:rsidR="00F80885" w:rsidRPr="00107B29" w:rsidRDefault="00F80885" w:rsidP="00EC6FB8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 xml:space="preserve">В марте 2024 года был представлен подготовленный МСЭ и Всемирным банком отчет "Измерение выбросов и энергетического следа сектора ИКТ". В нем представлены комплексные данные о выбросах парниковых газов и энергопотреблении сектора ИКТ </w:t>
      </w:r>
      <w:r w:rsidRPr="00096EA7">
        <w:rPr>
          <w:u w:val="single"/>
          <w:lang w:val="ru-RU"/>
        </w:rPr>
        <w:t>из 30 стран с высоким уровнем выбросов</w:t>
      </w:r>
      <w:r w:rsidRPr="00107B29">
        <w:rPr>
          <w:lang w:val="ru-RU"/>
        </w:rPr>
        <w:t xml:space="preserve">, а также приведены исследования конкретных ситуаций, проведенные несколькими странами, представляющими данные о выбросах и энергопотреблении сектора ИКТ; были подробно рассмотрены подходы к регулированию и последствия для политики, выведенные из этих данных. </w:t>
      </w:r>
    </w:p>
    <w:p w14:paraId="3F725EC5" w14:textId="77777777" w:rsidR="00F80885" w:rsidRPr="00107B29" w:rsidRDefault="00F80885" w:rsidP="00EC6FB8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 xml:space="preserve">В области регулирования электронных отходов Бюро развития электросвязи (БРЭ) МСЭ оказало поддержку ряду стран, в том числе Малави, Ботсване, Нигеру, Уганде, Замбии и Доминиканской Республике. В результате реализации совместного проекта МСЭ и Программы ООН по окружающей среде 25 июля 2023 года президент Доминиканской Республики издал указ, касающийся комплексного управления электронными отходами. </w:t>
      </w:r>
    </w:p>
    <w:p w14:paraId="21AA8542" w14:textId="77777777" w:rsidR="00F80885" w:rsidRPr="00107B29" w:rsidRDefault="00F80885" w:rsidP="00EC6FB8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 xml:space="preserve">В рамках Академии МСЭ Союз предлагает три электронных учебных курса по вопросам политики, регулирования и циркуляционной экономики в отношении электронных отходов, два электронных курса по измерению данных и статистических показателей по электронным отходам, а также курсы по экологизации центров обработки данных и "зеленому" и цифровому предпринимательству для женщин. </w:t>
      </w:r>
    </w:p>
    <w:p w14:paraId="25C6F8B7" w14:textId="77777777" w:rsidR="00F80885" w:rsidRPr="00107B29" w:rsidRDefault="00F80885" w:rsidP="00096EA7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 xml:space="preserve">В рамках "зеленого" компонента инициативы GovStack наряду с электронными учебными курсами были представлены руководства </w:t>
      </w:r>
      <w:hyperlink r:id="rId51" w:history="1">
        <w:r w:rsidRPr="00096EA7">
          <w:rPr>
            <w:lang w:val="ru-RU"/>
          </w:rPr>
          <w:t>«</w:t>
        </w:r>
        <w:r w:rsidRPr="00107B29">
          <w:rPr>
            <w:rStyle w:val="Hyperlink"/>
            <w:lang w:val="ru-RU"/>
          </w:rPr>
          <w:t xml:space="preserve">"Зеленые" информационные центры на пути к устойчивой цифровой трансформации </w:t>
        </w:r>
        <w:r w:rsidRPr="00096EA7">
          <w:rPr>
            <w:rStyle w:val="Hyperlink"/>
            <w:lang w:val="ru-RU"/>
          </w:rPr>
          <w:t>−</w:t>
        </w:r>
        <w:r w:rsidRPr="00107B29">
          <w:rPr>
            <w:rStyle w:val="Hyperlink"/>
            <w:lang w:val="ru-RU"/>
          </w:rPr>
          <w:t xml:space="preserve"> практическое руководство</w:t>
        </w:r>
        <w:r w:rsidRPr="00096EA7">
          <w:rPr>
            <w:lang w:val="ru-RU"/>
          </w:rPr>
          <w:t>»</w:t>
        </w:r>
      </w:hyperlink>
      <w:r w:rsidRPr="00107B29">
        <w:rPr>
          <w:lang w:val="ru-RU"/>
        </w:rPr>
        <w:t xml:space="preserve"> и </w:t>
      </w:r>
      <w:hyperlink r:id="rId52" w:history="1">
        <w:r w:rsidRPr="00107B29">
          <w:rPr>
            <w:rStyle w:val="Hyperlink"/>
            <w:lang w:val="ru-RU"/>
          </w:rPr>
          <w:t>"Руководство по циркуляционным и устойчивым государственным закупкам в сфере ИКТ"</w:t>
        </w:r>
      </w:hyperlink>
      <w:r w:rsidRPr="00107B29">
        <w:rPr>
          <w:lang w:val="ru-RU"/>
        </w:rPr>
        <w:t xml:space="preserve">. </w:t>
      </w:r>
    </w:p>
    <w:p w14:paraId="5D403FBF" w14:textId="77777777" w:rsidR="00F80885" w:rsidRPr="00107B29" w:rsidRDefault="00F80885" w:rsidP="00096EA7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  <w:t xml:space="preserve">МСЭ укрепил потенциал национальных статистических управлений, регуляторных органов и министерств в области ИКТ, а также министерств охраны окружающей среды, организовав курсы профессиональной подготовки для представителей шести государств </w:t>
      </w:r>
      <w:r w:rsidRPr="00096EA7">
        <w:rPr>
          <w:lang w:val="ru-RU"/>
        </w:rPr>
        <w:t xml:space="preserve">− </w:t>
      </w:r>
      <w:r w:rsidRPr="00107B29">
        <w:rPr>
          <w:lang w:val="ru-RU"/>
        </w:rPr>
        <w:t xml:space="preserve">членов Восточноафриканской организации связи и подготовил исследование </w:t>
      </w:r>
      <w:hyperlink r:id="rId53" w:history="1">
        <w:r w:rsidRPr="00107B29">
          <w:rPr>
            <w:rStyle w:val="Hyperlink"/>
            <w:lang w:val="ru-RU"/>
          </w:rPr>
          <w:t>"К согласованию сбора данных – базовое исследование в области электронных отходов в Восточной Африке"</w:t>
        </w:r>
      </w:hyperlink>
      <w:r w:rsidRPr="00107B29">
        <w:rPr>
          <w:lang w:val="ru-RU"/>
        </w:rPr>
        <w:t xml:space="preserve">. Помимо этого, на региональном уровне </w:t>
      </w:r>
      <w:r w:rsidRPr="00107B29">
        <w:rPr>
          <w:lang w:val="ru-RU"/>
        </w:rPr>
        <w:lastRenderedPageBreak/>
        <w:t xml:space="preserve">МСЭ совместно с партнерами представил отчет </w:t>
      </w:r>
      <w:hyperlink r:id="rId54" w:history="1">
        <w:r w:rsidRPr="00107B29">
          <w:rPr>
            <w:rStyle w:val="Hyperlink"/>
            <w:lang w:val="ru-RU"/>
          </w:rPr>
          <w:t>"Региональный мониторинг электронных отходов в странах Западных Балкан"</w:t>
        </w:r>
      </w:hyperlink>
      <w:r w:rsidRPr="00107B29">
        <w:rPr>
          <w:lang w:val="ru-RU"/>
        </w:rPr>
        <w:t>, а также отчеты по мониторингу электронных отходов на национальном уровне для Казахстана, Намибии и Ботсваны.</w:t>
      </w:r>
    </w:p>
    <w:p w14:paraId="04DA763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представленном Консультативной группе по развитию электросвязи (КГРЭ) МСЭ отчете БРЭ содержатся дополнительные сведения о деятельности и результатах в следующих областях:</w:t>
      </w:r>
    </w:p>
    <w:p w14:paraId="4BF661DE" w14:textId="77777777" w:rsidR="00F80885" w:rsidRPr="00107B29" w:rsidRDefault="00F80885" w:rsidP="00096EA7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</w:r>
      <w:r w:rsidRPr="002A1F0B">
        <w:rPr>
          <w:b/>
          <w:bCs/>
          <w:lang w:val="ru-RU"/>
        </w:rPr>
        <w:t>построение циркуляционной экономики для решения проблемы электронных отходов во всех регионах мира</w:t>
      </w:r>
      <w:r w:rsidRPr="00107B29">
        <w:rPr>
          <w:lang w:val="ru-RU"/>
        </w:rPr>
        <w:t>;</w:t>
      </w:r>
    </w:p>
    <w:p w14:paraId="46155079" w14:textId="77777777" w:rsidR="00F80885" w:rsidRPr="00107B29" w:rsidRDefault="00F80885" w:rsidP="00096EA7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</w:r>
      <w:r w:rsidRPr="002A1F0B">
        <w:rPr>
          <w:b/>
          <w:bCs/>
          <w:lang w:val="ru-RU"/>
        </w:rPr>
        <w:t>изменение климата</w:t>
      </w:r>
      <w:r w:rsidRPr="00107B29">
        <w:rPr>
          <w:lang w:val="ru-RU"/>
        </w:rPr>
        <w:t>;</w:t>
      </w:r>
    </w:p>
    <w:p w14:paraId="3ABD0F18" w14:textId="77777777" w:rsidR="00F80885" w:rsidRPr="00107B29" w:rsidRDefault="00F80885" w:rsidP="00096EA7">
      <w:pPr>
        <w:pStyle w:val="enumlev1"/>
        <w:rPr>
          <w:lang w:val="ru-RU"/>
        </w:rPr>
      </w:pPr>
      <w:r w:rsidRPr="00107B29">
        <w:rPr>
          <w:lang w:val="ru-RU"/>
        </w:rPr>
        <w:t>•</w:t>
      </w:r>
      <w:r w:rsidRPr="00107B29">
        <w:rPr>
          <w:lang w:val="ru-RU"/>
        </w:rPr>
        <w:tab/>
      </w:r>
      <w:r w:rsidRPr="002A1F0B">
        <w:rPr>
          <w:b/>
          <w:bCs/>
          <w:lang w:val="ru-RU"/>
        </w:rPr>
        <w:t>ИКТ: снижение риска, более эффективное реагирование на кризисы, раннее предупреждение и электросвязь в чрезвычайных ситуациях</w:t>
      </w:r>
      <w:r w:rsidRPr="00107B29">
        <w:rPr>
          <w:lang w:val="ru-RU"/>
        </w:rPr>
        <w:t>.</w:t>
      </w:r>
    </w:p>
    <w:p w14:paraId="01F8DD18" w14:textId="77777777" w:rsidR="00F80885" w:rsidRPr="00107B29" w:rsidRDefault="00F80885" w:rsidP="00107B29">
      <w:pPr>
        <w:rPr>
          <w:lang w:val="ru-RU"/>
        </w:rPr>
      </w:pPr>
      <w:bookmarkStart w:id="82" w:name="_Toc37943340"/>
      <w:bookmarkStart w:id="83" w:name="_Toc37943341"/>
      <w:bookmarkStart w:id="84" w:name="_Toc37943342"/>
      <w:bookmarkStart w:id="85" w:name="_Toc37943343"/>
      <w:bookmarkStart w:id="86" w:name="_Toc37860460"/>
      <w:bookmarkStart w:id="87" w:name="_Toc37861221"/>
      <w:bookmarkStart w:id="88" w:name="_Toc37943344"/>
      <w:bookmarkStart w:id="89" w:name="Section_3_1_2"/>
      <w:bookmarkStart w:id="90" w:name="Section_1_6"/>
      <w:bookmarkEnd w:id="82"/>
      <w:bookmarkEnd w:id="83"/>
      <w:bookmarkEnd w:id="84"/>
      <w:bookmarkEnd w:id="85"/>
      <w:r w:rsidRPr="00107B29">
        <w:rPr>
          <w:lang w:val="ru-RU"/>
        </w:rPr>
        <w:t>Эти данные также доступны на веб-странице "</w:t>
      </w:r>
      <w:hyperlink r:id="rId55" w:history="1">
        <w:r w:rsidRPr="00107B29">
          <w:rPr>
            <w:rStyle w:val="Hyperlink"/>
            <w:lang w:val="ru-RU"/>
          </w:rPr>
          <w:t>Создание циркуляционной экономики для электронного оборудования и экологизация цифровой трансформации</w:t>
        </w:r>
      </w:hyperlink>
      <w:r w:rsidRPr="00107B29">
        <w:rPr>
          <w:lang w:val="ru-RU"/>
        </w:rPr>
        <w:t>".</w:t>
      </w:r>
    </w:p>
    <w:p w14:paraId="43469F3C" w14:textId="77777777" w:rsidR="00F80885" w:rsidRPr="00107B29" w:rsidRDefault="00F80885" w:rsidP="00107B29">
      <w:pPr>
        <w:rPr>
          <w:lang w:val="ru-RU"/>
        </w:rPr>
      </w:pPr>
      <w:r w:rsidRPr="00107B29">
        <w:rPr>
          <w:u w:val="single"/>
          <w:lang w:val="ru-RU"/>
        </w:rPr>
        <w:t>Стандарты экологической устойчивости</w:t>
      </w:r>
      <w:r w:rsidRPr="00107B29">
        <w:rPr>
          <w:lang w:val="ru-RU"/>
        </w:rPr>
        <w:t>.</w:t>
      </w:r>
    </w:p>
    <w:p w14:paraId="07579F83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>Стандарты МСЭ затрагивают три ключевые области экологической устойчивости – измерение, энергоэффективность и циркуляционную экономику.</w:t>
      </w:r>
    </w:p>
    <w:p w14:paraId="478F1F7C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>Стандарты МСЭ предлагают инструменты для мониторинга хода работы в направлении чистых нулевых выбросов как для самих цифровых технологий, так и их вклада в сокращение выбросов в других отраслях. К примеру, в настоящее время проводится важная работа по вопросу воздействия ИКТ на биоразнообразие.</w:t>
      </w:r>
    </w:p>
    <w:p w14:paraId="58B7A90B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>Стандарты МСЭ определяют, как именно большие данные и ИИ могут поддерживать "умный" контроль энергопотребления, при этом приоритет отдается возобновляемым и низкоуглеродным источникам энергии. Кроме того, стандарты МСЭ поддерживают внедрение новых решений по охлаждению центров обработки данных и содержат примеры передового опыта для "зеленых" центров обработки данных. Стандарты МСЭ также помогают оценить выбросы парниковых газов от программного обеспечения и виртуальных собраний.</w:t>
      </w:r>
    </w:p>
    <w:p w14:paraId="18DCF266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 xml:space="preserve">Стандарты МСЭ для циркуляционной экономики предоставляют инструменты для повышения эффективности использования сырья, ограничения объемов электронных отходов и устойчивой утилизации электронных отходов. Доступен новый стандарт глобального цифрового паспорта устойчивой продукции для достижения циркуляционной экономики, и в настоящее время ведется дальнейшая работа. </w:t>
      </w:r>
    </w:p>
    <w:p w14:paraId="6F4C0001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>Кроме того, разрабатываются баллы для оценки циркуляционности товаров ИКТ, таких как смартфоны.</w:t>
      </w:r>
    </w:p>
    <w:p w14:paraId="51A9151B" w14:textId="77777777" w:rsidR="00F80885" w:rsidRPr="009372AB" w:rsidRDefault="00F80885" w:rsidP="002A1F0B">
      <w:pPr>
        <w:pStyle w:val="Headingb"/>
        <w:rPr>
          <w:lang w:val="ru-RU"/>
        </w:rPr>
      </w:pPr>
      <w:r w:rsidRPr="00107B29">
        <w:rPr>
          <w:lang w:val="ru-RU"/>
        </w:rPr>
        <w:t>"Зеленая цифровая кампания" на КС-28</w:t>
      </w:r>
    </w:p>
    <w:p w14:paraId="5E9B98A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См. раздел 6.</w:t>
      </w:r>
    </w:p>
    <w:p w14:paraId="123B40F1" w14:textId="77777777" w:rsidR="00F80885" w:rsidRPr="00107B29" w:rsidRDefault="00F80885" w:rsidP="002A1F0B">
      <w:pPr>
        <w:pStyle w:val="Headingb"/>
        <w:rPr>
          <w:lang w:val="ru-RU"/>
        </w:rPr>
      </w:pPr>
      <w:r w:rsidRPr="00107B29">
        <w:rPr>
          <w:lang w:val="ru-RU"/>
        </w:rPr>
        <w:t>Цифровая трансформация для "умных" городов и сообществ</w:t>
      </w:r>
    </w:p>
    <w:p w14:paraId="063718F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Инициативу </w:t>
      </w:r>
      <w:hyperlink r:id="rId56" w:history="1">
        <w:r w:rsidRPr="00107B29">
          <w:rPr>
            <w:rStyle w:val="Hyperlink"/>
            <w:lang w:val="ru-RU"/>
          </w:rPr>
          <w:t>"Объединение усилий в целях построения "умных" устойчивых городов"</w:t>
        </w:r>
      </w:hyperlink>
      <w:r w:rsidRPr="00107B29">
        <w:rPr>
          <w:lang w:val="ru-RU"/>
        </w:rPr>
        <w:t xml:space="preserve"> (U4SSC) поддерживают 19 учреждений ООН для достижения ЦУР 11 ("Обеспечение открытости, безопасности, жизнестойкости и экологической устойчивости городов и населенных пунктов"). Более 150 городов приняли </w:t>
      </w:r>
      <w:hyperlink r:id="rId57" w:history="1">
        <w:r w:rsidRPr="00107B29">
          <w:rPr>
            <w:rStyle w:val="Hyperlink"/>
            <w:lang w:val="ru-RU"/>
          </w:rPr>
          <w:t>ключевые показатели деятельности U4SSC</w:t>
        </w:r>
      </w:hyperlink>
      <w:r w:rsidRPr="00107B29">
        <w:rPr>
          <w:lang w:val="ru-RU"/>
        </w:rPr>
        <w:t xml:space="preserve"> на основе стандартов МСЭ. Результаты оценок подтверждаются </w:t>
      </w:r>
      <w:hyperlink r:id="rId58" w:history="1">
        <w:r w:rsidRPr="00107B29">
          <w:rPr>
            <w:rStyle w:val="Hyperlink"/>
            <w:lang w:val="ru-RU"/>
          </w:rPr>
          <w:t>"портретами" городов, информационными бюллетенями, отчетами о проверке и исследованиями конкретных ситуаций</w:t>
        </w:r>
      </w:hyperlink>
      <w:r w:rsidRPr="00107B29">
        <w:rPr>
          <w:lang w:val="ru-RU"/>
        </w:rPr>
        <w:t xml:space="preserve">. </w:t>
      </w:r>
    </w:p>
    <w:p w14:paraId="0AC5BD83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20 июня 2023 года в онлайновом режиме состоялось </w:t>
      </w:r>
      <w:hyperlink r:id="rId59" w:history="1">
        <w:r w:rsidRPr="00107B29">
          <w:rPr>
            <w:rStyle w:val="Hyperlink"/>
            <w:lang w:val="ru-RU"/>
          </w:rPr>
          <w:t>седьмое собрание U4SSC</w:t>
        </w:r>
      </w:hyperlink>
      <w:r w:rsidRPr="00107B29">
        <w:rPr>
          <w:lang w:val="ru-RU"/>
        </w:rPr>
        <w:t xml:space="preserve">. В числе основных моментов собрания </w:t>
      </w:r>
      <w:r w:rsidRPr="002A1F0B">
        <w:rPr>
          <w:lang w:val="ru-RU"/>
        </w:rPr>
        <w:t>−</w:t>
      </w:r>
      <w:r w:rsidRPr="00107B29">
        <w:rPr>
          <w:lang w:val="ru-RU"/>
        </w:rPr>
        <w:t xml:space="preserve"> назначение нового </w:t>
      </w:r>
      <w:hyperlink r:id="rId60" w:history="1">
        <w:r w:rsidRPr="00107B29">
          <w:rPr>
            <w:rStyle w:val="Hyperlink"/>
            <w:lang w:val="ru-RU"/>
          </w:rPr>
          <w:t>руководства U4SSC</w:t>
        </w:r>
      </w:hyperlink>
      <w:r w:rsidRPr="00107B29">
        <w:rPr>
          <w:lang w:val="ru-RU"/>
        </w:rPr>
        <w:t xml:space="preserve"> и объявление о создании нового странового центра U4SSC в Кьеби, Гана. </w:t>
      </w:r>
    </w:p>
    <w:p w14:paraId="5F03EEC7" w14:textId="77777777" w:rsidR="00F80885" w:rsidRPr="00107B29" w:rsidRDefault="00F80885" w:rsidP="002A1F0B">
      <w:pPr>
        <w:spacing w:after="120"/>
        <w:rPr>
          <w:lang w:val="ru-RU"/>
        </w:rPr>
      </w:pPr>
      <w:r w:rsidRPr="00107B29">
        <w:rPr>
          <w:lang w:val="ru-RU"/>
        </w:rPr>
        <w:lastRenderedPageBreak/>
        <w:t xml:space="preserve">См. </w:t>
      </w:r>
      <w:hyperlink r:id="rId61" w:history="1">
        <w:r w:rsidRPr="00107B29">
          <w:rPr>
            <w:rStyle w:val="Hyperlink"/>
            <w:lang w:val="ru-RU"/>
          </w:rPr>
          <w:t>отчеты U4SSC</w:t>
        </w:r>
      </w:hyperlink>
      <w:r w:rsidRPr="00107B29">
        <w:rPr>
          <w:lang w:val="ru-RU"/>
        </w:rPr>
        <w:t xml:space="preserve"> и </w:t>
      </w:r>
      <w:hyperlink r:id="rId62" w:history="1">
        <w:r w:rsidRPr="00107B29">
          <w:rPr>
            <w:rStyle w:val="Hyperlink"/>
            <w:lang w:val="ru-RU"/>
          </w:rPr>
          <w:t>отчеты МСЭ</w:t>
        </w:r>
      </w:hyperlink>
      <w:r w:rsidRPr="00107B29">
        <w:rPr>
          <w:lang w:val="ru-RU"/>
        </w:rPr>
        <w:t xml:space="preserve"> по "умным" городам. См. также </w:t>
      </w:r>
      <w:hyperlink r:id="rId63" w:history="1">
        <w:r w:rsidRPr="00107B29">
          <w:rPr>
            <w:rStyle w:val="Hyperlink"/>
            <w:lang w:val="ru-RU"/>
          </w:rPr>
          <w:t>Диалоги МСЭ по цифровой трансформации</w:t>
        </w:r>
      </w:hyperlink>
      <w:r w:rsidRPr="00107B29">
        <w:rPr>
          <w:lang w:val="ru-RU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F80885" w:rsidRPr="00107B29" w14:paraId="27F08866" w14:textId="77777777" w:rsidTr="00CF4BAE">
        <w:tc>
          <w:tcPr>
            <w:tcW w:w="9061" w:type="dxa"/>
          </w:tcPr>
          <w:p w14:paraId="34EC3E3B" w14:textId="77777777" w:rsidR="00F80885" w:rsidRPr="00107B29" w:rsidRDefault="00F80885" w:rsidP="002A1F0B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Пример воздействия</w:t>
            </w:r>
          </w:p>
          <w:p w14:paraId="661C3386" w14:textId="77777777" w:rsidR="00F80885" w:rsidRPr="00107B29" w:rsidRDefault="00F80885" w:rsidP="002A1F0B">
            <w:pPr>
              <w:pStyle w:val="Headingb"/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"Умные" моря для рыбацких сообществ Карибского бассейна</w:t>
            </w:r>
          </w:p>
          <w:p w14:paraId="62F19091" w14:textId="77777777" w:rsidR="00F80885" w:rsidRPr="00107B29" w:rsidRDefault="00F80885" w:rsidP="00107B29">
            <w:pPr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 xml:space="preserve">Небольшие рыбацкие сообщества в Карибском бассейне нуждаются в цифровых инструментах и возможности установления соединений для поддержания контактов и обеспечения безопасности на море. В комплекте материалов </w:t>
            </w:r>
            <w:r w:rsidRPr="00EA1E98">
              <w:rPr>
                <w:lang w:val="ru-RU"/>
              </w:rPr>
              <w:t>«</w:t>
            </w:r>
            <w:r w:rsidRPr="00107B29">
              <w:rPr>
                <w:lang w:val="ru-RU"/>
              </w:rPr>
              <w:t>"Умные" моря</w:t>
            </w:r>
            <w:r w:rsidRPr="00EA1E98">
              <w:rPr>
                <w:lang w:val="ru-RU"/>
              </w:rPr>
              <w:t>»</w:t>
            </w:r>
            <w:r w:rsidRPr="00107B29">
              <w:rPr>
                <w:lang w:val="ru-RU"/>
              </w:rPr>
              <w:t xml:space="preserve"> по повышению устойчивости к бедствиям, который был разработан МСЭ в партнерстве с Управлением электросвязи Тринидада и Тобаго (TATT) и Карибским союзом электросвязи (КСЭ), затрагиваются уязвимости, которым подвержены занимающиеся мелким промыслом рыболовные суда; они имеют важное значение для экономики региона и продовольственной безопасности, но в то же время подвергаются большим опасностям на море, таким как тропические штормы и пиратство. Этот проект осуществляется в Барбадосе, Гренаде, Сент-Винсенте и Гренадинах, а также в Тринидаде и Тобаго.</w:t>
            </w:r>
          </w:p>
          <w:p w14:paraId="6843F24D" w14:textId="77777777" w:rsidR="00F80885" w:rsidRPr="00107B29" w:rsidRDefault="00177CCD" w:rsidP="00107B29">
            <w:pPr>
              <w:rPr>
                <w:rFonts w:eastAsia="Times New Roman"/>
                <w:lang w:val="ru-RU"/>
              </w:rPr>
            </w:pPr>
            <w:hyperlink r:id="rId64" w:history="1">
              <w:r w:rsidR="00F80885" w:rsidRPr="00107B29">
                <w:rPr>
                  <w:rStyle w:val="Hyperlink"/>
                  <w:lang w:val="ru-RU"/>
                </w:rPr>
                <w:t xml:space="preserve">Узнать больше о проекте </w:t>
              </w:r>
              <w:r w:rsidR="00F80885" w:rsidRPr="002A1F0B">
                <w:rPr>
                  <w:rStyle w:val="Hyperlink"/>
                  <w:rFonts w:asciiTheme="minorHAnsi" w:hAnsiTheme="minorHAnsi" w:cstheme="minorHAnsi"/>
                  <w:lang w:val="ru-RU"/>
                </w:rPr>
                <w:t>«</w:t>
              </w:r>
              <w:r w:rsidR="00F80885" w:rsidRPr="00107B29">
                <w:rPr>
                  <w:rStyle w:val="Hyperlink"/>
                  <w:lang w:val="ru-RU"/>
                </w:rPr>
                <w:t>"Умные" моря</w:t>
              </w:r>
              <w:r w:rsidR="00F80885" w:rsidRPr="002A1F0B">
                <w:rPr>
                  <w:rStyle w:val="Hyperlink"/>
                  <w:rFonts w:asciiTheme="minorHAnsi" w:hAnsiTheme="minorHAnsi" w:cstheme="minorHAnsi"/>
                  <w:lang w:val="ru-RU"/>
                </w:rPr>
                <w:t>»</w:t>
              </w:r>
              <w:r w:rsidR="00F80885" w:rsidRPr="00107B29">
                <w:rPr>
                  <w:rStyle w:val="Hyperlink"/>
                  <w:lang w:val="ru-RU"/>
                </w:rPr>
                <w:t>.</w:t>
              </w:r>
            </w:hyperlink>
          </w:p>
          <w:p w14:paraId="11B355D5" w14:textId="77777777" w:rsidR="00F80885" w:rsidRPr="00107B29" w:rsidRDefault="00177CCD" w:rsidP="002A1F0B">
            <w:pPr>
              <w:spacing w:after="120"/>
              <w:rPr>
                <w:u w:val="single"/>
                <w:lang w:val="en-US"/>
              </w:rPr>
            </w:pPr>
            <w:hyperlink r:id="rId65" w:history="1">
              <w:r w:rsidR="00F80885" w:rsidRPr="00107B29">
                <w:rPr>
                  <w:rStyle w:val="Hyperlink"/>
                  <w:lang w:val="ru-RU"/>
                </w:rPr>
                <w:t>Смотреть видеоролик</w:t>
              </w:r>
            </w:hyperlink>
          </w:p>
        </w:tc>
      </w:tr>
    </w:tbl>
    <w:p w14:paraId="51AD777D" w14:textId="77777777" w:rsidR="00F80885" w:rsidRPr="00107B29" w:rsidRDefault="00F80885" w:rsidP="00CF001C">
      <w:pPr>
        <w:pStyle w:val="Heading2"/>
        <w:rPr>
          <w:lang w:val="ru-RU"/>
        </w:rPr>
      </w:pPr>
      <w:bookmarkStart w:id="91" w:name="_Toc1657215939"/>
      <w:bookmarkStart w:id="92" w:name="_Toc164927168"/>
      <w:bookmarkStart w:id="93" w:name="_Toc168049896"/>
      <w:bookmarkStart w:id="94" w:name="_Toc168050272"/>
      <w:r w:rsidRPr="00107B29">
        <w:rPr>
          <w:lang w:val="ru-RU"/>
        </w:rPr>
        <w:t>4.4</w:t>
      </w:r>
      <w:r w:rsidRPr="00107B29">
        <w:rPr>
          <w:lang w:val="ru-RU"/>
        </w:rPr>
        <w:tab/>
        <w:t>Кибербезопасность: укрепление доверия и безопасности в ИКТ</w:t>
      </w:r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06CDC65D" w14:textId="77777777" w:rsidR="00F80885" w:rsidRPr="00107B29" w:rsidRDefault="00F80885" w:rsidP="00107B29">
      <w:pPr>
        <w:rPr>
          <w:lang w:val="ru-RU"/>
        </w:rPr>
      </w:pPr>
      <w:bookmarkStart w:id="95" w:name="_Toc37860461"/>
      <w:bookmarkStart w:id="96" w:name="_Toc37861222"/>
      <w:bookmarkStart w:id="97" w:name="_Toc37943345"/>
      <w:bookmarkStart w:id="98" w:name="Section_1_7"/>
      <w:r w:rsidRPr="00107B29">
        <w:rPr>
          <w:lang w:val="ru-RU"/>
        </w:rPr>
        <w:t xml:space="preserve">МСЭ работает над укреплением доверия и безопасности при использовании новых и появляющихся технологий, в частности путем поддержки стран в разработке национальных стратегий и создании групп реагирования на компьютерные инциденты (CIRT). Программа МСЭ по защите ребенка в онлайновой среде помогает повысить осведомленность об опасностях в онлайновой среде и обеспечить безопасную среду для молодых пользователей цифровых технологий. </w:t>
      </w:r>
    </w:p>
    <w:p w14:paraId="1F3F89F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Документе </w:t>
      </w:r>
      <w:hyperlink r:id="rId66" w:history="1">
        <w:r w:rsidRPr="009C6191">
          <w:rPr>
            <w:rStyle w:val="Hyperlink"/>
            <w:rFonts w:eastAsia="Calibri" w:cs="Calibri"/>
            <w:szCs w:val="22"/>
          </w:rPr>
          <w:t>C</w:t>
        </w:r>
        <w:r w:rsidRPr="00EA1E98">
          <w:rPr>
            <w:rStyle w:val="Hyperlink"/>
            <w:rFonts w:eastAsia="Calibri" w:cs="Calibri"/>
            <w:szCs w:val="22"/>
            <w:lang w:val="ru-RU"/>
          </w:rPr>
          <w:t>24/18</w:t>
        </w:r>
      </w:hyperlink>
      <w:r w:rsidRPr="00107B29">
        <w:rPr>
          <w:lang w:val="ru-RU"/>
        </w:rPr>
        <w:t xml:space="preserve"> содержатся подробные сведения о деятельности МСЭ </w:t>
      </w:r>
      <w:r>
        <w:rPr>
          <w:lang w:val="ru-RU"/>
        </w:rPr>
        <w:t>в 2023</w:t>
      </w:r>
      <w:r>
        <w:rPr>
          <w:rFonts w:cs="Calibri"/>
          <w:lang w:val="ru-RU"/>
        </w:rPr>
        <w:t>−</w:t>
      </w:r>
      <w:r>
        <w:rPr>
          <w:lang w:val="ru-RU"/>
        </w:rPr>
        <w:t>2024 годах</w:t>
      </w:r>
      <w:r w:rsidRPr="00107B29">
        <w:rPr>
          <w:lang w:val="ru-RU"/>
        </w:rPr>
        <w:t xml:space="preserve"> в связи с Резолюцией 130 (Пересм. Бухарест, 2022 г.), роли МСЭ как единственной содействующей организации по Направлению деятельности С5 ВВУИО, а также о других решениях членов МСЭ по усилению роли МСЭ в укреплении доверия и безопасности при использовании ИКТ. См.</w:t>
      </w:r>
      <w:r>
        <w:rPr>
          <w:lang w:val="ru-RU"/>
        </w:rPr>
        <w:t> </w:t>
      </w:r>
      <w:r w:rsidRPr="00107B29">
        <w:rPr>
          <w:lang w:val="ru-RU"/>
        </w:rPr>
        <w:t xml:space="preserve">также веб-страницу </w:t>
      </w:r>
      <w:hyperlink r:id="rId67" w:history="1">
        <w:r w:rsidRPr="00107B29">
          <w:rPr>
            <w:rStyle w:val="Hyperlink"/>
            <w:lang w:val="ru-RU"/>
          </w:rPr>
          <w:t>"О деятельности МСЭ в области кибербезопасности"</w:t>
        </w:r>
      </w:hyperlink>
      <w:r w:rsidRPr="00107B29">
        <w:rPr>
          <w:lang w:val="ru-RU"/>
        </w:rPr>
        <w:t>.</w:t>
      </w:r>
    </w:p>
    <w:p w14:paraId="639DB58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Был выявлен прогресс в обеспечении готовности администраций к киберугрозам (к 2023 году CIRT существовали в 126 странах, в то время как в 2020 году их было 109; также 127 стран утвердили национальные стратегии и планы действий в области кибербезопасности, в 2020</w:t>
      </w:r>
      <w:r>
        <w:rPr>
          <w:lang w:val="ru-RU"/>
        </w:rPr>
        <w:t> </w:t>
      </w:r>
      <w:r w:rsidRPr="00107B29">
        <w:rPr>
          <w:lang w:val="ru-RU"/>
        </w:rPr>
        <w:t xml:space="preserve">году их было 107), а также в наличии национальных планов в области электросвязи в чрезвычайных ситуациях (такие планы на конец 2023 года имели 83% стран, в то время как в 2020 году их было 25%). </w:t>
      </w:r>
    </w:p>
    <w:p w14:paraId="344AF216" w14:textId="77777777" w:rsidR="00F80885" w:rsidRPr="00107B29" w:rsidRDefault="00F80885" w:rsidP="00CF001C">
      <w:pPr>
        <w:pStyle w:val="Heading2"/>
        <w:rPr>
          <w:lang w:val="ru-RU"/>
        </w:rPr>
      </w:pPr>
      <w:bookmarkStart w:id="99" w:name="_Toc168049897"/>
      <w:bookmarkStart w:id="100" w:name="_Toc168050273"/>
      <w:bookmarkStart w:id="101" w:name="_Toc164927169"/>
      <w:bookmarkStart w:id="102" w:name="_Toc217486234"/>
      <w:r w:rsidRPr="00107B29">
        <w:rPr>
          <w:lang w:val="ru-RU"/>
        </w:rPr>
        <w:t>4.5</w:t>
      </w:r>
      <w:r w:rsidRPr="00107B29">
        <w:rPr>
          <w:lang w:val="ru-RU"/>
        </w:rPr>
        <w:tab/>
        <w:t>Охват цифровыми технологиями: обеспечение открытого и равного для всех доступа к ИКТ и их использования</w:t>
      </w:r>
      <w:bookmarkEnd w:id="99"/>
      <w:bookmarkEnd w:id="100"/>
      <w:r w:rsidRPr="00107B29">
        <w:rPr>
          <w:lang w:val="ru-RU"/>
        </w:rPr>
        <w:t xml:space="preserve"> </w:t>
      </w:r>
      <w:bookmarkEnd w:id="95"/>
      <w:bookmarkEnd w:id="96"/>
      <w:bookmarkEnd w:id="97"/>
      <w:bookmarkEnd w:id="98"/>
      <w:bookmarkEnd w:id="101"/>
      <w:bookmarkEnd w:id="102"/>
    </w:p>
    <w:p w14:paraId="3A36063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МСЭ активно содействует обеспечению гендерного равенства и стремится ликвидировать гендерные разрывы в доступе к цифровым технологиям во всем мире. Специальные инициативы включают учет мнений молодежи во всех областях работы МСЭ, а также учет потребностей и перспектив коренных народов, стареющего населения и других уязвимых групп населения. В соответствии с принципами ООН МСЭ также поддерживает доступ к цифровым технологиям для лиц с ограниченными возможностями посредством разработки инклюзивных стандартов, политических указаний, повышения осведомленности и обучения.</w:t>
      </w:r>
    </w:p>
    <w:p w14:paraId="459A409B" w14:textId="77777777" w:rsidR="00F80885" w:rsidRPr="00107B29" w:rsidRDefault="00F80885" w:rsidP="00CF001C">
      <w:pPr>
        <w:pStyle w:val="Heading3"/>
        <w:rPr>
          <w:lang w:val="ru-RU"/>
        </w:rPr>
      </w:pPr>
      <w:bookmarkStart w:id="103" w:name="_Toc168049898"/>
      <w:r w:rsidRPr="00107B29">
        <w:rPr>
          <w:lang w:val="ru-RU"/>
        </w:rPr>
        <w:lastRenderedPageBreak/>
        <w:t>4.5.1</w:t>
      </w:r>
      <w:r w:rsidRPr="00107B29">
        <w:rPr>
          <w:lang w:val="ru-RU"/>
        </w:rPr>
        <w:tab/>
        <w:t>Гендерные вопросы</w:t>
      </w:r>
      <w:bookmarkEnd w:id="103"/>
    </w:p>
    <w:p w14:paraId="49AD4A1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Документе </w:t>
      </w:r>
      <w:hyperlink r:id="rId68" w:history="1">
        <w:r w:rsidRPr="00107B29">
          <w:rPr>
            <w:rStyle w:val="Hyperlink"/>
            <w:lang w:val="ru-RU"/>
          </w:rPr>
          <w:t>C24/6</w:t>
        </w:r>
      </w:hyperlink>
      <w:r w:rsidRPr="00107B29">
        <w:rPr>
          <w:lang w:val="ru-RU"/>
        </w:rPr>
        <w:t xml:space="preserve"> приводятся дополнительные подробности по деятельности по гендерным проблемам. </w:t>
      </w:r>
    </w:p>
    <w:p w14:paraId="1800D8C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Прогресс в преодолении цифрового гендерного разрыва по-прежнему неравномерен. Несмотря на незначительный рост по сравнению с 2022 годом, женщины по-прежнему составляют непропорционально большую долю мирового населения, не имеющего доступа к интернету; число не пользующихся интернетом женщин превышает число не пользующихся интернетом мужчин на 17%. Что касается владения телефоном, то вероятность владения мобильным телефоном среди женщин на 8 процентов ниже, чем среди мужчин; число не имеющих мобильного телефона женщин превышает число не имеющих мобильного телефона мужчин на 35%.</w:t>
      </w:r>
    </w:p>
    <w:p w14:paraId="738A3F5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МСЭ активно работает над преодолением этого разрыва, в том числе в отношении профессий в сфере ИКТ. В рамках таких инициатив, как Международный день "Девушки в ИКТ", инициатив "РАВНЫЕ" и "Ее киберследы" (Her CyberTracks), девушкам и молодым женщинам рекомендуется выбирать карьеру и учебу в сфере ИКТ, а также оказывается содействие в доступе к профессиональной подготовке и программам наставничества в области цифровых технологий.</w:t>
      </w:r>
    </w:p>
    <w:p w14:paraId="19AD952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Меры по профессиональной подготовке и созданию потенциала включают два новых онлайновых учебных курса для самостоятельного изучения: один по гендерному анализу для охвата цифровыми технологиями, а второй </w:t>
      </w:r>
      <w:r w:rsidRPr="00A15352">
        <w:rPr>
          <w:lang w:val="ru-RU"/>
        </w:rPr>
        <w:t>−</w:t>
      </w:r>
      <w:r w:rsidRPr="00107B29">
        <w:rPr>
          <w:lang w:val="ru-RU"/>
        </w:rPr>
        <w:t xml:space="preserve"> по Справочнику МСЭ по учету гендерных аспектов в политике в области цифровых технологий, который призван содействовать включению гендерного равенства в процесс разработки политики. Список мероприятий по профессиональной подготовке по гендерной проблематике доступен на веб-сайте.</w:t>
      </w:r>
    </w:p>
    <w:p w14:paraId="3340906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Сообщества МСЭ "Сеть женщин" (NOW) в рамках всех Секторов (МСЭ-R, МСЭ-Т, МСЭ-D) повышают представленность женщин в работе и принятии решений в МСЭ, обеспечивая благоприятную среду для женщин-делегатов. NOW4WRC23 сыграла значительную роль в недавно принятой Резолюции МСЭ-R 72, способствующей обеспечению гендерного равенства и преодолению разрыва в участии. Женщины составили 22% участников на АР и ВКР, в то время как на мероприятиях 2019 года их было 18%. Сеть женщин в Секторе стандартизации электросвязи МСЭ (NOW в МСЭ-Т) активизирует свои усилия по подготовке к ВАСЭ в конце этого года.</w:t>
      </w:r>
    </w:p>
    <w:p w14:paraId="4EF17E7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МСЭ ежегодно представляет отчеты в рамках Общесистемного плана действий ООН по вопросам гендерного равенства и расширения прав и возможностей женщин (UN-SWAP), основанного на 17 показателях деятельности. В отчетной карточке UN-SWAP 2022 года отражены проблемы, возникающие при ведении работы без дополнительных ресурсов.</w:t>
      </w:r>
    </w:p>
    <w:p w14:paraId="218D5F0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Равная представленность персонала достигнута на уровне D.2, однако общая представленность женщин на руководящих должностях (P5-D1-D2) по-прежнему является проблемой. Усилия кадровой службы, направленные на решение этой проблемы, подробно изложены в документах Cовета-24. В центре внимания находится подотчетность руководителей и содействие формированию здоровой организационной культуры для привлечения и удержания наиболее перспективных сотрудников.</w:t>
      </w:r>
    </w:p>
    <w:p w14:paraId="4783EB3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Дополнительная информация содержится по адресу </w:t>
      </w:r>
      <w:hyperlink r:id="rId69" w:history="1">
        <w:r w:rsidRPr="00107B29">
          <w:rPr>
            <w:rStyle w:val="Hyperlink"/>
            <w:lang w:val="ru-RU"/>
          </w:rPr>
          <w:t>www.itu.int/gender</w:t>
        </w:r>
      </w:hyperlink>
      <w:r w:rsidRPr="00107B29">
        <w:rPr>
          <w:lang w:val="ru-RU"/>
        </w:rPr>
        <w:t xml:space="preserve"> и </w:t>
      </w:r>
      <w:hyperlink r:id="rId70" w:history="1">
        <w:r w:rsidRPr="00107B29">
          <w:rPr>
            <w:rStyle w:val="Hyperlink"/>
            <w:lang w:val="ru-RU"/>
          </w:rPr>
          <w:t>www.itu.int/genderdashboard</w:t>
        </w:r>
      </w:hyperlink>
      <w:r w:rsidRPr="00107B29">
        <w:rPr>
          <w:lang w:val="ru-RU"/>
        </w:rPr>
        <w:t>.</w:t>
      </w:r>
    </w:p>
    <w:p w14:paraId="2AE42627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NoW в МСЭ-Т и кампания NOW4WTSA24, представленная на рабочем завтраке Сети женщин в КГСЭ в январе 2024 года, стимулируют сообщество МСЭ к назначению большего числа женщин на руководящие должности в МСЭ-Т и направлению в качестве делегатов и глав делегаций на ВАСЭ-24.</w:t>
      </w:r>
    </w:p>
    <w:p w14:paraId="0D987957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lastRenderedPageBreak/>
        <w:t>Кампания NOW4WTSA24 направлена также то, чтобы доля участвующих в ВАСЭ женщин превысила 35 процентов, принимая во внимание, что на ВАСЭ-20 женщины составляли 32% от общего числа участников.</w:t>
      </w:r>
    </w:p>
    <w:p w14:paraId="2D73C9E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рамках деятельности NOW МСЭ-Т также предусматривается программа профессиональной подготовки, направленная на то, чтобы помочь женщинам максимально повысить ценность их участия в работе в области стандартизации.</w:t>
      </w:r>
    </w:p>
    <w:p w14:paraId="4E15B82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настоящее время около 28% экспертов МСЭ-Т в области стандартизации являются женщинами, и женщины занимают около 25% руководящих должностей в МСЭ-Т.</w:t>
      </w:r>
    </w:p>
    <w:p w14:paraId="32476998" w14:textId="77777777" w:rsidR="00F80885" w:rsidRPr="00107B29" w:rsidRDefault="00F80885" w:rsidP="00A15352">
      <w:pPr>
        <w:pStyle w:val="Heading3"/>
        <w:rPr>
          <w:lang w:val="ru-RU"/>
        </w:rPr>
      </w:pPr>
      <w:bookmarkStart w:id="104" w:name="_Toc168049899"/>
      <w:r w:rsidRPr="00107B29">
        <w:rPr>
          <w:lang w:val="ru-RU"/>
        </w:rPr>
        <w:t>4.5.2</w:t>
      </w:r>
      <w:r w:rsidRPr="00107B29">
        <w:rPr>
          <w:lang w:val="ru-RU"/>
        </w:rPr>
        <w:tab/>
        <w:t>Молодежь</w:t>
      </w:r>
      <w:bookmarkEnd w:id="104"/>
    </w:p>
    <w:p w14:paraId="78AABE7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2023 и 2024 годах секретариат МСЭ продолжил работу по выполнению Резолюции 198 (Пересм. Бухарест, 2022 г.) Полномочной конференции о расширении прав и возможностей молодежи посредством электросвязи/‎информационно-коммуникационных технологий и обеспечении включения молодежной проблематики в рабочие программы, методы управления и деятельность МСЭ по развитию людских ресурсов. Для расширения прав и возможностей молодых сотрудников МСЭ была создана Целевая группа по делам молодежи. Эта инициатива, реализуемая персоналом, насчитывает около 20 членов из всех Секторов и Генерального секретариата (ГС).</w:t>
      </w:r>
    </w:p>
    <w:p w14:paraId="495AAC2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Для пропаганды и учета деятельности, связанной с молодежью, были реализованы различные инициативы, некоторые из которых изложены ниже: </w:t>
      </w:r>
      <w:hyperlink r:id="rId71" w:history="1">
        <w:r w:rsidRPr="00107B29">
          <w:rPr>
            <w:rStyle w:val="Hyperlink"/>
            <w:lang w:val="ru-RU"/>
          </w:rPr>
          <w:t>Молодежный консультативный комитет при Генеральном секретаре МСЭ</w:t>
        </w:r>
      </w:hyperlink>
      <w:r w:rsidRPr="00107B29">
        <w:rPr>
          <w:lang w:val="ru-RU"/>
        </w:rPr>
        <w:t xml:space="preserve"> был создан в качестве динамичной и ориентированной на будущее инициативы, которая предоставит молодым людям возможность формировать будущее возможности установления соединений во всем мире; была разработана </w:t>
      </w:r>
      <w:hyperlink r:id="rId72" w:history="1">
        <w:r w:rsidRPr="00107B29">
          <w:rPr>
            <w:rStyle w:val="Hyperlink"/>
            <w:lang w:val="ru-RU"/>
          </w:rPr>
          <w:t>Программа молодых лидеров в рамках инициативы "Поколение подключений"</w:t>
        </w:r>
      </w:hyperlink>
      <w:r w:rsidRPr="00107B29">
        <w:rPr>
          <w:lang w:val="ru-RU"/>
        </w:rPr>
        <w:t xml:space="preserve"> как программа лидерства, предназначенная для расширения прав и возможностей и стимулирования молодых проводников перемен в сфере цифровых технологий. В рамках Программы молодых лидеров "Поколение подключений" ежегодно 30 молодых стипендиатов будут получать руководящие указания, профессиональную подготовку и финансовую поддержку, что позволит им на практике реализовать собственные проекты цифрового развития в различных сообществах по всему миру.</w:t>
      </w:r>
    </w:p>
    <w:p w14:paraId="368C5AC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2023 и 2024 годах МСЭ расширил участие молодежи в мероприятиях и инициативах МСЭ, таких как саммит "ИИ во благо", региональные форумы по вопросам развития, сессии исследовательских комиссий, награды "РАВНЫЕ в технологиях", День "Девушки в ИКТ" и других. Бюро развития электросвязи и Бюро стандартизации электросвязи (БРЭ и БСЭ) отстаивали значимое участие молодежи в области ИИ: была создана консультационная группа "Поколения подключений" − "ИИ во благо"; совместно организован вебинар </w:t>
      </w:r>
      <w:hyperlink r:id="rId73" w:history="1">
        <w:r w:rsidRPr="00107B29">
          <w:rPr>
            <w:rStyle w:val="Hyperlink"/>
            <w:lang w:val="ru-RU"/>
          </w:rPr>
          <w:t>"Нейронные сети: как ChatGPT изменит класс"</w:t>
        </w:r>
      </w:hyperlink>
      <w:r w:rsidRPr="00107B29">
        <w:rPr>
          <w:lang w:val="ru-RU"/>
        </w:rPr>
        <w:t xml:space="preserve">, в обсуждениях которого приняли участие преподаватели и студенты; "Поколение подключений" и "ИИ во благо" совместно проведено глобальное </w:t>
      </w:r>
      <w:hyperlink r:id="rId74" w:history="1">
        <w:r w:rsidRPr="00107B29">
          <w:rPr>
            <w:rStyle w:val="Hyperlink"/>
            <w:lang w:val="ru-RU"/>
          </w:rPr>
          <w:t>обследование по ИИ и молодежи</w:t>
        </w:r>
      </w:hyperlink>
      <w:r w:rsidRPr="00107B29">
        <w:rPr>
          <w:lang w:val="ru-RU"/>
        </w:rPr>
        <w:t xml:space="preserve">; на Глобальном саммите "ИИ во благо" 2023 года совместно проведена сессия </w:t>
      </w:r>
      <w:hyperlink r:id="rId75" w:history="1">
        <w:r w:rsidRPr="00107B29">
          <w:rPr>
            <w:rStyle w:val="Hyperlink"/>
            <w:lang w:val="ru-RU"/>
          </w:rPr>
          <w:t>"Воздействие ИИ на молодежь: возможности и проблемы"</w:t>
        </w:r>
      </w:hyperlink>
      <w:r w:rsidRPr="00107B29">
        <w:rPr>
          <w:lang w:val="ru-RU"/>
        </w:rPr>
        <w:t xml:space="preserve">, организована совместная сессия "Поколения подключений" </w:t>
      </w:r>
      <w:r w:rsidRPr="00A15352">
        <w:rPr>
          <w:lang w:val="ru-RU"/>
        </w:rPr>
        <w:t>−</w:t>
      </w:r>
      <w:r w:rsidRPr="00107B29">
        <w:rPr>
          <w:lang w:val="ru-RU"/>
        </w:rPr>
        <w:t xml:space="preserve"> "ИИ во благо" по теме "ИИ во благо и генерация запросов", которая была проведена на Глобальном форуме Misk-2023 в Эр-Рияде, Саудовская Аравия.</w:t>
      </w:r>
    </w:p>
    <w:p w14:paraId="41830D4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Секретариат МСЭ также работает над укреплением отношений с академическими учреждениями в вопросах поддержки научных исследований и участия студентов. Более подробная информация обо всех инициативах, связанных с молодежью, приведена в Документе </w:t>
      </w:r>
      <w:hyperlink r:id="rId76" w:history="1">
        <w:r w:rsidRPr="00107B29">
          <w:rPr>
            <w:rStyle w:val="Hyperlink"/>
            <w:lang w:val="ru-RU"/>
          </w:rPr>
          <w:t>C24/31</w:t>
        </w:r>
      </w:hyperlink>
      <w:r w:rsidRPr="00107B29">
        <w:rPr>
          <w:lang w:val="ru-RU"/>
        </w:rPr>
        <w:t xml:space="preserve"> Совета МСЭ.</w:t>
      </w:r>
    </w:p>
    <w:p w14:paraId="5BA17B91" w14:textId="77777777" w:rsidR="00F80885" w:rsidRPr="00107B29" w:rsidRDefault="00F80885" w:rsidP="00A15352">
      <w:pPr>
        <w:spacing w:after="120"/>
        <w:rPr>
          <w:lang w:val="ru-RU"/>
        </w:rPr>
      </w:pPr>
      <w:r w:rsidRPr="00107B29">
        <w:rPr>
          <w:lang w:val="ru-RU"/>
        </w:rPr>
        <w:t xml:space="preserve">Информация о подготовке к Глобальному молодежному саммиту МСЭ содержится в Документе </w:t>
      </w:r>
      <w:hyperlink r:id="rId77" w:history="1">
        <w:r w:rsidRPr="00107B29">
          <w:rPr>
            <w:rStyle w:val="Hyperlink"/>
            <w:lang w:val="ru-RU"/>
          </w:rPr>
          <w:t>C24/32</w:t>
        </w:r>
      </w:hyperlink>
      <w:r w:rsidRPr="00107B29">
        <w:rPr>
          <w:lang w:val="ru-RU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F80885" w:rsidRPr="00177CCD" w14:paraId="0956F2E9" w14:textId="77777777" w:rsidTr="00CF4BAE">
        <w:tc>
          <w:tcPr>
            <w:tcW w:w="9061" w:type="dxa"/>
          </w:tcPr>
          <w:p w14:paraId="5D0E3F8B" w14:textId="77777777" w:rsidR="00F80885" w:rsidRPr="00107B29" w:rsidRDefault="00F80885" w:rsidP="00A15352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lastRenderedPageBreak/>
              <w:t>Пример воздействия</w:t>
            </w:r>
          </w:p>
          <w:p w14:paraId="06A8977C" w14:textId="77777777" w:rsidR="00F80885" w:rsidRPr="00107B29" w:rsidRDefault="00F80885" w:rsidP="00A15352">
            <w:pPr>
              <w:pStyle w:val="Headingb"/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Электронное обучение в сельских районах Зимбабве</w:t>
            </w:r>
          </w:p>
          <w:p w14:paraId="0CC81750" w14:textId="77777777" w:rsidR="00F80885" w:rsidRPr="00107B29" w:rsidRDefault="00F80885" w:rsidP="00107B29">
            <w:pPr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Новый проект электронного образования МСЭ в средней школе Ндлову в Викториа-Фолс, Зимбабве, направлен на открытие новых возможностей и перспектив путем обучения детей цифровым навыкам, а также на обеспечение безопасности детей в онлайновой среде. На открытии проекта в апреле 2023 года родители и учителя в сельских районах Зимбабве поделились надеждами и мечтами о цифровом будущем следующего поколения.</w:t>
            </w:r>
          </w:p>
          <w:p w14:paraId="7333126E" w14:textId="77777777" w:rsidR="00F80885" w:rsidRPr="00107B29" w:rsidRDefault="00177CCD" w:rsidP="00A15352">
            <w:pPr>
              <w:spacing w:after="120"/>
              <w:rPr>
                <w:lang w:val="ru-RU"/>
              </w:rPr>
            </w:pPr>
            <w:hyperlink r:id="rId78" w:history="1">
              <w:r w:rsidR="00F80885" w:rsidRPr="00107B29">
                <w:rPr>
                  <w:rStyle w:val="Hyperlink"/>
                  <w:lang w:val="ru-RU"/>
                </w:rPr>
                <w:t>Узнать больше об устремлениях сообщества в области цифровых технологий.</w:t>
              </w:r>
            </w:hyperlink>
          </w:p>
        </w:tc>
      </w:tr>
    </w:tbl>
    <w:p w14:paraId="67B18C50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Кроме того, с 21 по 23 октября в Нью-Дели, Индия, наряду с </w:t>
      </w:r>
      <w:hyperlink r:id="rId79" w:history="1">
        <w:r w:rsidRPr="00107B29">
          <w:rPr>
            <w:rStyle w:val="Hyperlink"/>
            <w:lang w:val="ru-RU"/>
          </w:rPr>
          <w:t>Всемирной ассамблеей по стандартизации электросвязи</w:t>
        </w:r>
      </w:hyperlink>
      <w:r w:rsidRPr="00107B29">
        <w:rPr>
          <w:lang w:val="ru-RU"/>
        </w:rPr>
        <w:t xml:space="preserve"> состоится мероприятие МСЭ </w:t>
      </w:r>
      <w:hyperlink r:id="rId80" w:history="1">
        <w:r w:rsidRPr="00107B29">
          <w:rPr>
            <w:rStyle w:val="Hyperlink"/>
            <w:lang w:val="ru-RU"/>
          </w:rPr>
          <w:t>"Калейдоскоп-2024: Инновации и цифровая трансформация для устойчивого мира"</w:t>
        </w:r>
      </w:hyperlink>
      <w:r w:rsidRPr="00107B29">
        <w:rPr>
          <w:lang w:val="ru-RU"/>
        </w:rPr>
        <w:t xml:space="preserve">. Мероприятие Калейдоскоп-2024 будет включать специальную сессию по привлечению большего числа молодых людей к деятельности по разработке стандартов и тому, как именно МСЭ может поддержать следующее поколение специалистов, которым предстоит заниматься выработкой консенсуса. </w:t>
      </w:r>
    </w:p>
    <w:p w14:paraId="2160D7B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Деятельность Сектора развития электросвязи МСЭ (МСЭ-D), связанная с молодежной проблематикой, описана в отчете Бюро развития электросвязи (БРЭ) КГРЭ.</w:t>
      </w:r>
    </w:p>
    <w:p w14:paraId="1B3F7A18" w14:textId="77777777" w:rsidR="00F80885" w:rsidRPr="00107B29" w:rsidRDefault="00F80885" w:rsidP="00A15352">
      <w:pPr>
        <w:pStyle w:val="Heading3"/>
        <w:rPr>
          <w:lang w:val="ru-RU"/>
        </w:rPr>
      </w:pPr>
      <w:bookmarkStart w:id="105" w:name="_Toc168049900"/>
      <w:r w:rsidRPr="00107B29">
        <w:rPr>
          <w:lang w:val="ru-RU"/>
        </w:rPr>
        <w:t>4.5.3</w:t>
      </w:r>
      <w:r w:rsidRPr="00107B29">
        <w:rPr>
          <w:lang w:val="ru-RU"/>
        </w:rPr>
        <w:tab/>
        <w:t>ИКТ/доступность</w:t>
      </w:r>
      <w:bookmarkEnd w:id="105"/>
    </w:p>
    <w:p w14:paraId="6D3BA78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МСЭ работает над расширением доступа к ИКТ для лиц с ограниченными возможностями путем повышения уровня осведомленности об их правах на доступ к ИКТ, учетом вопросов доступности в процессе разработки международных технических стандартов и обеспечения образования и профессиональной подготовки по важнейшим вопросам доступности. Помимо этого, за отчетный период множество членов МСЭ, заинтересованных сторон и участников укрепили свои знания в области доступности ИКТ и цифровых технологий в рамках различных мероприятий. </w:t>
      </w:r>
      <w:hyperlink r:id="rId81" w:history="1">
        <w:r w:rsidRPr="00107B29">
          <w:rPr>
            <w:rStyle w:val="Hyperlink"/>
            <w:lang w:val="ru-RU"/>
          </w:rPr>
          <w:t>МСЭ-D</w:t>
        </w:r>
      </w:hyperlink>
      <w:r w:rsidRPr="00107B29">
        <w:rPr>
          <w:lang w:val="ru-RU"/>
        </w:rPr>
        <w:t xml:space="preserve"> предоставил экспертные рекомендации по доступности ИКТ в целях поддержки усилий членов МСЭ по расширению охвата цифровыми технологиями посредством подготовки на уровне руководителей для представителей региональных директивных органов;</w:t>
      </w:r>
    </w:p>
    <w:p w14:paraId="249805A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Обзор всех видов деятельности МСЭ, касающихся доступности, см. на веб-странице </w:t>
      </w:r>
      <w:hyperlink r:id="rId82" w:history="1">
        <w:r w:rsidRPr="00107B29">
          <w:rPr>
            <w:rStyle w:val="Hyperlink"/>
            <w:lang w:val="ru-RU"/>
          </w:rPr>
          <w:t>"МСЭ и доступность"</w:t>
        </w:r>
      </w:hyperlink>
      <w:r w:rsidRPr="00107B29">
        <w:rPr>
          <w:lang w:val="ru-RU"/>
        </w:rPr>
        <w:t xml:space="preserve">. </w:t>
      </w:r>
    </w:p>
    <w:p w14:paraId="771E6089" w14:textId="77777777" w:rsidR="00F80885" w:rsidRPr="00107B29" w:rsidRDefault="00F80885" w:rsidP="00A15352">
      <w:pPr>
        <w:pStyle w:val="Headingb"/>
        <w:rPr>
          <w:lang w:val="ru-RU"/>
        </w:rPr>
      </w:pPr>
      <w:r w:rsidRPr="00107B29">
        <w:rPr>
          <w:lang w:val="ru-RU"/>
        </w:rPr>
        <w:t>МСЭ-D</w:t>
      </w:r>
    </w:p>
    <w:p w14:paraId="636A6BCB" w14:textId="77777777" w:rsidR="00F80885" w:rsidRPr="00107B29" w:rsidRDefault="00F80885" w:rsidP="00107B29">
      <w:pPr>
        <w:rPr>
          <w:b/>
          <w:bCs/>
          <w:lang w:val="ru-RU"/>
        </w:rPr>
      </w:pPr>
      <w:r w:rsidRPr="00107B29">
        <w:rPr>
          <w:lang w:val="ru-RU"/>
        </w:rPr>
        <w:t xml:space="preserve">Деятельность МСЭ-D по обеспечению доступности описана в отчете БРЭ для КГРЭ. См. также </w:t>
      </w:r>
      <w:hyperlink r:id="rId83" w:history="1">
        <w:r w:rsidRPr="00107B29">
          <w:rPr>
            <w:rStyle w:val="Hyperlink"/>
            <w:lang w:val="ru-RU"/>
          </w:rPr>
          <w:t>веб-страницу по цифровой доступности ИКТ</w:t>
        </w:r>
      </w:hyperlink>
      <w:r w:rsidRPr="00107B29">
        <w:rPr>
          <w:lang w:val="ru-RU"/>
        </w:rPr>
        <w:t>.</w:t>
      </w:r>
    </w:p>
    <w:p w14:paraId="04B626B0" w14:textId="77777777" w:rsidR="00F80885" w:rsidRPr="00107B29" w:rsidRDefault="00F80885" w:rsidP="00A15352">
      <w:pPr>
        <w:pStyle w:val="Headingb"/>
        <w:rPr>
          <w:lang w:val="ru-RU"/>
        </w:rPr>
      </w:pPr>
      <w:r w:rsidRPr="00107B29">
        <w:rPr>
          <w:lang w:val="ru-RU"/>
        </w:rPr>
        <w:t>МСЭ-Т</w:t>
      </w:r>
    </w:p>
    <w:p w14:paraId="5AF6DC8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Обзор всех видов деятельности Сектора стандартизации МСЭ (МСЭ-Т) и Бюро стандартизации электросвязи (БСЭ), касающихся доступности, см. на веб-странице </w:t>
      </w:r>
      <w:hyperlink r:id="rId84" w:history="1">
        <w:r w:rsidRPr="00107B29">
          <w:rPr>
            <w:rStyle w:val="Hyperlink"/>
            <w:lang w:val="ru-RU"/>
          </w:rPr>
          <w:t>"МСЭ-Т и доступность"</w:t>
        </w:r>
      </w:hyperlink>
      <w:r w:rsidRPr="00107B29">
        <w:rPr>
          <w:lang w:val="ru-RU"/>
        </w:rPr>
        <w:t xml:space="preserve">. </w:t>
      </w:r>
    </w:p>
    <w:p w14:paraId="4B779996" w14:textId="77777777" w:rsidR="00F80885" w:rsidRPr="00107B29" w:rsidRDefault="00F80885" w:rsidP="00A15352">
      <w:pPr>
        <w:pStyle w:val="Headingb"/>
        <w:rPr>
          <w:lang w:val="ru-RU"/>
        </w:rPr>
      </w:pPr>
      <w:r w:rsidRPr="00107B29">
        <w:rPr>
          <w:lang w:val="ru-RU"/>
        </w:rPr>
        <w:t>МСЭ</w:t>
      </w:r>
      <w:r w:rsidRPr="00107B29">
        <w:rPr>
          <w:lang w:val="ru-RU"/>
        </w:rPr>
        <w:noBreakHyphen/>
        <w:t>R</w:t>
      </w:r>
    </w:p>
    <w:p w14:paraId="464BE83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течение 2023 года были пересмотрены и утверждены пять публикаций МСЭ-R, в которых учитываются различные аспекты доступности. Они были подготовлены в ответ на Резолюцию МСЭ-R </w:t>
      </w:r>
      <w:hyperlink r:id="rId85" w:history="1">
        <w:r w:rsidRPr="00107B29">
          <w:rPr>
            <w:rStyle w:val="Hyperlink"/>
            <w:lang w:val="ru-RU"/>
          </w:rPr>
          <w:t>67-2</w:t>
        </w:r>
      </w:hyperlink>
      <w:r w:rsidRPr="00107B29">
        <w:rPr>
          <w:lang w:val="ru-RU"/>
        </w:rPr>
        <w:t xml:space="preserve"> о доступе к электросвязи/ИКТ для лиц с ограниченными возможностями и лиц с особыми потребностями (утверждена АР-23 17 ноября 2023 г.) и Рекомендацию МСЭ-R </w:t>
      </w:r>
      <w:hyperlink r:id="rId86" w:history="1">
        <w:r w:rsidRPr="00107B29">
          <w:rPr>
            <w:rStyle w:val="Hyperlink"/>
            <w:lang w:val="ru-RU"/>
          </w:rPr>
          <w:t>BT.1702-3</w:t>
        </w:r>
      </w:hyperlink>
      <w:r w:rsidRPr="00107B29">
        <w:rPr>
          <w:lang w:val="ru-RU"/>
        </w:rPr>
        <w:t xml:space="preserve"> о руководстве по уменьшению светочувствительных эпилептических приступов, вызываемых телевидением" (утверждена 22 ноября 2023 г. – ответственная группа ИК6 (РГ 6C)).</w:t>
      </w:r>
    </w:p>
    <w:p w14:paraId="6918157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 дополнительной информацией, касающейся работы МСЭ-R по вопросам доступности, можно ознакомиться </w:t>
      </w:r>
      <w:hyperlink r:id="rId87" w:history="1">
        <w:r w:rsidRPr="00107B29">
          <w:rPr>
            <w:rStyle w:val="Hyperlink"/>
            <w:lang w:val="ru-RU"/>
          </w:rPr>
          <w:t>здесь</w:t>
        </w:r>
      </w:hyperlink>
      <w:r w:rsidRPr="00107B29">
        <w:rPr>
          <w:lang w:val="ru-RU"/>
        </w:rPr>
        <w:t xml:space="preserve">. </w:t>
      </w:r>
    </w:p>
    <w:p w14:paraId="5BFD4D40" w14:textId="77777777" w:rsidR="00F80885" w:rsidRPr="00107B29" w:rsidRDefault="00F80885" w:rsidP="00A15352">
      <w:pPr>
        <w:pStyle w:val="Heading3"/>
        <w:rPr>
          <w:u w:val="single"/>
          <w:lang w:val="ru-RU"/>
        </w:rPr>
      </w:pPr>
      <w:bookmarkStart w:id="106" w:name="_Toc168049901"/>
      <w:r w:rsidRPr="00107B29">
        <w:rPr>
          <w:lang w:val="ru-RU"/>
        </w:rPr>
        <w:lastRenderedPageBreak/>
        <w:t>4.5.4</w:t>
      </w:r>
      <w:r w:rsidRPr="00107B29">
        <w:rPr>
          <w:lang w:val="ru-RU"/>
        </w:rPr>
        <w:tab/>
        <w:t>Коренные народы</w:t>
      </w:r>
      <w:bookmarkEnd w:id="106"/>
    </w:p>
    <w:p w14:paraId="1F897F3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Деятельность МСЭ-D, связанная с потребностями коренных народов, описана в отчете для КГРЭ.</w:t>
      </w:r>
    </w:p>
    <w:p w14:paraId="78E2618E" w14:textId="77777777" w:rsidR="00F80885" w:rsidRPr="00107B29" w:rsidRDefault="00F80885" w:rsidP="00A15352">
      <w:pPr>
        <w:pStyle w:val="Heading3"/>
        <w:rPr>
          <w:lang w:val="ru-RU"/>
        </w:rPr>
      </w:pPr>
      <w:bookmarkStart w:id="107" w:name="_Toc168049902"/>
      <w:r w:rsidRPr="00107B29">
        <w:rPr>
          <w:lang w:val="ru-RU"/>
        </w:rPr>
        <w:t>4.5.5</w:t>
      </w:r>
      <w:r w:rsidRPr="00107B29">
        <w:rPr>
          <w:lang w:val="ru-RU"/>
        </w:rPr>
        <w:tab/>
        <w:t>Стареющие группы населения</w:t>
      </w:r>
      <w:bookmarkEnd w:id="107"/>
    </w:p>
    <w:p w14:paraId="1FC5791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</w:t>
      </w:r>
      <w:hyperlink r:id="rId88" w:history="1">
        <w:r w:rsidRPr="00107B29">
          <w:rPr>
            <w:rStyle w:val="Hyperlink"/>
            <w:lang w:val="ru-RU"/>
          </w:rPr>
          <w:t>отчете о роли цифровых технологий в области старения и здоровья</w:t>
        </w:r>
      </w:hyperlink>
      <w:r w:rsidRPr="00107B29">
        <w:rPr>
          <w:lang w:val="ru-RU"/>
        </w:rPr>
        <w:t xml:space="preserve"> (апрель 2023 г.), разработанном МСЭ и Панамериканской организацией здравоохранения, описываются возможности улучшения жизни людей старшего возраста при помощи всеобъемлющих технологических решений.</w:t>
      </w:r>
    </w:p>
    <w:p w14:paraId="75C39F4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Деятельность МСЭ-D, касающаяся стареющего населения, описана в отчете для КГРЭ.</w:t>
      </w:r>
    </w:p>
    <w:p w14:paraId="6CC34A66" w14:textId="77777777" w:rsidR="00F80885" w:rsidRPr="00107B29" w:rsidRDefault="00F80885" w:rsidP="00A15352">
      <w:pPr>
        <w:pStyle w:val="Heading3"/>
        <w:rPr>
          <w:lang w:val="ru-RU"/>
        </w:rPr>
      </w:pPr>
      <w:bookmarkStart w:id="108" w:name="_Toc168049903"/>
      <w:r w:rsidRPr="00107B29">
        <w:rPr>
          <w:lang w:val="ru-RU"/>
        </w:rPr>
        <w:t>4.5.6</w:t>
      </w:r>
      <w:r w:rsidRPr="00107B29">
        <w:rPr>
          <w:lang w:val="ru-RU"/>
        </w:rPr>
        <w:tab/>
        <w:t>Преодоление разрыва в стандартизации</w:t>
      </w:r>
      <w:bookmarkEnd w:id="108"/>
    </w:p>
    <w:p w14:paraId="1B0A2DF5" w14:textId="77777777" w:rsidR="00F80885" w:rsidRPr="00107B29" w:rsidRDefault="00177CCD" w:rsidP="00107B29">
      <w:pPr>
        <w:rPr>
          <w:lang w:val="ru-RU"/>
        </w:rPr>
      </w:pPr>
      <w:hyperlink r:id="rId89" w:history="1">
        <w:r w:rsidR="00F80885" w:rsidRPr="00107B29">
          <w:rPr>
            <w:rStyle w:val="Hyperlink"/>
            <w:lang w:val="ru-RU"/>
          </w:rPr>
          <w:t>Программа МСЭ по преодолению разрыва в стандартизации (ПРС)</w:t>
        </w:r>
      </w:hyperlink>
      <w:r w:rsidR="00F80885" w:rsidRPr="00107B29">
        <w:rPr>
          <w:lang w:val="ru-RU"/>
        </w:rPr>
        <w:t xml:space="preserve"> направлена на повышение способности всех стран, в особенности развивающихся стран, участвовать в разработке и внедрении стандартов МСЭ-Т. В 2023 году Министерство внутренних дел и связи Японии (MIC) финансировало программу ПРС. </w:t>
      </w:r>
    </w:p>
    <w:p w14:paraId="7091D011" w14:textId="77777777" w:rsidR="00F80885" w:rsidRPr="00107B29" w:rsidRDefault="00F80885" w:rsidP="00BD0821">
      <w:pPr>
        <w:spacing w:after="120"/>
        <w:rPr>
          <w:lang w:val="ru-RU"/>
        </w:rPr>
      </w:pPr>
      <w:r w:rsidRPr="00107B29">
        <w:rPr>
          <w:lang w:val="ru-RU"/>
        </w:rPr>
        <w:t>Практические учебные курсы по эффективности работы исследовательских комиссий, предлагающие обучение практическим навыкам, полезным для участия в деятельности МСЭ по стандартизации. Стипендии предоставляются делегатам из отвечающих требованиям развивающихся стран. Региональные группы в рамках исследовательских комиссий МСЭ-Т помогают обеспечить применение стандартов МСЭ во всем мире. Онлайновый учебный курс предлагает руководство по методам работы МСЭ по стандартизации. На региональных и межрегиональных форумах рассматриваются методы работы и исследуемая тематика. Руководящие указания МСЭ по национальным секретариатам по стандартизации описывают методы создания национальных основ для эффективного участия в деятельности МСЭ по стандартизации.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1"/>
      </w:tblGrid>
      <w:tr w:rsidR="00F80885" w:rsidRPr="00177CCD" w14:paraId="42308A61" w14:textId="77777777" w:rsidTr="00CF4BAE">
        <w:tc>
          <w:tcPr>
            <w:tcW w:w="9061" w:type="dxa"/>
          </w:tcPr>
          <w:p w14:paraId="24E801A1" w14:textId="77777777" w:rsidR="00F80885" w:rsidRPr="00107B29" w:rsidRDefault="00F80885" w:rsidP="00BD0821">
            <w:pPr>
              <w:jc w:val="center"/>
              <w:rPr>
                <w:rFonts w:eastAsia="Times New Roman"/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Пример воздействия</w:t>
            </w:r>
          </w:p>
          <w:p w14:paraId="7393553A" w14:textId="77777777" w:rsidR="00F80885" w:rsidRPr="00107B29" w:rsidRDefault="00F80885" w:rsidP="00BD0821">
            <w:pPr>
              <w:pStyle w:val="Headingb"/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Консультации на национальном уровне по вопросам раннего предупреждения для всех</w:t>
            </w:r>
          </w:p>
          <w:p w14:paraId="763986CE" w14:textId="77777777" w:rsidR="00F80885" w:rsidRPr="00107B29" w:rsidRDefault="00F80885" w:rsidP="00107B29">
            <w:pPr>
              <w:rPr>
                <w:rFonts w:eastAsia="Times New Roman"/>
                <w:lang w:val="ru-RU"/>
              </w:rPr>
            </w:pPr>
            <w:r w:rsidRPr="00107B29">
              <w:rPr>
                <w:lang w:val="ru-RU"/>
              </w:rPr>
              <w:t>Началось развертывание национальных программ в рамках инициативы "Раннее предупреждение для всех" Генерального секретаря ООН (EW4All), направленной на спасание жизней путем своевременного оповещения до бедствия, при этом под руководством МСЭ были проведены семинары-практикумы, на которых подчеркивалось решающее значение систем раннего предупреждения для предотвращения бедствий. В ходе национальных консультаций основное внимание уделялось сотрудничеству с участием многих заинтересованных сторон в целях укрепления потенциала реагирования на чрезвычайные ситуации, при этом участники выявляли пробелы и формулировали стратегические планы совершенствования инфраструктуры раннего предупреждения и укрепления способности к восстановлению в случае стихийных бедствий. Обсуждения, в которых были учтены потребности и риски конкретных стран, помогли выявить пробелы в инфраструктуре, подготовить планы реагирования, укрепить системы раннего предупреждения об опасностях различных типов, а также разрешить проблемы, касающиеся климата и бедствий. Первые семинары-практикумы состоялись на Коморских Островах, в Камбодже, Лаосской Народно-Демократической Республике, Непале, на Мадагаскаре, Мальдивских Островах, в Таджикистане, Эфиопии, Барбадосе, Сомали, Уганде, Бангладеш, а также в Мозамбике, Южном Судане, Гаити, Антигуа и Барбуде и Маврикии, при этом в 2024 году во всем мире продолжалось развертывание национальных программ в рамках EW4All.</w:t>
            </w:r>
          </w:p>
          <w:p w14:paraId="17F58D0B" w14:textId="77777777" w:rsidR="00F80885" w:rsidRPr="00107B29" w:rsidRDefault="00177CCD" w:rsidP="00BD0821">
            <w:pPr>
              <w:spacing w:after="120"/>
              <w:rPr>
                <w:rFonts w:eastAsia="Times New Roman"/>
                <w:lang w:val="ru-RU"/>
              </w:rPr>
            </w:pPr>
            <w:hyperlink r:id="rId90" w:history="1">
              <w:r w:rsidR="00F80885" w:rsidRPr="00107B29">
                <w:rPr>
                  <w:rStyle w:val="Hyperlink"/>
                  <w:lang w:val="ru-RU"/>
                </w:rPr>
                <w:t>Узнать больше о консультационных семинарах-практикумах МСЭ по EW4All</w:t>
              </w:r>
            </w:hyperlink>
          </w:p>
        </w:tc>
      </w:tr>
    </w:tbl>
    <w:p w14:paraId="5B398B98" w14:textId="77777777" w:rsidR="00F80885" w:rsidRPr="00107B29" w:rsidRDefault="00F80885" w:rsidP="00BD0821">
      <w:pPr>
        <w:pStyle w:val="Heading1"/>
        <w:rPr>
          <w:lang w:val="ru-RU"/>
        </w:rPr>
      </w:pPr>
      <w:bookmarkStart w:id="109" w:name="_Toc164927170"/>
      <w:bookmarkStart w:id="110" w:name="_Toc168049904"/>
      <w:bookmarkStart w:id="111" w:name="_Toc168050274"/>
      <w:r w:rsidRPr="00BD0821">
        <w:rPr>
          <w:lang w:val="ru-RU"/>
        </w:rPr>
        <w:lastRenderedPageBreak/>
        <w:t>5</w:t>
      </w:r>
      <w:r w:rsidRPr="00BD0821">
        <w:rPr>
          <w:lang w:val="ru-RU"/>
        </w:rPr>
        <w:tab/>
      </w:r>
      <w:r w:rsidRPr="00107B29">
        <w:rPr>
          <w:lang w:val="ru-RU"/>
        </w:rPr>
        <w:t>Стандартизация: основы для формирования технологий сегодняшнего и завтрашнего дня</w:t>
      </w:r>
      <w:bookmarkEnd w:id="109"/>
      <w:bookmarkEnd w:id="110"/>
      <w:bookmarkEnd w:id="111"/>
    </w:p>
    <w:p w14:paraId="49AD36B0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Инклюзивные технологии, созданные на основе универсальных спецификаций, бесперебойно работают для всех, при этом неизменная приверженность обеспечению функциональной совместимости, доступности, безопасности, приемлемости в ценовом отношении и устойчивости гарантирует, что работа МСЭ области стандартов служит интересам всего мира. При помощи технических стандартов МСЭ местные устройства без проблем соединяются с глобальными сетями. Безопасные соединения, доступные для всех, предоставляют сообществам доступ к важнейшей информации и способствуют снижению воздействия на окружающую среду.</w:t>
      </w:r>
    </w:p>
    <w:p w14:paraId="1517CA1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Стандарты МСЭ разрабатываются Сектором стандартизации электросвязи МСЭ и Сектором радиосвязи МСЭ и издаются, соответственно, как </w:t>
      </w:r>
      <w:hyperlink r:id="rId91" w:history="1">
        <w:r w:rsidRPr="00107B29">
          <w:rPr>
            <w:rStyle w:val="Hyperlink"/>
            <w:lang w:val="ru-RU"/>
          </w:rPr>
          <w:t>Рекомендации МСЭ-Т</w:t>
        </w:r>
      </w:hyperlink>
      <w:r w:rsidRPr="00107B29">
        <w:rPr>
          <w:lang w:val="ru-RU"/>
        </w:rPr>
        <w:t xml:space="preserve"> и </w:t>
      </w:r>
      <w:hyperlink r:id="rId92" w:history="1">
        <w:r w:rsidRPr="00107B29">
          <w:rPr>
            <w:rStyle w:val="Hyperlink"/>
            <w:lang w:val="ru-RU"/>
          </w:rPr>
          <w:t>Рекомендации МСЭ</w:t>
        </w:r>
        <w:r w:rsidRPr="00BD0821">
          <w:rPr>
            <w:rStyle w:val="Hyperlink"/>
            <w:lang w:val="ru-RU"/>
          </w:rPr>
          <w:noBreakHyphen/>
        </w:r>
        <w:r w:rsidRPr="00107B29">
          <w:rPr>
            <w:rStyle w:val="Hyperlink"/>
            <w:lang w:val="ru-RU"/>
          </w:rPr>
          <w:t>R</w:t>
        </w:r>
      </w:hyperlink>
      <w:r w:rsidRPr="00107B29">
        <w:rPr>
          <w:lang w:val="ru-RU"/>
        </w:rPr>
        <w:t>.</w:t>
      </w:r>
    </w:p>
    <w:p w14:paraId="4CAFB6A2" w14:textId="77777777" w:rsidR="00F80885" w:rsidRPr="00107B29" w:rsidRDefault="00F80885" w:rsidP="00BD0821">
      <w:pPr>
        <w:pStyle w:val="Headingb"/>
        <w:rPr>
          <w:lang w:val="ru-RU"/>
        </w:rPr>
      </w:pPr>
      <w:r w:rsidRPr="00107B29">
        <w:rPr>
          <w:lang w:val="ru-RU"/>
        </w:rPr>
        <w:t>Рекомендации МСЭ-T</w:t>
      </w:r>
    </w:p>
    <w:p w14:paraId="0BFE312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За отчетный период (по состоянию на 28 февраля 2024 г.) в Секторе стандартизации электросвязи (МСЭ-Т) Государства </w:t>
      </w:r>
      <w:r w:rsidRPr="00BD0821">
        <w:rPr>
          <w:lang w:val="ru-RU"/>
        </w:rPr>
        <w:t>−</w:t>
      </w:r>
      <w:r w:rsidRPr="00107B29">
        <w:rPr>
          <w:lang w:val="ru-RU"/>
        </w:rPr>
        <w:t xml:space="preserve"> Члены Организации утвердили </w:t>
      </w:r>
      <w:hyperlink r:id="rId93" w:history="1">
        <w:r w:rsidRPr="00107B29">
          <w:rPr>
            <w:rStyle w:val="Hyperlink"/>
            <w:lang w:val="ru-RU"/>
          </w:rPr>
          <w:t>286 новых и пересмотренных Рекомендаций МСЭ-Т и связанных с ними текстов</w:t>
        </w:r>
      </w:hyperlink>
      <w:r w:rsidRPr="00107B29">
        <w:rPr>
          <w:lang w:val="ru-RU"/>
        </w:rPr>
        <w:t xml:space="preserve">. Все эти решения, действующие в настоящее время, приведены в </w:t>
      </w:r>
      <w:hyperlink r:id="rId94" w:history="1">
        <w:r w:rsidRPr="00107B29">
          <w:rPr>
            <w:rStyle w:val="Hyperlink"/>
            <w:lang w:val="ru-RU"/>
          </w:rPr>
          <w:t>каталоге Рекомендаций МСЭ-Т</w:t>
        </w:r>
      </w:hyperlink>
      <w:r w:rsidRPr="00107B29">
        <w:rPr>
          <w:lang w:val="ru-RU"/>
        </w:rPr>
        <w:t xml:space="preserve">. С резюме собраний исследовательских комиссий можно ознакомиться на </w:t>
      </w:r>
      <w:hyperlink r:id="rId95" w:history="1">
        <w:r w:rsidRPr="00107B29">
          <w:rPr>
            <w:rStyle w:val="Hyperlink"/>
            <w:lang w:val="ru-RU"/>
          </w:rPr>
          <w:t>домашних страницах</w:t>
        </w:r>
      </w:hyperlink>
      <w:r w:rsidRPr="00107B29">
        <w:rPr>
          <w:lang w:val="ru-RU"/>
        </w:rPr>
        <w:t xml:space="preserve"> исследовательских комиссий МСЭ-Т. </w:t>
      </w:r>
      <w:bookmarkStart w:id="112" w:name="_1.1_AI-based_mapping"/>
      <w:bookmarkEnd w:id="112"/>
    </w:p>
    <w:p w14:paraId="31AF956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настоящее время работают шесть оперативных групп МСЭ-Т. Оперативные группы закладывают основу для соответствующей работы по стандартизации в исследовательских комиссиях МСЭ-Т. С информацией о деятельности оперативных групп и ее результатах можно ознакомиться на </w:t>
      </w:r>
      <w:hyperlink r:id="rId96" w:history="1">
        <w:r w:rsidRPr="00107B29">
          <w:rPr>
            <w:rStyle w:val="Hyperlink"/>
            <w:lang w:val="ru-RU"/>
          </w:rPr>
          <w:t>домашних страницах</w:t>
        </w:r>
      </w:hyperlink>
      <w:r w:rsidRPr="00107B29">
        <w:rPr>
          <w:lang w:val="ru-RU"/>
        </w:rPr>
        <w:t xml:space="preserve"> оперативных групп МСЭ-Т. </w:t>
      </w:r>
    </w:p>
    <w:p w14:paraId="380294A3" w14:textId="77777777" w:rsidR="00F80885" w:rsidRPr="00107B29" w:rsidRDefault="00F80885" w:rsidP="00BD0821">
      <w:pPr>
        <w:pStyle w:val="Headingb"/>
        <w:rPr>
          <w:lang w:val="ru-RU"/>
        </w:rPr>
      </w:pPr>
      <w:r w:rsidRPr="00107B29">
        <w:rPr>
          <w:lang w:val="ru-RU"/>
        </w:rPr>
        <w:t>Рекомендации МСЭ-R</w:t>
      </w:r>
    </w:p>
    <w:p w14:paraId="560D085B" w14:textId="77777777" w:rsidR="00F80885" w:rsidRPr="00107B29" w:rsidRDefault="00F80885" w:rsidP="00107B29">
      <w:pPr>
        <w:rPr>
          <w:u w:val="single"/>
          <w:lang w:val="ru-RU"/>
        </w:rPr>
      </w:pPr>
      <w:r w:rsidRPr="00107B29">
        <w:rPr>
          <w:lang w:val="ru-RU"/>
        </w:rPr>
        <w:t xml:space="preserve">За период с мая 2023 года по декабрь 2023 года Сектор радиосвязи МСЭ (МСЭ-R) утвердил более 80 новых или пересмотренных Рекомендаций МСЭ-R. См. полный список </w:t>
      </w:r>
      <w:hyperlink r:id="rId97" w:history="1">
        <w:r w:rsidRPr="00107B29">
          <w:rPr>
            <w:rStyle w:val="Hyperlink"/>
            <w:lang w:val="ru-RU"/>
          </w:rPr>
          <w:t>Рекомендаций МСЭ-R</w:t>
        </w:r>
      </w:hyperlink>
      <w:r w:rsidRPr="00107B29">
        <w:rPr>
          <w:lang w:val="ru-RU"/>
        </w:rPr>
        <w:t>.</w:t>
      </w:r>
    </w:p>
    <w:p w14:paraId="4D066E6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2023 году МСЭ получил премию "Эмми" в области инженерного творчества, науки и техники за разработку стандарта радиосвязи для телевидения большого динамического диапазона (HDR-TV). Награда, вручаемая Телевизионной академией, является признанием новаторских усилий инженеров и специалистов 6-й Исследовательской комиссии МСЭ-R по созданию глобального стандарта HDR-TV, который улучшает визуальное восприятие зрителей. Это третья премия "Эмми", врученная исследовательским комиссиям МСЭ-R, и шестая премия "Эмми" для МСЭ в целом.</w:t>
      </w:r>
    </w:p>
    <w:p w14:paraId="0AC6ACCE" w14:textId="77777777" w:rsidR="00F80885" w:rsidRPr="00107B29" w:rsidRDefault="00F80885" w:rsidP="00BD0821">
      <w:pPr>
        <w:pStyle w:val="Heading1"/>
        <w:rPr>
          <w:lang w:val="ru-RU"/>
        </w:rPr>
      </w:pPr>
      <w:bookmarkStart w:id="113" w:name="_Toc37860463"/>
      <w:bookmarkStart w:id="114" w:name="_Toc37861224"/>
      <w:bookmarkStart w:id="115" w:name="_Toc37943347"/>
      <w:bookmarkStart w:id="116" w:name="_Toc115929182"/>
      <w:bookmarkStart w:id="117" w:name="_Toc164927171"/>
      <w:bookmarkStart w:id="118" w:name="_Toc168049905"/>
      <w:bookmarkStart w:id="119" w:name="_Toc168050275"/>
      <w:bookmarkStart w:id="120" w:name="Section_1_9"/>
      <w:r w:rsidRPr="00107B29">
        <w:rPr>
          <w:lang w:val="ru-RU"/>
        </w:rPr>
        <w:t>6</w:t>
      </w:r>
      <w:r w:rsidRPr="00107B29">
        <w:rPr>
          <w:lang w:val="ru-RU"/>
        </w:rPr>
        <w:tab/>
        <w:t>Стратегические партнерства в интересах устойчивого развития</w:t>
      </w:r>
      <w:bookmarkEnd w:id="113"/>
      <w:bookmarkEnd w:id="114"/>
      <w:bookmarkEnd w:id="115"/>
      <w:bookmarkEnd w:id="116"/>
      <w:bookmarkEnd w:id="117"/>
      <w:bookmarkEnd w:id="118"/>
      <w:bookmarkEnd w:id="119"/>
    </w:p>
    <w:bookmarkEnd w:id="120"/>
    <w:p w14:paraId="02E01B94" w14:textId="77777777" w:rsidR="00F80885" w:rsidRPr="00107B29" w:rsidRDefault="00F80885" w:rsidP="00BD0821">
      <w:pPr>
        <w:pStyle w:val="Headingb"/>
        <w:rPr>
          <w:lang w:val="ru-RU"/>
        </w:rPr>
      </w:pPr>
      <w:r w:rsidRPr="00107B29">
        <w:rPr>
          <w:lang w:val="ru-RU"/>
        </w:rPr>
        <w:t>Партнерства для подключения</w:t>
      </w:r>
    </w:p>
    <w:p w14:paraId="6A8EADD7" w14:textId="77777777" w:rsidR="00F80885" w:rsidRPr="00107B29" w:rsidRDefault="00177CCD" w:rsidP="00081075">
      <w:pPr>
        <w:rPr>
          <w:lang w:val="ru-RU"/>
        </w:rPr>
      </w:pPr>
      <w:hyperlink r:id="rId98" w:history="1">
        <w:r w:rsidR="00F80885" w:rsidRPr="00107B29">
          <w:rPr>
            <w:rStyle w:val="Hyperlink"/>
            <w:lang w:val="ru-RU"/>
          </w:rPr>
          <w:t>Цифровая коалиция "Партнерства для подключения" (Partner2Connect, P2C)</w:t>
        </w:r>
      </w:hyperlink>
      <w:r w:rsidR="00F80885" w:rsidRPr="00107B29">
        <w:rPr>
          <w:lang w:val="ru-RU"/>
        </w:rPr>
        <w:t xml:space="preserve"> </w:t>
      </w:r>
      <w:proofErr w:type="gramStart"/>
      <w:r w:rsidR="00F80885" w:rsidRPr="00E72DC0">
        <w:rPr>
          <w:lang w:val="ru-RU"/>
        </w:rPr>
        <w:t>−</w:t>
      </w:r>
      <w:r w:rsidR="00F80885" w:rsidRPr="00107B29">
        <w:rPr>
          <w:lang w:val="ru-RU"/>
        </w:rPr>
        <w:t xml:space="preserve"> это</w:t>
      </w:r>
      <w:proofErr w:type="gramEnd"/>
      <w:r w:rsidR="00F80885" w:rsidRPr="00107B29">
        <w:rPr>
          <w:lang w:val="ru-RU"/>
        </w:rPr>
        <w:t xml:space="preserve"> глобальная платформа МСЭ с участием многих заинтересованных сторон для мобилизации ресурсов, формирования партнерских отношений и представления обязательств по содействию универсальной и реальной возможности установления соединений и устойчивой цифровой трансформации. На </w:t>
      </w:r>
      <w:hyperlink r:id="rId99" w:history="1">
        <w:r w:rsidR="00F80885" w:rsidRPr="00107B29">
          <w:rPr>
            <w:rStyle w:val="Hyperlink"/>
            <w:lang w:val="ru-RU"/>
          </w:rPr>
          <w:t>ежегодном собрании, состоявшемся в Женеве в декабре 2023 года</w:t>
        </w:r>
      </w:hyperlink>
      <w:r w:rsidR="00F80885" w:rsidRPr="00107B29">
        <w:rPr>
          <w:lang w:val="ru-RU"/>
        </w:rPr>
        <w:t>, инициатива P2C сообщила об увеличении количества представленных обязательств на 53</w:t>
      </w:r>
      <w:r w:rsidR="00F80885">
        <w:t> </w:t>
      </w:r>
      <w:r w:rsidR="00F80885" w:rsidRPr="00107B29">
        <w:rPr>
          <w:lang w:val="ru-RU"/>
        </w:rPr>
        <w:t xml:space="preserve">процента по сравнению с данными годового отчета за 2022 год, а также о росте числа </w:t>
      </w:r>
      <w:r w:rsidR="00F80885" w:rsidRPr="00107B29">
        <w:rPr>
          <w:lang w:val="ru-RU"/>
        </w:rPr>
        <w:lastRenderedPageBreak/>
        <w:t xml:space="preserve">объединений, присоединившихся к Коалиции, почти на 55 процентов. В 2023 году P2C мобилизовала еще 7 млрд. долларов США в рамках глобальных проектов установления соединений и приступила к проведению целевых кампаний по объявлению об обязательствах в целях разрешения проблемы установления соединений для граждан НРС и перемещенных лиц, с тем чтобы проложить путь к устойчивой цифровой трансформации. Что касается выполнения обязательств, то в 2023 году 35 процентов объединений, представивших обязательства, передали данные о 33 процентах от общего объема обязательств. 73 процента всех обязательств, по которым представлена информация, находятся в процессе реализации, а 12 процентов уже выполнены. Данные </w:t>
      </w:r>
      <w:hyperlink r:id="rId100" w:history="1">
        <w:r w:rsidR="00F80885" w:rsidRPr="00107B29">
          <w:rPr>
            <w:rStyle w:val="Hyperlink"/>
            <w:lang w:val="ru-RU"/>
          </w:rPr>
          <w:t>годового отчета P2C за 2023 год</w:t>
        </w:r>
      </w:hyperlink>
      <w:r w:rsidR="00F80885" w:rsidRPr="00107B29">
        <w:rPr>
          <w:lang w:val="ru-RU"/>
        </w:rPr>
        <w:t xml:space="preserve"> также показывают, что на выполнение этих 275 обязательств, по которым была представлена информация, уже было затрачено приблизительно 4,8 млрд. долларов США.</w:t>
      </w:r>
    </w:p>
    <w:p w14:paraId="7EB0105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конце 2023 года P2C мобилизовала 845 обязательств на общую сумму 36,78 млрд. долл. США от 408 объединений, представляющих 138 стран мира. Первый квартал 2024 года начался с очень хороших новостей для Коалиции. На Всемирном мобильном конгрессе в Барселоне было </w:t>
      </w:r>
      <w:hyperlink r:id="rId101" w:history="1">
        <w:r w:rsidRPr="00107B29">
          <w:rPr>
            <w:rStyle w:val="Hyperlink"/>
            <w:lang w:val="ru-RU"/>
          </w:rPr>
          <w:t>объявлено</w:t>
        </w:r>
      </w:hyperlink>
      <w:r w:rsidRPr="00107B29">
        <w:rPr>
          <w:lang w:val="ru-RU"/>
        </w:rPr>
        <w:t xml:space="preserve"> об обязательствах в размере 9 млрд. долларов США, в результате чего общая сумма этих обязательств составила около 46 млрд. долларов США. К настоящему времени в рамках платформы представлено 875 обязательств от 426 объединений из 141 страны.</w:t>
      </w:r>
    </w:p>
    <w:p w14:paraId="436F8E0E" w14:textId="77777777" w:rsidR="00F80885" w:rsidRPr="00107B29" w:rsidRDefault="00F80885" w:rsidP="00E72DC0">
      <w:pPr>
        <w:pStyle w:val="Headingb"/>
        <w:rPr>
          <w:lang w:val="ru-RU"/>
        </w:rPr>
      </w:pPr>
      <w:r w:rsidRPr="00107B29">
        <w:rPr>
          <w:lang w:val="ru-RU"/>
        </w:rPr>
        <w:t xml:space="preserve">"Цифровые технологии для ЦУР" </w:t>
      </w:r>
      <w:r w:rsidRPr="00E72DC0">
        <w:rPr>
          <w:lang w:val="ru-RU"/>
        </w:rPr>
        <w:t>−</w:t>
      </w:r>
      <w:r w:rsidRPr="00107B29">
        <w:rPr>
          <w:lang w:val="ru-RU"/>
        </w:rPr>
        <w:t xml:space="preserve"> содействие принятию решений для ускорения прогресса</w:t>
      </w:r>
    </w:p>
    <w:p w14:paraId="29A98E9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Цифровые технологии имеют важнейшее значение для достижения </w:t>
      </w:r>
      <w:hyperlink r:id="rId102" w:history="1">
        <w:r w:rsidRPr="00107B29">
          <w:rPr>
            <w:rStyle w:val="Hyperlink"/>
            <w:lang w:val="ru-RU"/>
          </w:rPr>
          <w:t>Целей ООН в области устойчивого развития (ЦУР)</w:t>
        </w:r>
      </w:hyperlink>
      <w:r w:rsidRPr="00107B29">
        <w:rPr>
          <w:lang w:val="ru-RU"/>
        </w:rPr>
        <w:t>. В преддверии Цифрового саммита 2023 года по ЦУР пришла пора подвести итоги достижений, пробелов и возможностей, стимулировать действия и активизировать поддержку Повестки дня на период до 2030 года за счет цифровых технологий.</w:t>
      </w:r>
    </w:p>
    <w:p w14:paraId="68D133F0" w14:textId="77777777" w:rsidR="00F80885" w:rsidRPr="009372AB" w:rsidRDefault="00F80885" w:rsidP="00107B29">
      <w:pPr>
        <w:rPr>
          <w:lang w:val="ru-RU"/>
        </w:rPr>
      </w:pPr>
      <w:r w:rsidRPr="00107B29">
        <w:rPr>
          <w:lang w:val="ru-RU"/>
        </w:rPr>
        <w:t xml:space="preserve">17 сентября 2023 года МСЭ совместно с Программой развития Организации Объединенных Наций (ПРООН) и различными поддерживающими партнерами организовал мероприятие "Цифровые технологии для ЦУР", которое прошло в штаб-квартире Организации Объединенных Наций в Нью-Йорке. </w:t>
      </w:r>
    </w:p>
    <w:p w14:paraId="3CC277A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рамках Выходных дней для действий по достижению ЦУР основное внимание на мероприятии было сосредоточено на масштабировании цифровых решений для ЦУР, в том числе при помощи новых результативных инициатив по устойчивой и открытой для всех цифровой трансформации.</w:t>
      </w:r>
    </w:p>
    <w:p w14:paraId="0B74DFA5" w14:textId="77777777" w:rsidR="00F80885" w:rsidRPr="00107B29" w:rsidRDefault="00F80885" w:rsidP="00E72DC0">
      <w:pPr>
        <w:pStyle w:val="Headingb"/>
        <w:rPr>
          <w:lang w:val="ru-RU"/>
        </w:rPr>
      </w:pPr>
      <w:r w:rsidRPr="00107B29">
        <w:rPr>
          <w:lang w:val="ru-RU"/>
        </w:rPr>
        <w:t xml:space="preserve">Комиссия по широкополосной связи </w:t>
      </w:r>
      <w:r w:rsidRPr="00E72DC0">
        <w:rPr>
          <w:lang w:val="ru-RU"/>
        </w:rPr>
        <w:t>−</w:t>
      </w:r>
      <w:r w:rsidRPr="00107B29">
        <w:rPr>
          <w:lang w:val="ru-RU"/>
        </w:rPr>
        <w:t xml:space="preserve"> включение широкополосной связи в международную политическую повестку дня </w:t>
      </w:r>
    </w:p>
    <w:p w14:paraId="1DB4633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2023 году сообщество Комиссии по широкополосной связи привлекло более 100 различных партнеров, включая более 50 членов (девять новых членов присоединились в 2024 году), более 40 внешних экспертов рабочих групп и более десяти стратегических партнеров.</w:t>
      </w:r>
    </w:p>
    <w:p w14:paraId="2C4FA14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Комиссия провела более 30 международных пропагандистских мероприятий, в которых приняли участие ее члены, представила восемь публикаций ведущих теоретиков, провела три оригинальные пропагандистские кампании и завершила работу в двух рабочих группах, работой которых руководили члены Комиссии. Ежегодное осеннее собрание 2023 года по теме "Установление цифровых соединений: преобразующая возможность", прошло 16 сентября в Нью-Йорке под эгидой 78-й сессии Генеральной Ассамблеи Организации Объединенных Наций и мероприятия "Цифровые технологии для ЦУР", организованного МСЭ и Программой развития Организации Объединенных Наций (ПРООН). </w:t>
      </w:r>
    </w:p>
    <w:p w14:paraId="05EC032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Комиссия по широкополосной связи принимала участие в мероприятиях под руководством учреждений ООН (в том числе в 68-й сессии Комиссии ООН по положению женщин, Форуме ВВУИО 2023 года, Форуме STI 2023 года, электронной неделе ЮНКТАД 2023 года и т. д.) и </w:t>
      </w:r>
      <w:r w:rsidRPr="00107B29">
        <w:rPr>
          <w:lang w:val="ru-RU"/>
        </w:rPr>
        <w:lastRenderedPageBreak/>
        <w:t>конференциях частного сектора (в том числе в Саммите руководителей SAMENA 2023 года и т.</w:t>
      </w:r>
      <w:r>
        <w:rPr>
          <w:lang w:val="en-US"/>
        </w:rPr>
        <w:t> </w:t>
      </w:r>
      <w:r w:rsidRPr="00107B29">
        <w:rPr>
          <w:lang w:val="ru-RU"/>
        </w:rPr>
        <w:t>д.).</w:t>
      </w:r>
    </w:p>
    <w:p w14:paraId="4A40E20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числе публикаций, открытых заявлений/вкладов, отчетов рабочих групп и связанных с ЦУР исследований за отчетный период: </w:t>
      </w:r>
    </w:p>
    <w:p w14:paraId="362B121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Отчет </w:t>
      </w:r>
      <w:hyperlink r:id="rId103" w:history="1">
        <w:r w:rsidRPr="00107B29">
          <w:rPr>
            <w:rStyle w:val="Hyperlink"/>
            <w:lang w:val="ru-RU"/>
          </w:rPr>
          <w:t>"Состояние широкополосной связи в 2023 году"</w:t>
        </w:r>
      </w:hyperlink>
      <w:r w:rsidRPr="00107B29">
        <w:rPr>
          <w:lang w:val="ru-RU"/>
        </w:rPr>
        <w:t>, "Установление цифровых соединений: преобразующая возможность", ежегодный основной отчет Комиссии, содержащий важнейшие соображения, необходимые для поддержки следующего этапа обеспечения возможности установления соединений в целях цифровой трансформации.</w:t>
      </w:r>
    </w:p>
    <w:p w14:paraId="2D629C8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Открытые заявления в рамках процессов и мероприятий ООН (например, Глобального цифрового договора, ВВУИО и Политического форума высокого уровня 2023 г.). </w:t>
      </w:r>
    </w:p>
    <w:p w14:paraId="3B1BD783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Отчеты двух рабочих групп </w:t>
      </w:r>
      <w:r w:rsidRPr="005F0D0E">
        <w:rPr>
          <w:lang w:val="ru-RU"/>
        </w:rPr>
        <w:t>−</w:t>
      </w:r>
      <w:r w:rsidRPr="00107B29">
        <w:rPr>
          <w:lang w:val="ru-RU"/>
        </w:rPr>
        <w:t xml:space="preserve"> "Данные для образования" под руководством ЮНЕСКО и "Возможности установления соединений для ММСП" под руководством Ассоциации GSM и МКТ.</w:t>
      </w:r>
    </w:p>
    <w:p w14:paraId="362788B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Стратегическая информационно-пропагандистская деятельность </w:t>
      </w:r>
      <w:r w:rsidRPr="005F0D0E">
        <w:rPr>
          <w:lang w:val="ru-RU"/>
        </w:rPr>
        <w:t>−</w:t>
      </w:r>
      <w:r w:rsidRPr="00107B29">
        <w:rPr>
          <w:lang w:val="ru-RU"/>
        </w:rPr>
        <w:t xml:space="preserve"> Комиссия получила более 700 подписчиков информационного бюллетеня, в X (Twitter), LinkedIn и Facebook в совокупности ее записи отслеживает более 16 000 учетных записей. За отчетный период в 2023</w:t>
      </w:r>
      <w:r>
        <w:rPr>
          <w:lang w:val="en-US"/>
        </w:rPr>
        <w:t> </w:t>
      </w:r>
      <w:r w:rsidRPr="00107B29">
        <w:rPr>
          <w:lang w:val="ru-RU"/>
        </w:rPr>
        <w:t>году отчеты Комиссии загрузили более 31 000 читателей.</w:t>
      </w:r>
    </w:p>
    <w:p w14:paraId="25B4C34D" w14:textId="77777777" w:rsidR="00F80885" w:rsidRPr="00107B29" w:rsidRDefault="00F80885" w:rsidP="005F0D0E">
      <w:pPr>
        <w:pStyle w:val="Headingb"/>
        <w:rPr>
          <w:lang w:val="ru-RU"/>
        </w:rPr>
      </w:pPr>
      <w:r w:rsidRPr="00107B29">
        <w:rPr>
          <w:lang w:val="ru-RU"/>
        </w:rPr>
        <w:t>"РАВНЫЕ" – содействие доступу, навыкам и лидерству в области ИКТ для женщин и девушек</w:t>
      </w:r>
    </w:p>
    <w:p w14:paraId="22B52D40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Устранение возрастающего цифрового гендерного разрыва путем предоставления возможностей для сотрудничества; максимальное увеличение воздействия и поддержка расширения масштабов успешных проектов; создание платформы для налаживания связей для практических специалистов в целях максимально эффективного использования и укрепления предпринимаемых в настоящее время усилий по преодолению цифрового гендерного разрыва; а также измерение прогресса в достижении целей в концепции партнерства как средство ускорения достижения Цели 5 в области устойчивого развития, в особенности Задачи 5B.</w:t>
      </w:r>
    </w:p>
    <w:p w14:paraId="1B95C6A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2023 год отмечалось 10-летие вручения наград </w:t>
      </w:r>
      <w:hyperlink r:id="rId104" w:history="1">
        <w:r w:rsidRPr="00107B29">
          <w:rPr>
            <w:rStyle w:val="Hyperlink"/>
            <w:lang w:val="ru-RU"/>
          </w:rPr>
          <w:t>"РАВНЫЕ в технологиях"</w:t>
        </w:r>
      </w:hyperlink>
      <w:r w:rsidRPr="00107B29">
        <w:rPr>
          <w:lang w:val="ru-RU"/>
        </w:rPr>
        <w:t>, и из 132 выдвинутых инициатив от 54 стран мира были отобраны 15 финалистов.</w:t>
      </w:r>
    </w:p>
    <w:p w14:paraId="5BF26BFA" w14:textId="77777777" w:rsidR="00F80885" w:rsidRPr="00107B29" w:rsidRDefault="00F80885" w:rsidP="005F0D0E">
      <w:pPr>
        <w:pStyle w:val="Headingb"/>
        <w:rPr>
          <w:lang w:val="ru-RU"/>
        </w:rPr>
      </w:pPr>
      <w:r w:rsidRPr="00107B29">
        <w:rPr>
          <w:lang w:val="ru-RU"/>
        </w:rPr>
        <w:t>Giga – работает с 2019 года для подключения всех школ к интернету</w:t>
      </w:r>
    </w:p>
    <w:p w14:paraId="7E252CF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 момента представления инициативы </w:t>
      </w:r>
      <w:hyperlink r:id="rId105" w:history="1">
        <w:proofErr w:type="spellStart"/>
        <w:r w:rsidRPr="00107B29">
          <w:rPr>
            <w:rStyle w:val="Hyperlink"/>
            <w:lang w:val="ru-RU"/>
          </w:rPr>
          <w:t>Giga</w:t>
        </w:r>
        <w:proofErr w:type="spellEnd"/>
      </w:hyperlink>
      <w:r w:rsidRPr="00107B29">
        <w:rPr>
          <w:lang w:val="ru-RU"/>
        </w:rPr>
        <w:t xml:space="preserve"> в 2019 году картировано более двух миллионов школ в 140 странах, подключено более 5561 школы и обеспечено подключение более двух миллионов учащихся по всему миру.</w:t>
      </w:r>
    </w:p>
    <w:p w14:paraId="733ABCB8" w14:textId="77777777" w:rsidR="00F80885" w:rsidRPr="00107B29" w:rsidRDefault="00F80885" w:rsidP="005F0D0E">
      <w:pPr>
        <w:pStyle w:val="Headingb"/>
        <w:rPr>
          <w:lang w:val="ru-RU"/>
        </w:rPr>
      </w:pPr>
      <w:r w:rsidRPr="00107B29">
        <w:rPr>
          <w:lang w:val="ru-RU"/>
        </w:rPr>
        <w:t>ИИ во благо</w:t>
      </w:r>
    </w:p>
    <w:p w14:paraId="2F66D9A7" w14:textId="77777777" w:rsidR="00F80885" w:rsidRPr="00107B29" w:rsidRDefault="00177CCD" w:rsidP="00107B29">
      <w:pPr>
        <w:rPr>
          <w:lang w:val="ru-RU"/>
        </w:rPr>
      </w:pPr>
      <w:hyperlink r:id="rId106" w:history="1">
        <w:r w:rsidR="00F80885" w:rsidRPr="00107B29">
          <w:rPr>
            <w:rStyle w:val="Hyperlink"/>
            <w:lang w:val="ru-RU"/>
          </w:rPr>
          <w:t>"ИИ во благо"</w:t>
        </w:r>
      </w:hyperlink>
      <w:r w:rsidR="00F80885" w:rsidRPr="00107B29">
        <w:rPr>
          <w:lang w:val="ru-RU"/>
        </w:rPr>
        <w:t xml:space="preserve"> является основной платформой для обсуждений и демонстраций искусственного интеллекта (ИИ) в системе ООН. Инициативу "ИИ во благо" возглавляет МСЭ, а поддержку ей оказывают 40 партнеров в системе ООН и ряд спонсоров из отрасли. Соорганизатором инициативы является правительство Швейцарии.</w:t>
      </w:r>
    </w:p>
    <w:p w14:paraId="17B8AA6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Инициатива "ИИ во благо" направлена на выявление способов практического применения ИИ для ускорения прогресса в достижении Целей в области устойчивого развития и налаживание связей между новаторами в сфере ИИ и представителями директивных органов в государственном и частном секторах, с тем чтобы способствовать масштабированию решений ИИ на всемирном уровне.</w:t>
      </w:r>
    </w:p>
    <w:p w14:paraId="226EA10A" w14:textId="77777777" w:rsidR="00F80885" w:rsidRPr="00107B29" w:rsidRDefault="00F80885" w:rsidP="00107B29">
      <w:pPr>
        <w:rPr>
          <w:b/>
          <w:bCs/>
          <w:lang w:val="ru-RU"/>
        </w:rPr>
      </w:pPr>
      <w:bookmarkStart w:id="121" w:name="_Hlk120615371"/>
      <w:r w:rsidRPr="00107B29">
        <w:rPr>
          <w:lang w:val="ru-RU"/>
        </w:rPr>
        <w:t xml:space="preserve">На </w:t>
      </w:r>
      <w:hyperlink r:id="rId107" w:history="1">
        <w:r w:rsidRPr="00107B29">
          <w:rPr>
            <w:rStyle w:val="Hyperlink"/>
            <w:lang w:val="ru-RU"/>
          </w:rPr>
          <w:t>Глобальном саммите "ИИ во благо"</w:t>
        </w:r>
      </w:hyperlink>
      <w:r w:rsidRPr="00107B29">
        <w:rPr>
          <w:lang w:val="ru-RU"/>
        </w:rPr>
        <w:t xml:space="preserve">, который проходил в Женеве 6−7 июля 2023 года, собрались авторитетные эксперты в области ИИ и гуманитарной деятельности, а также прошла крупнейшая в мире демонстрация человекоподобных и специализированных роботов. </w:t>
      </w:r>
      <w:r w:rsidRPr="00107B29">
        <w:rPr>
          <w:lang w:val="ru-RU"/>
        </w:rPr>
        <w:lastRenderedPageBreak/>
        <w:t>Непосредственно перед саммитом были организованы ориентированные на экспертов семинары-практикумы по машинному обучению на основе специальных знаний программы "Открытия ИИ во благо".</w:t>
      </w:r>
      <w:bookmarkStart w:id="122" w:name="_Hlk120615385"/>
      <w:bookmarkEnd w:id="121"/>
      <w:bookmarkEnd w:id="122"/>
    </w:p>
    <w:p w14:paraId="0924D22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"ИИ во благо" представляется как постоянно действующая цифровая платформа с </w:t>
      </w:r>
      <w:hyperlink r:id="rId108" w:history="1">
        <w:r w:rsidRPr="00107B29">
          <w:rPr>
            <w:rStyle w:val="Hyperlink"/>
            <w:lang w:val="ru-RU"/>
          </w:rPr>
          <w:t>программой работы</w:t>
        </w:r>
      </w:hyperlink>
      <w:r w:rsidRPr="00107B29">
        <w:rPr>
          <w:lang w:val="ru-RU"/>
        </w:rPr>
        <w:t xml:space="preserve"> почти на каждый день. </w:t>
      </w:r>
      <w:hyperlink r:id="rId109" w:history="1">
        <w:r w:rsidRPr="00107B29">
          <w:rPr>
            <w:rStyle w:val="Hyperlink"/>
            <w:lang w:val="ru-RU"/>
          </w:rPr>
          <w:t>Нейронная сеть "ИИ во благо"</w:t>
        </w:r>
      </w:hyperlink>
      <w:r w:rsidRPr="00107B29">
        <w:rPr>
          <w:lang w:val="ru-RU"/>
        </w:rPr>
        <w:t xml:space="preserve"> в настоящее время насчитывает более 25 000 специалистов.</w:t>
      </w:r>
      <w:bookmarkStart w:id="123" w:name="_Hlk120617537"/>
      <w:bookmarkEnd w:id="123"/>
    </w:p>
    <w:p w14:paraId="649DF921" w14:textId="77777777" w:rsidR="00F80885" w:rsidRPr="009372AB" w:rsidRDefault="00F80885" w:rsidP="005F0D0E">
      <w:pPr>
        <w:pStyle w:val="Headingb"/>
        <w:rPr>
          <w:lang w:val="ru-RU"/>
        </w:rPr>
      </w:pPr>
      <w:bookmarkStart w:id="124" w:name="_Hlk160127095"/>
      <w:r w:rsidRPr="00107B29">
        <w:rPr>
          <w:lang w:val="ru-RU"/>
        </w:rPr>
        <w:t>ИИ для здравоохранения</w:t>
      </w:r>
    </w:p>
    <w:p w14:paraId="1B6B4939" w14:textId="77777777" w:rsidR="00F80885" w:rsidRPr="00107B29" w:rsidRDefault="00177CCD" w:rsidP="00107B29">
      <w:pPr>
        <w:rPr>
          <w:lang w:val="ru-RU"/>
        </w:rPr>
      </w:pPr>
      <w:hyperlink r:id="rId110" w:history="1">
        <w:r w:rsidR="00F80885" w:rsidRPr="00107B29">
          <w:rPr>
            <w:rStyle w:val="Hyperlink"/>
            <w:lang w:val="ru-RU"/>
          </w:rPr>
          <w:t>Глобальная инициатива по ИИ для здравоохранения</w:t>
        </w:r>
      </w:hyperlink>
      <w:r w:rsidR="00F80885" w:rsidRPr="00107B29">
        <w:rPr>
          <w:lang w:val="ru-RU"/>
        </w:rPr>
        <w:t xml:space="preserve">, представленная МСЭ, ВОЗ и ВОИС, направлена на повышение вклада ИИ в здравоохранение и обеспечение универсального доступа к получаемым в результате работы выгодам. </w:t>
      </w:r>
    </w:p>
    <w:p w14:paraId="7DE4C833" w14:textId="77777777" w:rsidR="00F80885" w:rsidRPr="00107B29" w:rsidRDefault="00F80885" w:rsidP="00107B29">
      <w:pPr>
        <w:rPr>
          <w:bCs/>
          <w:lang w:val="ru-RU"/>
        </w:rPr>
      </w:pPr>
      <w:r w:rsidRPr="00107B29">
        <w:rPr>
          <w:lang w:val="ru-RU"/>
        </w:rPr>
        <w:t>Глобальная инициатива предназначена для разработки технических стандартов и руководящих указаний по политике, содействия обмену знаниями и данными, а также поддержки основанных на фактических данных решений по внедрению продуктов на базе ИИ для здравоохранения.</w:t>
      </w:r>
    </w:p>
    <w:p w14:paraId="4CE14B1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Она будет также содействовать созданию механизмов сотрудничества для разработки основанных на ИИ решений по охвату обслуживаемых в недостаточной степени сообществ, а ее программа масштабирования призвана помочь странам с низким и средним уровнем дохода в принятии решений, касающихся ИИ для здравоохранения.</w:t>
      </w:r>
    </w:p>
    <w:p w14:paraId="7A0A368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Эта инициатива, объявленная на </w:t>
      </w:r>
      <w:hyperlink r:id="rId111" w:history="1">
        <w:r w:rsidRPr="00107B29">
          <w:rPr>
            <w:rStyle w:val="Hyperlink"/>
            <w:lang w:val="ru-RU"/>
          </w:rPr>
          <w:t>Глобальном саммите "ИИ во благо" 2023 года</w:t>
        </w:r>
      </w:hyperlink>
      <w:r w:rsidRPr="00107B29">
        <w:rPr>
          <w:lang w:val="ru-RU"/>
        </w:rPr>
        <w:t xml:space="preserve">, опирается на импульс, приданный </w:t>
      </w:r>
      <w:hyperlink r:id="rId112" w:history="1">
        <w:r w:rsidRPr="00107B29">
          <w:rPr>
            <w:rStyle w:val="Hyperlink"/>
            <w:lang w:val="ru-RU"/>
          </w:rPr>
          <w:t>Оперативной группой МСЭ и ВОЗ по ИИ в области здравоохранения</w:t>
        </w:r>
      </w:hyperlink>
      <w:r w:rsidRPr="00107B29">
        <w:rPr>
          <w:lang w:val="ru-RU"/>
        </w:rPr>
        <w:t>.</w:t>
      </w:r>
    </w:p>
    <w:p w14:paraId="74DAA0F9" w14:textId="77777777" w:rsidR="00F80885" w:rsidRPr="009372AB" w:rsidRDefault="00F80885" w:rsidP="005F0D0E">
      <w:pPr>
        <w:pStyle w:val="Headingb"/>
        <w:rPr>
          <w:lang w:val="ru-RU"/>
        </w:rPr>
      </w:pPr>
      <w:bookmarkStart w:id="125" w:name="_Hlk120017847"/>
      <w:bookmarkEnd w:id="124"/>
      <w:r w:rsidRPr="00107B29">
        <w:rPr>
          <w:lang w:val="ru-RU"/>
        </w:rPr>
        <w:t>Безопасные цифровые финансы</w:t>
      </w:r>
    </w:p>
    <w:p w14:paraId="025E58B0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Новый </w:t>
      </w:r>
      <w:hyperlink r:id="rId113" w:history="1">
        <w:r w:rsidRPr="00107B29">
          <w:rPr>
            <w:rStyle w:val="Hyperlink"/>
            <w:lang w:val="ru-RU"/>
          </w:rPr>
          <w:t>комплект материалов МСЭ по оценке способности к восстановлению в области кибербезопасности</w:t>
        </w:r>
      </w:hyperlink>
      <w:r w:rsidRPr="00107B29">
        <w:rPr>
          <w:lang w:val="ru-RU"/>
        </w:rPr>
        <w:t xml:space="preserve"> содержит рекомендации специалистов по вопросам оценки рисков кибербезопасности и защиты от рисков кибербезопасности для критической инфраструктуры цифровых финансовых услуг. Этот комплект материалов является результатом работы </w:t>
      </w:r>
      <w:hyperlink r:id="rId114" w:history="1">
        <w:r w:rsidRPr="00107B29">
          <w:rPr>
            <w:rStyle w:val="Hyperlink"/>
            <w:lang w:val="ru-RU"/>
          </w:rPr>
          <w:t>Лаборатории МСЭ по безопасности цифровых финансовых услуг</w:t>
        </w:r>
      </w:hyperlink>
      <w:r w:rsidRPr="00107B29">
        <w:rPr>
          <w:lang w:val="ru-RU"/>
        </w:rPr>
        <w:t>, организованной в сотрудничестве с компанией Deloitte Consulting.</w:t>
      </w:r>
    </w:p>
    <w:p w14:paraId="787CFE8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Лаборатория МСЭ по безопасности цифровых финансовых услуг проводит </w:t>
      </w:r>
      <w:hyperlink r:id="rId115" w:history="1">
        <w:r w:rsidRPr="00107B29">
          <w:rPr>
            <w:rStyle w:val="Hyperlink"/>
            <w:lang w:val="ru-RU"/>
          </w:rPr>
          <w:t>практикумы по безопасности</w:t>
        </w:r>
      </w:hyperlink>
      <w:r w:rsidRPr="00107B29">
        <w:rPr>
          <w:lang w:val="ru-RU"/>
        </w:rPr>
        <w:t xml:space="preserve">, в рамках которых предлагается подготовка по внедрению </w:t>
      </w:r>
      <w:hyperlink r:id="rId116" w:history="1">
        <w:r w:rsidRPr="00107B29">
          <w:rPr>
            <w:rStyle w:val="Hyperlink"/>
            <w:lang w:val="ru-RU"/>
          </w:rPr>
          <w:t>рекомендаций по безопасным цифровым финансам</w:t>
        </w:r>
      </w:hyperlink>
      <w:r w:rsidRPr="00107B29">
        <w:rPr>
          <w:lang w:val="ru-RU"/>
        </w:rPr>
        <w:t xml:space="preserve">, разработанных </w:t>
      </w:r>
      <w:hyperlink r:id="rId117" w:history="1">
        <w:r w:rsidRPr="00107B29">
          <w:rPr>
            <w:rStyle w:val="Hyperlink"/>
            <w:lang w:val="ru-RU"/>
          </w:rPr>
          <w:t>Глобальной инициативой по охвату финансовыми услугами</w:t>
        </w:r>
      </w:hyperlink>
      <w:r w:rsidRPr="00107B29">
        <w:rPr>
          <w:lang w:val="ru-RU"/>
        </w:rPr>
        <w:t>.</w:t>
      </w:r>
    </w:p>
    <w:p w14:paraId="6E3D496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Техническая помощь, предоставляемая лабораторией, позволяет регуляторным органам проводить проверки безопасности приложений мобильных платежей для определения их соответствия рекомендациям в области безопасности.</w:t>
      </w:r>
    </w:p>
    <w:p w14:paraId="4036B6FC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Программа передачи знаний лабораторий помогает регуляторным органам стран с формирующейся экономикой создавать собственные лаборатории по безопасности для тестирования безопасности приложений мобильных платежей в этих странах. </w:t>
      </w:r>
    </w:p>
    <w:p w14:paraId="0E16BA0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2023 году эта программа была расширена, и в нее был включен вопрос оценки киберустойчивости; преимуществами программы воспользовались регуляторные органы в Уганде, Танзании и Перу, и в ближайшее время она послужит интересам Гамбии, Зимбабве и Руанды.</w:t>
      </w:r>
    </w:p>
    <w:p w14:paraId="18EBD8F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Эта программа также помогает странам координировать регуляторные меры для обеспечения безопасности цифровых финансов при поддержке рекомендуемого МСЭ меморандума о взаимопонимании между регуляторным органом в области ИКТ и центральным банком страны.</w:t>
      </w:r>
    </w:p>
    <w:p w14:paraId="2AEF5293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lastRenderedPageBreak/>
        <w:t xml:space="preserve">К настоящему времени в ряде стран Африки </w:t>
      </w:r>
      <w:r w:rsidRPr="005F0D0E">
        <w:rPr>
          <w:lang w:val="ru-RU"/>
        </w:rPr>
        <w:t>−</w:t>
      </w:r>
      <w:r w:rsidRPr="00107B29">
        <w:rPr>
          <w:lang w:val="ru-RU"/>
        </w:rPr>
        <w:t xml:space="preserve"> Нигерии, Лесото, Сьерра-Леоне, Танзании, Кении и Зимбабве </w:t>
      </w:r>
      <w:r w:rsidRPr="005F0D0E">
        <w:rPr>
          <w:lang w:val="ru-RU"/>
        </w:rPr>
        <w:t>−</w:t>
      </w:r>
      <w:r w:rsidRPr="00107B29">
        <w:rPr>
          <w:lang w:val="ru-RU"/>
        </w:rPr>
        <w:t xml:space="preserve"> между регуляторным органом электросвязи и центральным банком подписаны рекомендованные меморандумы по безопасности ЦФУ. </w:t>
      </w:r>
    </w:p>
    <w:p w14:paraId="3A3F98E2" w14:textId="77777777" w:rsidR="00F80885" w:rsidRPr="00107B29" w:rsidRDefault="00F80885" w:rsidP="005F0D0E">
      <w:pPr>
        <w:pStyle w:val="Headingb"/>
        <w:rPr>
          <w:lang w:val="ru-RU"/>
        </w:rPr>
      </w:pPr>
      <w:bookmarkStart w:id="126" w:name="_Toc156392417"/>
      <w:r w:rsidRPr="00107B29">
        <w:rPr>
          <w:lang w:val="ru-RU"/>
        </w:rPr>
        <w:t>Цифровая трансформация для "умных" городов и сообществ</w:t>
      </w:r>
      <w:bookmarkEnd w:id="126"/>
    </w:p>
    <w:p w14:paraId="34D8FAE2" w14:textId="77777777" w:rsidR="00F80885" w:rsidRPr="00107B29" w:rsidRDefault="00F80885" w:rsidP="00107B29">
      <w:pPr>
        <w:rPr>
          <w:lang w:val="ru-RU"/>
        </w:rPr>
      </w:pPr>
      <w:bookmarkStart w:id="127" w:name="_Hlk120615721"/>
      <w:r w:rsidRPr="00107B29">
        <w:rPr>
          <w:lang w:val="ru-RU"/>
        </w:rPr>
        <w:t xml:space="preserve">Инициативу </w:t>
      </w:r>
      <w:hyperlink r:id="rId118" w:history="1">
        <w:r w:rsidRPr="00107B29">
          <w:rPr>
            <w:rStyle w:val="Hyperlink"/>
            <w:lang w:val="ru-RU"/>
          </w:rPr>
          <w:t>"Объединение усилий в целях построения "умных" устойчивых городов" (U4SSC)</w:t>
        </w:r>
      </w:hyperlink>
      <w:r w:rsidRPr="00107B29">
        <w:rPr>
          <w:lang w:val="ru-RU"/>
        </w:rPr>
        <w:t xml:space="preserve"> поддерживают 19 учреждений ООН для достижения ЦУР 11 ("Обеспечение открытости, безопасности, жизнестойкости и экологической устойчивости городов и населенных пунктов").</w:t>
      </w:r>
    </w:p>
    <w:bookmarkEnd w:id="127"/>
    <w:p w14:paraId="031D6F5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Более 150 городов во всем мире оценивают свой прогресс в достижении целей "умных" городов и ЦУР, используя </w:t>
      </w:r>
      <w:hyperlink r:id="rId119" w:history="1">
        <w:r w:rsidRPr="00107B29">
          <w:rPr>
            <w:rStyle w:val="Hyperlink"/>
            <w:lang w:val="ru-RU"/>
          </w:rPr>
          <w:t>ключевые показатели деятельности U4SSC для "умных" устойчивых городов</w:t>
        </w:r>
      </w:hyperlink>
      <w:r w:rsidRPr="00107B29">
        <w:rPr>
          <w:lang w:val="ru-RU"/>
        </w:rPr>
        <w:t xml:space="preserve"> на основе стандартов МСЭ. Результаты оценок KPI подтверждаются </w:t>
      </w:r>
      <w:hyperlink r:id="rId120" w:history="1">
        <w:r w:rsidRPr="00107B29">
          <w:rPr>
            <w:rStyle w:val="Hyperlink"/>
            <w:lang w:val="ru-RU"/>
          </w:rPr>
          <w:t>"портретами" городов, информационными бюллетенями, отчетами о проверке и исследованиями конкретных ситуаций</w:t>
        </w:r>
      </w:hyperlink>
      <w:r w:rsidRPr="00107B29">
        <w:rPr>
          <w:lang w:val="ru-RU"/>
        </w:rPr>
        <w:t xml:space="preserve">. </w:t>
      </w:r>
      <w:hyperlink r:id="rId121" w:history="1">
        <w:bookmarkStart w:id="128" w:name="_Hlk120615772"/>
      </w:hyperlink>
      <w:bookmarkEnd w:id="128"/>
    </w:p>
    <w:p w14:paraId="1B454223" w14:textId="77777777" w:rsidR="00F80885" w:rsidRPr="00081075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рамках U4SSC разрабатываются экспертные руководящие указания (см. </w:t>
      </w:r>
      <w:hyperlink r:id="rId122" w:history="1">
        <w:r w:rsidRPr="00107B29">
          <w:rPr>
            <w:rStyle w:val="Hyperlink"/>
            <w:lang w:val="ru-RU"/>
          </w:rPr>
          <w:t>отчеты U4SSC</w:t>
        </w:r>
      </w:hyperlink>
      <w:r w:rsidRPr="00107B29">
        <w:rPr>
          <w:lang w:val="ru-RU"/>
        </w:rPr>
        <w:t>) по следующим шести темам:</w:t>
      </w:r>
    </w:p>
    <w:p w14:paraId="4B06F0EA" w14:textId="77777777" w:rsidR="00F80885" w:rsidRPr="00107B29" w:rsidRDefault="00F80885" w:rsidP="005F0D0E">
      <w:pPr>
        <w:pStyle w:val="enumlev1"/>
        <w:rPr>
          <w:lang w:val="ru-RU"/>
        </w:rPr>
      </w:pPr>
      <w:r w:rsidRPr="009372AB">
        <w:rPr>
          <w:lang w:val="ru-RU"/>
        </w:rPr>
        <w:t>•</w:t>
      </w:r>
      <w:r w:rsidRPr="009372AB">
        <w:rPr>
          <w:lang w:val="ru-RU"/>
        </w:rPr>
        <w:tab/>
      </w:r>
      <w:r w:rsidRPr="00107B29">
        <w:rPr>
          <w:lang w:val="ru-RU"/>
        </w:rPr>
        <w:t xml:space="preserve">городские платформы; </w:t>
      </w:r>
    </w:p>
    <w:p w14:paraId="64551454" w14:textId="77777777" w:rsidR="00F80885" w:rsidRPr="00107B29" w:rsidRDefault="00F80885" w:rsidP="005F0D0E">
      <w:pPr>
        <w:pStyle w:val="enumlev1"/>
        <w:rPr>
          <w:lang w:val="ru-RU"/>
        </w:rPr>
      </w:pPr>
      <w:r w:rsidRPr="005F0D0E">
        <w:rPr>
          <w:lang w:val="ru-RU"/>
        </w:rPr>
        <w:t>•</w:t>
      </w:r>
      <w:r w:rsidRPr="005F0D0E">
        <w:rPr>
          <w:lang w:val="ru-RU"/>
        </w:rPr>
        <w:tab/>
      </w:r>
      <w:r w:rsidRPr="00107B29">
        <w:rPr>
          <w:lang w:val="ru-RU"/>
        </w:rPr>
        <w:t>повышение экономической устойчивости на уровне городов;</w:t>
      </w:r>
    </w:p>
    <w:p w14:paraId="2EF9B3C2" w14:textId="77777777" w:rsidR="00F80885" w:rsidRPr="00107B29" w:rsidRDefault="00F80885" w:rsidP="005F0D0E">
      <w:pPr>
        <w:pStyle w:val="enumlev1"/>
        <w:rPr>
          <w:lang w:val="ru-RU"/>
        </w:rPr>
      </w:pPr>
      <w:r w:rsidRPr="005F0D0E">
        <w:rPr>
          <w:lang w:val="ru-RU"/>
        </w:rPr>
        <w:t>•</w:t>
      </w:r>
      <w:r w:rsidRPr="005F0D0E">
        <w:rPr>
          <w:lang w:val="ru-RU"/>
        </w:rPr>
        <w:tab/>
      </w:r>
      <w:r w:rsidRPr="00107B29">
        <w:rPr>
          <w:lang w:val="ru-RU"/>
        </w:rPr>
        <w:t xml:space="preserve">ИИ в городах; </w:t>
      </w:r>
    </w:p>
    <w:p w14:paraId="3C71D9C4" w14:textId="77777777" w:rsidR="00F80885" w:rsidRPr="00107B29" w:rsidRDefault="00F80885" w:rsidP="005F0D0E">
      <w:pPr>
        <w:pStyle w:val="enumlev1"/>
        <w:rPr>
          <w:lang w:val="ru-RU"/>
        </w:rPr>
      </w:pPr>
      <w:r w:rsidRPr="005F0D0E">
        <w:rPr>
          <w:lang w:val="ru-RU"/>
        </w:rPr>
        <w:t>•</w:t>
      </w:r>
      <w:r w:rsidRPr="005F0D0E">
        <w:rPr>
          <w:lang w:val="ru-RU"/>
        </w:rPr>
        <w:tab/>
      </w:r>
      <w:r w:rsidRPr="00107B29">
        <w:rPr>
          <w:lang w:val="ru-RU"/>
        </w:rPr>
        <w:t xml:space="preserve">Создание благоприятных условий для ориентированных на человека "умных" городов посредством цифровой трансформации; </w:t>
      </w:r>
    </w:p>
    <w:p w14:paraId="76BC0832" w14:textId="77777777" w:rsidR="00F80885" w:rsidRPr="00107B29" w:rsidRDefault="00F80885" w:rsidP="005F0D0E">
      <w:pPr>
        <w:pStyle w:val="enumlev1"/>
        <w:rPr>
          <w:lang w:val="ru-RU"/>
        </w:rPr>
      </w:pPr>
      <w:r w:rsidRPr="005F0D0E">
        <w:rPr>
          <w:lang w:val="ru-RU"/>
        </w:rPr>
        <w:t>•</w:t>
      </w:r>
      <w:r w:rsidRPr="005F0D0E">
        <w:rPr>
          <w:lang w:val="ru-RU"/>
        </w:rPr>
        <w:tab/>
      </w:r>
      <w:r w:rsidRPr="00107B29">
        <w:rPr>
          <w:lang w:val="ru-RU"/>
        </w:rPr>
        <w:t>закупки для "умных" устойчивых городов;</w:t>
      </w:r>
    </w:p>
    <w:p w14:paraId="269357C2" w14:textId="77777777" w:rsidR="00F80885" w:rsidRPr="00107B29" w:rsidRDefault="00F80885" w:rsidP="005F0D0E">
      <w:pPr>
        <w:pStyle w:val="enumlev1"/>
        <w:rPr>
          <w:lang w:val="ru-RU"/>
        </w:rPr>
      </w:pPr>
      <w:r w:rsidRPr="009372AB">
        <w:rPr>
          <w:lang w:val="ru-RU"/>
        </w:rPr>
        <w:t>•</w:t>
      </w:r>
      <w:r w:rsidRPr="009372AB">
        <w:rPr>
          <w:lang w:val="ru-RU"/>
        </w:rPr>
        <w:tab/>
      </w:r>
      <w:r w:rsidRPr="00107B29">
        <w:rPr>
          <w:lang w:val="ru-RU"/>
        </w:rPr>
        <w:t>цифровое благополучие.</w:t>
      </w:r>
    </w:p>
    <w:p w14:paraId="7D9A6F0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20 июня 2023 года в онлайновом режиме состоялось </w:t>
      </w:r>
      <w:hyperlink r:id="rId123" w:history="1">
        <w:r w:rsidRPr="00107B29">
          <w:rPr>
            <w:rStyle w:val="Hyperlink"/>
            <w:lang w:val="ru-RU"/>
          </w:rPr>
          <w:t>седьмое собрание U4SSC</w:t>
        </w:r>
      </w:hyperlink>
      <w:r w:rsidRPr="00107B29">
        <w:rPr>
          <w:lang w:val="ru-RU"/>
        </w:rPr>
        <w:t xml:space="preserve">. В числе основных моментов собрания – назначение нового </w:t>
      </w:r>
      <w:hyperlink r:id="rId124" w:history="1">
        <w:r w:rsidRPr="00107B29">
          <w:rPr>
            <w:rStyle w:val="Hyperlink"/>
            <w:lang w:val="ru-RU"/>
          </w:rPr>
          <w:t>руководства U4SSC</w:t>
        </w:r>
      </w:hyperlink>
      <w:r w:rsidRPr="00107B29">
        <w:rPr>
          <w:lang w:val="ru-RU"/>
        </w:rPr>
        <w:t xml:space="preserve"> и объявление о создании нового странового центра U4SSC в Кьеби, Гана. </w:t>
      </w:r>
    </w:p>
    <w:p w14:paraId="28A2AA00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См. </w:t>
      </w:r>
      <w:hyperlink r:id="rId125" w:history="1">
        <w:r w:rsidRPr="00107B29">
          <w:rPr>
            <w:rStyle w:val="Hyperlink"/>
            <w:lang w:val="ru-RU"/>
          </w:rPr>
          <w:t>отчеты U4SSC</w:t>
        </w:r>
      </w:hyperlink>
      <w:r w:rsidRPr="00107B29">
        <w:rPr>
          <w:lang w:val="ru-RU"/>
        </w:rPr>
        <w:t xml:space="preserve">. </w:t>
      </w:r>
      <w:bookmarkEnd w:id="125"/>
    </w:p>
    <w:p w14:paraId="0360940D" w14:textId="77777777" w:rsidR="00F80885" w:rsidRPr="00107B29" w:rsidRDefault="00F80885" w:rsidP="005F0D0E">
      <w:pPr>
        <w:pStyle w:val="Headingb"/>
        <w:rPr>
          <w:lang w:val="ru-RU"/>
        </w:rPr>
      </w:pPr>
      <w:bookmarkStart w:id="129" w:name="_Toc156392418"/>
      <w:r w:rsidRPr="00107B29">
        <w:rPr>
          <w:lang w:val="ru-RU"/>
        </w:rPr>
        <w:t xml:space="preserve">Интеллектуальные транспортные системы </w:t>
      </w:r>
      <w:bookmarkStart w:id="130" w:name="_Hlk92287189"/>
      <w:bookmarkEnd w:id="129"/>
    </w:p>
    <w:bookmarkStart w:id="131" w:name="_Hlk120616326"/>
    <w:p w14:paraId="2B1C663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fldChar w:fldCharType="begin"/>
      </w:r>
      <w:r w:rsidRPr="00107B29">
        <w:rPr>
          <w:lang w:val="ru-RU"/>
        </w:rPr>
        <w:instrText>HYPERLINK "https://fnc.itu.int/"</w:instrText>
      </w:r>
      <w:r w:rsidRPr="00107B29">
        <w:rPr>
          <w:lang w:val="ru-RU"/>
        </w:rPr>
      </w:r>
      <w:r w:rsidRPr="00107B29">
        <w:rPr>
          <w:lang w:val="ru-RU"/>
        </w:rPr>
        <w:fldChar w:fldCharType="separate"/>
      </w:r>
      <w:r w:rsidRPr="00107B29">
        <w:rPr>
          <w:rStyle w:val="Hyperlink"/>
          <w:lang w:val="ru-RU"/>
        </w:rPr>
        <w:t>Симпозиум МСЭ/ЕЭК ООН "Будущий подключенный к сети автомобиль"</w:t>
      </w:r>
      <w:r w:rsidRPr="00107B29">
        <w:rPr>
          <w:lang w:val="ru-RU"/>
        </w:rPr>
        <w:fldChar w:fldCharType="end"/>
      </w:r>
      <w:r w:rsidRPr="00107B29">
        <w:rPr>
          <w:lang w:val="ru-RU"/>
        </w:rPr>
        <w:t xml:space="preserve"> собирает экспертов от компаний отрасли и правительственных органов для изучения последних достижений в области автоматизации транспортных средств и возможности установления соединений.</w:t>
      </w:r>
    </w:p>
    <w:p w14:paraId="7B8A9F0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Возглавляемое МСЭ </w:t>
      </w:r>
      <w:hyperlink r:id="rId126" w:history="1">
        <w:r w:rsidRPr="00107B29">
          <w:rPr>
            <w:rStyle w:val="Hyperlink"/>
            <w:lang w:val="ru-RU"/>
          </w:rPr>
          <w:t>Сотрудничество по стандартам связи для ИТС (CITS)</w:t>
        </w:r>
      </w:hyperlink>
      <w:r w:rsidRPr="00107B29">
        <w:rPr>
          <w:lang w:val="ru-RU"/>
        </w:rPr>
        <w:t xml:space="preserve"> охватывает все органы по разработке стандартов, работающие в области интеллектуального транспорта. </w:t>
      </w:r>
      <w:hyperlink r:id="rId127" w:history="1">
        <w:r w:rsidRPr="00107B29">
          <w:rPr>
            <w:rStyle w:val="Hyperlink"/>
            <w:lang w:val="ru-RU"/>
          </w:rPr>
          <w:t>База данных ключевых стандартов CITS</w:t>
        </w:r>
      </w:hyperlink>
      <w:r w:rsidRPr="00107B29">
        <w:rPr>
          <w:lang w:val="ru-RU"/>
        </w:rPr>
        <w:t>.</w:t>
      </w:r>
    </w:p>
    <w:p w14:paraId="1004A9B7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СИТС создало новую </w:t>
      </w:r>
      <w:hyperlink r:id="rId128" w:history="1">
        <w:r w:rsidRPr="00107B29">
          <w:rPr>
            <w:rStyle w:val="Hyperlink"/>
            <w:lang w:val="ru-RU"/>
          </w:rPr>
          <w:t>Группу экспертов по технологиям связи для автоматизированного вождения</w:t>
        </w:r>
      </w:hyperlink>
      <w:r w:rsidRPr="00107B29">
        <w:rPr>
          <w:lang w:val="ru-RU"/>
        </w:rPr>
        <w:t xml:space="preserve">. </w:t>
      </w:r>
    </w:p>
    <w:bookmarkEnd w:id="131"/>
    <w:p w14:paraId="1DEF8BD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Новый </w:t>
      </w:r>
      <w:hyperlink r:id="rId129" w:history="1">
        <w:r w:rsidRPr="00107B29">
          <w:rPr>
            <w:rStyle w:val="Hyperlink"/>
            <w:lang w:val="ru-RU"/>
          </w:rPr>
          <w:t>веб-портал</w:t>
        </w:r>
      </w:hyperlink>
      <w:r w:rsidRPr="00107B29">
        <w:rPr>
          <w:lang w:val="ru-RU"/>
        </w:rPr>
        <w:t xml:space="preserve"> МСЭ по интеллектуальному транспорту.</w:t>
      </w:r>
    </w:p>
    <w:p w14:paraId="09D4F0C8" w14:textId="77777777" w:rsidR="00F80885" w:rsidRPr="00107B29" w:rsidRDefault="00F80885" w:rsidP="005F0D0E">
      <w:pPr>
        <w:pStyle w:val="Headingb"/>
        <w:rPr>
          <w:lang w:val="ru-RU"/>
        </w:rPr>
      </w:pPr>
      <w:bookmarkStart w:id="132" w:name="_5.6_CTO_and"/>
      <w:bookmarkStart w:id="133" w:name="_Toc156392419"/>
      <w:bookmarkEnd w:id="132"/>
      <w:r w:rsidRPr="00107B29">
        <w:rPr>
          <w:lang w:val="ru-RU"/>
        </w:rPr>
        <w:t>Собрания главных директоров по технологиям и других руководителей</w:t>
      </w:r>
      <w:bookmarkEnd w:id="133"/>
    </w:p>
    <w:p w14:paraId="4925E02E" w14:textId="77777777" w:rsidR="00F80885" w:rsidRPr="00107B29" w:rsidRDefault="00177CCD" w:rsidP="00107B29">
      <w:pPr>
        <w:rPr>
          <w:lang w:val="ru-RU"/>
        </w:rPr>
      </w:pPr>
      <w:hyperlink r:id="rId130" w:history="1">
        <w:r w:rsidR="00F80885" w:rsidRPr="00107B29">
          <w:rPr>
            <w:rStyle w:val="Hyperlink"/>
            <w:lang w:val="ru-RU"/>
          </w:rPr>
          <w:t>Собрания главных директоров по технологиям и других руководителей</w:t>
        </w:r>
      </w:hyperlink>
      <w:r w:rsidR="00F80885" w:rsidRPr="00107B29">
        <w:rPr>
          <w:lang w:val="ru-RU"/>
        </w:rPr>
        <w:t xml:space="preserve"> собирают представителей высшего звена компаний отрасли для обсуждения с руководством Бюро стандартизации электросвязи (БСЭ) МСЭ отраслевых приоритетов и связанной с ними деятельности в области стандартизации. В итоговых коммюнике освещаются области инноваций, в которых используются новые стандарты МСЭ.</w:t>
      </w:r>
      <w:bookmarkStart w:id="134" w:name="_Hlk120616343"/>
    </w:p>
    <w:p w14:paraId="4D160F0A" w14:textId="77777777" w:rsidR="00F80885" w:rsidRPr="00107B29" w:rsidRDefault="00177CCD" w:rsidP="00107B29">
      <w:pPr>
        <w:rPr>
          <w:lang w:val="ru-RU"/>
        </w:rPr>
      </w:pPr>
      <w:hyperlink r:id="rId131" w:history="1">
        <w:r w:rsidR="00F80885" w:rsidRPr="00107B29">
          <w:rPr>
            <w:rStyle w:val="Hyperlink"/>
            <w:lang w:val="ru-RU"/>
          </w:rPr>
          <w:t>Круглый стол руководителей высшего звена</w:t>
        </w:r>
      </w:hyperlink>
      <w:r w:rsidR="00F80885" w:rsidRPr="00107B29">
        <w:rPr>
          <w:lang w:val="ru-RU"/>
        </w:rPr>
        <w:t xml:space="preserve"> состоялся 5 декабря 2023 года во время Саммита лидеров, организованного журналом Telecom Review в Дубае, ОАЭ; на мероприятии дополнительно обеспечивалась возможность участия в онлайновом режиме. </w:t>
      </w:r>
    </w:p>
    <w:p w14:paraId="624BD3A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Руководители высшего звена обсудили использование оптических сетей, искусственного интеллекта и семантических коммуникаций для поддержки IMT-2030 (6G). Они также обменялись мнениями относительно решения проблемы цифрового неравенства, неназемных сетей, "умной" мобильности, связи по линиям электропередачи, реагирования на бедствия, технологий машинного зрения, блокчейна, предотвращения мошенничества и квантовых информационных технологий. См. </w:t>
      </w:r>
      <w:hyperlink r:id="rId132" w:history="1">
        <w:r w:rsidRPr="00107B29">
          <w:rPr>
            <w:rStyle w:val="Hyperlink"/>
            <w:lang w:val="ru-RU"/>
          </w:rPr>
          <w:t>коммюнике</w:t>
        </w:r>
      </w:hyperlink>
      <w:r w:rsidRPr="00107B29">
        <w:rPr>
          <w:lang w:val="ru-RU"/>
        </w:rPr>
        <w:t xml:space="preserve"> собрания. </w:t>
      </w:r>
    </w:p>
    <w:p w14:paraId="12040337" w14:textId="77777777" w:rsidR="00F80885" w:rsidRPr="00107B29" w:rsidRDefault="00F80885" w:rsidP="00022CB1">
      <w:pPr>
        <w:pStyle w:val="Headingb"/>
        <w:rPr>
          <w:lang w:val="ru-RU"/>
        </w:rPr>
      </w:pPr>
      <w:bookmarkStart w:id="135" w:name="_5.7_Green_Digital"/>
      <w:bookmarkEnd w:id="130"/>
      <w:bookmarkEnd w:id="134"/>
      <w:bookmarkEnd w:id="135"/>
      <w:r w:rsidRPr="00107B29">
        <w:rPr>
          <w:lang w:val="ru-RU"/>
        </w:rPr>
        <w:t xml:space="preserve">"Зеленая цифровая кампания" на КС-28 </w:t>
      </w:r>
    </w:p>
    <w:p w14:paraId="3EFC2262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 30 ноября по 13 декабря 2023 года в Дубае, Объединенные Арабские Эмираты, МСЭ организовал </w:t>
      </w:r>
      <w:hyperlink r:id="rId133" w:history="1">
        <w:r w:rsidRPr="00107B29">
          <w:rPr>
            <w:rStyle w:val="Hyperlink"/>
            <w:lang w:val="ru-RU"/>
          </w:rPr>
          <w:t>сегмент "Зеленая цифровая кампания" на конференции ООН по климату (КС-28)</w:t>
        </w:r>
      </w:hyperlink>
      <w:r w:rsidRPr="00107B29">
        <w:rPr>
          <w:lang w:val="ru-RU"/>
        </w:rPr>
        <w:t xml:space="preserve">. МСЭ провел эти важнейшие собрания и обсуждения совместно с партнерами, в числе которых были правительственные органы, компании, отраслевые ассоциации, структуры гражданского общества и другие учреждения ООН. </w:t>
      </w:r>
    </w:p>
    <w:p w14:paraId="69BFD56D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Отдельные </w:t>
      </w:r>
      <w:hyperlink r:id="rId134" w:history="1">
        <w:r w:rsidRPr="00107B29">
          <w:rPr>
            <w:rStyle w:val="Hyperlink"/>
            <w:lang w:val="ru-RU"/>
          </w:rPr>
          <w:t>итоги</w:t>
        </w:r>
      </w:hyperlink>
      <w:r w:rsidRPr="00107B29">
        <w:rPr>
          <w:lang w:val="ru-RU"/>
        </w:rPr>
        <w:t xml:space="preserve"> "Зеленой цифровой кампании" на КС-28:</w:t>
      </w:r>
    </w:p>
    <w:p w14:paraId="7F6BAFE7" w14:textId="77777777" w:rsidR="00F80885" w:rsidRPr="00107B29" w:rsidRDefault="00F80885" w:rsidP="00022CB1">
      <w:pPr>
        <w:pStyle w:val="enumlev1"/>
        <w:rPr>
          <w:lang w:val="ru-RU"/>
        </w:rPr>
      </w:pPr>
      <w:r w:rsidRPr="00022CB1">
        <w:rPr>
          <w:lang w:val="ru-RU"/>
        </w:rPr>
        <w:t>−</w:t>
      </w:r>
      <w:r w:rsidRPr="00022CB1">
        <w:rPr>
          <w:lang w:val="ru-RU"/>
        </w:rPr>
        <w:tab/>
      </w:r>
      <w:r w:rsidRPr="00107B29">
        <w:rPr>
          <w:lang w:val="ru-RU"/>
        </w:rPr>
        <w:t>Корпоративные соглашения по сокращению выбросов парниковых газов в соответствии с научно обоснованными целевыми показателями, согласованными с целью ограничения потепления климата значением 1,5</w:t>
      </w:r>
      <w:r w:rsidRPr="00107B29">
        <w:rPr>
          <w:vertAlign w:val="superscript"/>
        </w:rPr>
        <w:t>o</w:t>
      </w:r>
      <w:r w:rsidRPr="00107B29">
        <w:t>C</w:t>
      </w:r>
      <w:r w:rsidRPr="00107B29">
        <w:rPr>
          <w:lang w:val="ru-RU"/>
        </w:rPr>
        <w:t xml:space="preserve"> и разработки планов перехода, а также повышения прозрачности данных о выбросах в технологической отрасли.</w:t>
      </w:r>
    </w:p>
    <w:p w14:paraId="6148340A" w14:textId="77777777" w:rsidR="00F80885" w:rsidRPr="00107B29" w:rsidRDefault="00F80885" w:rsidP="00022CB1">
      <w:pPr>
        <w:pStyle w:val="enumlev1"/>
        <w:rPr>
          <w:lang w:val="ru-RU"/>
        </w:rPr>
      </w:pPr>
      <w:r w:rsidRPr="00022CB1">
        <w:rPr>
          <w:lang w:val="ru-RU"/>
        </w:rPr>
        <w:t>−</w:t>
      </w:r>
      <w:r w:rsidRPr="00022CB1">
        <w:rPr>
          <w:lang w:val="ru-RU"/>
        </w:rPr>
        <w:tab/>
      </w:r>
      <w:r w:rsidRPr="00107B29">
        <w:rPr>
          <w:lang w:val="ru-RU"/>
        </w:rPr>
        <w:t>Межстрановое сотрудничество в целях разработки регулирования электронных отходов как ключевого средства развития отрасли технологий замкнутого цикла.</w:t>
      </w:r>
    </w:p>
    <w:p w14:paraId="2A015F0B" w14:textId="77777777" w:rsidR="00F80885" w:rsidRPr="00107B29" w:rsidRDefault="00F80885" w:rsidP="00022CB1">
      <w:pPr>
        <w:pStyle w:val="enumlev1"/>
        <w:rPr>
          <w:lang w:val="ru-RU"/>
        </w:rPr>
      </w:pPr>
      <w:r w:rsidRPr="00022CB1">
        <w:rPr>
          <w:lang w:val="ru-RU"/>
        </w:rPr>
        <w:t>−</w:t>
      </w:r>
      <w:r w:rsidRPr="00022CB1">
        <w:rPr>
          <w:lang w:val="ru-RU"/>
        </w:rPr>
        <w:tab/>
      </w:r>
      <w:hyperlink r:id="rId135" w:history="1">
        <w:r w:rsidRPr="00107B29">
          <w:rPr>
            <w:rStyle w:val="Hyperlink"/>
            <w:lang w:val="ru-RU"/>
          </w:rPr>
          <w:t>Совместное заявление</w:t>
        </w:r>
      </w:hyperlink>
      <w:r w:rsidRPr="00107B29">
        <w:rPr>
          <w:lang w:val="ru-RU"/>
        </w:rPr>
        <w:t xml:space="preserve"> МСЭ, ИСО и МЭК о важности включения устойчивости в технические стандарты на этапе проектирования, а также о том, каким образом стандарты способствуют достижению чистого нулевого уровня выбросов на глобальном уровне и построению ресурсосберегающей циркуляционной и низкоуглеродной экономики.</w:t>
      </w:r>
    </w:p>
    <w:p w14:paraId="11A7E2B2" w14:textId="77777777" w:rsidR="00F80885" w:rsidRPr="00107B29" w:rsidRDefault="00F80885" w:rsidP="00022CB1">
      <w:pPr>
        <w:pStyle w:val="enumlev1"/>
        <w:rPr>
          <w:lang w:val="ru-RU"/>
        </w:rPr>
      </w:pPr>
      <w:r w:rsidRPr="00022CB1">
        <w:rPr>
          <w:lang w:val="ru-RU"/>
        </w:rPr>
        <w:t>−</w:t>
      </w:r>
      <w:r w:rsidRPr="00022CB1">
        <w:rPr>
          <w:lang w:val="ru-RU"/>
        </w:rPr>
        <w:tab/>
      </w:r>
      <w:r w:rsidRPr="00107B29">
        <w:rPr>
          <w:lang w:val="ru-RU"/>
        </w:rPr>
        <w:t xml:space="preserve">Укрепление сотрудничества между отраслью и странами по внедрению стандартов в области экологической устойчивости с помощью </w:t>
      </w:r>
      <w:hyperlink r:id="rId136" w:history="1">
        <w:r w:rsidRPr="00107B29">
          <w:rPr>
            <w:rStyle w:val="Hyperlink"/>
            <w:lang w:val="ru-RU"/>
          </w:rPr>
          <w:t>плана действий</w:t>
        </w:r>
      </w:hyperlink>
      <w:r w:rsidRPr="00107B29">
        <w:rPr>
          <w:lang w:val="ru-RU"/>
        </w:rPr>
        <w:t>.</w:t>
      </w:r>
    </w:p>
    <w:p w14:paraId="70B074E4" w14:textId="77777777" w:rsidR="00F80885" w:rsidRPr="00107B29" w:rsidRDefault="00F80885" w:rsidP="00022CB1">
      <w:pPr>
        <w:pStyle w:val="enumlev1"/>
        <w:rPr>
          <w:lang w:val="ru-RU"/>
        </w:rPr>
      </w:pPr>
      <w:r w:rsidRPr="00022CB1">
        <w:rPr>
          <w:lang w:val="ru-RU"/>
        </w:rPr>
        <w:t>−</w:t>
      </w:r>
      <w:r w:rsidRPr="00022CB1">
        <w:rPr>
          <w:lang w:val="ru-RU"/>
        </w:rPr>
        <w:tab/>
      </w:r>
      <w:r w:rsidRPr="00107B29">
        <w:rPr>
          <w:lang w:val="ru-RU"/>
        </w:rPr>
        <w:t>Обязательство отрасли подвижной электросвязи и спутниковой отрасли по поддержке инициативы "Раннее предупреждение для всех" при помощи услуг трансляции по сотам и прямой связи с устройствами, призванной к 2027 году обеспечить всеобщую защиту через систему важных для жизни оповещений о бедствиях. Государственный сектор также взял на себя обязательство осуществлять трансляцию по сотам с применением регламентарного подхода.</w:t>
      </w:r>
    </w:p>
    <w:p w14:paraId="3C8151C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Во время КС-28 также состоялась церемония награждения конкурса </w:t>
      </w:r>
      <w:hyperlink r:id="rId137" w:history="1">
        <w:r w:rsidRPr="00107B29">
          <w:rPr>
            <w:rStyle w:val="Hyperlink"/>
            <w:lang w:val="ru-RU"/>
          </w:rPr>
          <w:t>"Решения в области ИИ/МО в целях борьбы с изменением климата"</w:t>
        </w:r>
      </w:hyperlink>
      <w:r w:rsidRPr="00107B29">
        <w:rPr>
          <w:lang w:val="ru-RU"/>
        </w:rPr>
        <w:t xml:space="preserve">. Конкурс проводился при поддержке МСЭ, Международного агентства по атомной энергии (МАГАТЭ), Продовольственной и сельскохозяйственной организации ООН (ФАО), Организации Объединенных Наций по вопросам образования, науки и культуры (ЮНЕСКО) и Всемирного банка. Конкурсы проходили с задействованием процессов </w:t>
      </w:r>
      <w:hyperlink r:id="rId138" w:history="1">
        <w:r w:rsidRPr="00107B29">
          <w:rPr>
            <w:rStyle w:val="Hyperlink"/>
            <w:lang w:val="ru-RU"/>
          </w:rPr>
          <w:t>фабрики инноваций "ИИ во благо"</w:t>
        </w:r>
      </w:hyperlink>
      <w:r w:rsidRPr="00107B29">
        <w:rPr>
          <w:lang w:val="ru-RU"/>
        </w:rPr>
        <w:t>, организованной МСЭ и МАГАТЭ.</w:t>
      </w:r>
    </w:p>
    <w:p w14:paraId="482C12CB" w14:textId="77777777" w:rsidR="00F80885" w:rsidRPr="00107B29" w:rsidRDefault="00F80885" w:rsidP="00022CB1">
      <w:pPr>
        <w:pStyle w:val="Headingb"/>
        <w:rPr>
          <w:lang w:val="ru-RU"/>
        </w:rPr>
      </w:pPr>
      <w:r w:rsidRPr="00107B29">
        <w:rPr>
          <w:lang w:val="ru-RU"/>
        </w:rPr>
        <w:t>Всемирное сотрудничество по стандартам</w:t>
      </w:r>
    </w:p>
    <w:p w14:paraId="5DD9D01C" w14:textId="77777777" w:rsidR="00F80885" w:rsidRPr="00107B29" w:rsidRDefault="00177CCD" w:rsidP="00107B29">
      <w:pPr>
        <w:rPr>
          <w:lang w:val="ru-RU"/>
        </w:rPr>
      </w:pPr>
      <w:hyperlink r:id="rId139" w:history="1">
        <w:r w:rsidR="00F80885" w:rsidRPr="00107B29">
          <w:rPr>
            <w:rStyle w:val="Hyperlink"/>
            <w:lang w:val="ru-RU"/>
          </w:rPr>
          <w:t>Всемирное сотрудничество по стандартам (ВСС)</w:t>
        </w:r>
      </w:hyperlink>
      <w:r w:rsidR="00F80885" w:rsidRPr="00107B29">
        <w:rPr>
          <w:lang w:val="ru-RU"/>
        </w:rPr>
        <w:t xml:space="preserve"> учреждено Международным союзом электросвязи (МСЭ), Всемирной организацией по стандартам (ИСО) и Международной </w:t>
      </w:r>
      <w:r w:rsidR="00F80885" w:rsidRPr="00107B29">
        <w:rPr>
          <w:lang w:val="ru-RU"/>
        </w:rPr>
        <w:lastRenderedPageBreak/>
        <w:t xml:space="preserve">электротехнической комиссией (МЭК) с целью </w:t>
      </w:r>
      <w:proofErr w:type="gramStart"/>
      <w:r w:rsidR="00F80885" w:rsidRPr="00107B29">
        <w:rPr>
          <w:lang w:val="ru-RU"/>
        </w:rPr>
        <w:t>продвижения</w:t>
      </w:r>
      <w:proofErr w:type="gramEnd"/>
      <w:r w:rsidR="00F80885" w:rsidRPr="00107B29">
        <w:rPr>
          <w:lang w:val="ru-RU"/>
        </w:rPr>
        <w:t xml:space="preserve"> основанных на принципе консенсуса добровольных систем международных стандартов. </w:t>
      </w:r>
    </w:p>
    <w:p w14:paraId="08119E43" w14:textId="77777777" w:rsidR="00F80885" w:rsidRPr="00107B29" w:rsidRDefault="00F80885" w:rsidP="004C5A2C">
      <w:pPr>
        <w:pStyle w:val="enumlev1"/>
        <w:rPr>
          <w:lang w:val="ru-RU"/>
        </w:rPr>
      </w:pPr>
      <w:bookmarkStart w:id="136" w:name="_Hlk120564290"/>
      <w:r w:rsidRPr="004C5A2C">
        <w:rPr>
          <w:lang w:val="ru-RU"/>
        </w:rPr>
        <w:t>−</w:t>
      </w:r>
      <w:r w:rsidRPr="004C5A2C">
        <w:rPr>
          <w:lang w:val="ru-RU"/>
        </w:rPr>
        <w:tab/>
      </w:r>
      <w:hyperlink r:id="rId140" w:history="1">
        <w:r w:rsidRPr="00107B29">
          <w:rPr>
            <w:rStyle w:val="Hyperlink"/>
            <w:lang w:val="ru-RU"/>
          </w:rPr>
          <w:t>Всемирный день стандартов</w:t>
        </w:r>
      </w:hyperlink>
      <w:r w:rsidRPr="00107B29">
        <w:rPr>
          <w:lang w:val="ru-RU"/>
        </w:rPr>
        <w:t xml:space="preserve">, 14 октября: МСЭ, ИСО и МЭК организовали празднование по теме "Общее видение лучшего мира". </w:t>
      </w:r>
      <w:hyperlink r:id="rId141" w:history="1">
        <w:r w:rsidRPr="004C5A2C">
          <w:rPr>
            <w:rStyle w:val="Hyperlink"/>
            <w:lang w:val="ru-RU"/>
          </w:rPr>
          <w:t>Все прошлые празднования Всемирного дня стандартов</w:t>
        </w:r>
      </w:hyperlink>
      <w:r w:rsidRPr="00107B29">
        <w:rPr>
          <w:lang w:val="ru-RU"/>
        </w:rPr>
        <w:t xml:space="preserve">. </w:t>
      </w:r>
    </w:p>
    <w:bookmarkEnd w:id="136"/>
    <w:p w14:paraId="26F12CE2" w14:textId="77777777" w:rsidR="00F80885" w:rsidRPr="00107B29" w:rsidRDefault="00F80885" w:rsidP="004C5A2C">
      <w:pPr>
        <w:pStyle w:val="enumlev1"/>
        <w:rPr>
          <w:lang w:val="ru-RU"/>
        </w:rPr>
      </w:pPr>
      <w:r w:rsidRPr="004C5A2C">
        <w:rPr>
          <w:lang w:val="ru-RU"/>
        </w:rPr>
        <w:t>−</w:t>
      </w:r>
      <w:r w:rsidRPr="004C5A2C">
        <w:rPr>
          <w:lang w:val="ru-RU"/>
        </w:rPr>
        <w:tab/>
      </w:r>
      <w:hyperlink r:id="rId142" w:history="1">
        <w:r w:rsidRPr="00107B29">
          <w:rPr>
            <w:rStyle w:val="Hyperlink"/>
            <w:lang w:val="ru-RU"/>
          </w:rPr>
          <w:t>Совместное заявление на СОР28</w:t>
        </w:r>
      </w:hyperlink>
      <w:r w:rsidRPr="00107B29">
        <w:rPr>
          <w:lang w:val="ru-RU"/>
        </w:rPr>
        <w:t>: МСЭ, ИСО и МЭК выступили с совместным заявлением о важности включения устойчивости в технические стандарты на этапе проектирования, а также о том, каким образом стандарты способствуют достижению чистого нулевого уровня выбросов на глобальном уровне и построению ресурсосберегающей циркуляционной и низкоуглеродной экономики.</w:t>
      </w:r>
    </w:p>
    <w:p w14:paraId="0D53AAF4" w14:textId="77777777" w:rsidR="00F80885" w:rsidRPr="00107B29" w:rsidRDefault="00F80885" w:rsidP="004C5A2C">
      <w:pPr>
        <w:pStyle w:val="Headingb"/>
        <w:rPr>
          <w:lang w:val="ru-RU"/>
        </w:rPr>
      </w:pPr>
      <w:r w:rsidRPr="00107B29">
        <w:rPr>
          <w:lang w:val="ru-RU"/>
        </w:rPr>
        <w:t>МСЭ, Всемирная метеорологическая организация и ЮНЕП изучают потенциал использования ИИ в управлении операциями в случае стихийных бедствий</w:t>
      </w:r>
    </w:p>
    <w:p w14:paraId="5DD205BD" w14:textId="77777777" w:rsidR="00F80885" w:rsidRPr="00107B29" w:rsidRDefault="00177CCD" w:rsidP="00107B29">
      <w:pPr>
        <w:rPr>
          <w:lang w:val="ru-RU"/>
        </w:rPr>
      </w:pPr>
      <w:hyperlink r:id="rId143" w:history="1">
        <w:r w:rsidR="00F80885" w:rsidRPr="00107B29">
          <w:rPr>
            <w:rStyle w:val="Hyperlink"/>
            <w:lang w:val="ru-RU"/>
          </w:rPr>
          <w:t>Оперативная группа МСЭ/ВМО/ЮНЕП по ИИ в управлении операциями в случае стихийных бедствий</w:t>
        </w:r>
      </w:hyperlink>
      <w:r w:rsidR="00F80885" w:rsidRPr="00107B29">
        <w:rPr>
          <w:lang w:val="ru-RU"/>
        </w:rPr>
        <w:t xml:space="preserve"> </w:t>
      </w:r>
    </w:p>
    <w:p w14:paraId="5D331F37" w14:textId="77777777" w:rsidR="00F80885" w:rsidRPr="00107B29" w:rsidRDefault="00F80885" w:rsidP="004C5A2C">
      <w:pPr>
        <w:pStyle w:val="Headingb"/>
        <w:rPr>
          <w:lang w:val="ru-RU"/>
        </w:rPr>
      </w:pPr>
      <w:r w:rsidRPr="00107B29">
        <w:rPr>
          <w:lang w:val="ru-RU"/>
        </w:rPr>
        <w:t>МСЭ тесно сотрудничает с Продовольственной и сельскохозяйственной организацией по вопросам применения ИИ и IoT для цифрового сельского хозяйства</w:t>
      </w:r>
    </w:p>
    <w:p w14:paraId="0D416EFB" w14:textId="77777777" w:rsidR="00F80885" w:rsidRPr="00107B29" w:rsidRDefault="00177CCD" w:rsidP="00107B29">
      <w:pPr>
        <w:rPr>
          <w:lang w:val="ru-RU"/>
        </w:rPr>
      </w:pPr>
      <w:hyperlink r:id="rId144" w:history="1">
        <w:r w:rsidR="00F80885" w:rsidRPr="00107B29">
          <w:rPr>
            <w:rStyle w:val="Hyperlink"/>
            <w:lang w:val="ru-RU"/>
          </w:rPr>
          <w:t>Оперативная группа МСЭ/ФАО по ИИ и IoT для цифрового сельского хозяйства</w:t>
        </w:r>
      </w:hyperlink>
      <w:r w:rsidR="00F80885" w:rsidRPr="00107B29">
        <w:rPr>
          <w:lang w:val="ru-RU"/>
        </w:rPr>
        <w:t xml:space="preserve"> </w:t>
      </w:r>
    </w:p>
    <w:p w14:paraId="224B392D" w14:textId="77777777" w:rsidR="00F80885" w:rsidRPr="009372AB" w:rsidRDefault="00F80885" w:rsidP="004C5A2C">
      <w:pPr>
        <w:pStyle w:val="Headingb"/>
        <w:rPr>
          <w:lang w:val="ru-RU"/>
        </w:rPr>
      </w:pPr>
      <w:r w:rsidRPr="00107B29">
        <w:rPr>
          <w:lang w:val="ru-RU"/>
        </w:rPr>
        <w:t>ВВУИО</w:t>
      </w:r>
    </w:p>
    <w:p w14:paraId="3ADD2A58" w14:textId="77777777" w:rsidR="00F80885" w:rsidRPr="00107B29" w:rsidRDefault="00177CCD" w:rsidP="00107B29">
      <w:pPr>
        <w:rPr>
          <w:lang w:val="ru-RU"/>
        </w:rPr>
      </w:pPr>
      <w:hyperlink r:id="rId145" w:history="1">
        <w:r w:rsidR="00F80885" w:rsidRPr="00107B29">
          <w:rPr>
            <w:rStyle w:val="Hyperlink"/>
            <w:lang w:val="ru-RU"/>
          </w:rPr>
          <w:t>Мероприятие высокого уровня Форума ВВУИО+20</w:t>
        </w:r>
      </w:hyperlink>
      <w:r w:rsidR="00F80885" w:rsidRPr="00107B29">
        <w:rPr>
          <w:lang w:val="ru-RU"/>
        </w:rPr>
        <w:t xml:space="preserve"> состоится с 27 по 31 мая 2024 года в Женеве. Программа будет охватывать целый ряд тем, включая освещение 20-летних достижений в выполнении решений ВВУИО, представление исследований конкретных ситуаций в области цифровых технологий в целях развития и демонстрацию роли ИКТ в достижении глобальных целей. </w:t>
      </w:r>
    </w:p>
    <w:p w14:paraId="51AE583F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</w:t>
      </w:r>
      <w:hyperlink r:id="rId146" w:history="1">
        <w:r w:rsidRPr="00107B29">
          <w:rPr>
            <w:rStyle w:val="Hyperlink"/>
            <w:lang w:val="ru-RU"/>
          </w:rPr>
          <w:t>Резолюции 140</w:t>
        </w:r>
      </w:hyperlink>
      <w:r w:rsidRPr="00107B29">
        <w:rPr>
          <w:lang w:val="ru-RU"/>
        </w:rPr>
        <w:t xml:space="preserve"> (</w:t>
      </w:r>
      <w:proofErr w:type="spellStart"/>
      <w:r w:rsidRPr="00107B29">
        <w:rPr>
          <w:lang w:val="ru-RU"/>
        </w:rPr>
        <w:t>Пересм</w:t>
      </w:r>
      <w:proofErr w:type="spellEnd"/>
      <w:r w:rsidRPr="00107B29">
        <w:rPr>
          <w:lang w:val="ru-RU"/>
        </w:rPr>
        <w:t xml:space="preserve">. Бухарест, 2022 г.), принятой на последней Полномочной конференции МСЭ, Форум ВВУИО-2024 называется мероприятием высокого уровня Форума ВВУИО+20, что подчеркивает его высокий уровень участия и роль этого мероприятия в процессе обзора ВВУИО+20. На этом мероприятии будет представлен вклад МСЭ в реализацию Направлений деятельности ВВУИО, по которым МСЭ выступает в качестве единственной содействующей организации и исполнителя, как указано в </w:t>
      </w:r>
      <w:hyperlink r:id="rId147" w:history="1">
        <w:r w:rsidRPr="00107B29">
          <w:rPr>
            <w:rStyle w:val="Hyperlink"/>
            <w:lang w:val="ru-RU"/>
          </w:rPr>
          <w:t>дорожных картах МСЭ по направлениям деятельности ВВУИО за 2023 год</w:t>
        </w:r>
      </w:hyperlink>
      <w:r w:rsidRPr="00107B29">
        <w:rPr>
          <w:lang w:val="ru-RU"/>
        </w:rPr>
        <w:t xml:space="preserve">. </w:t>
      </w:r>
    </w:p>
    <w:p w14:paraId="287C406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Другие виды деятельности, проводимые под руководством МСЭ в рамках мероприятия высокого уровня Форума ВВУИО+20, будут включать, среди прочего, подготовку отчетов о 20</w:t>
      </w:r>
      <w:r>
        <w:t> </w:t>
      </w:r>
      <w:r w:rsidRPr="00107B29">
        <w:rPr>
          <w:lang w:val="ru-RU"/>
        </w:rPr>
        <w:t xml:space="preserve">летнем </w:t>
      </w:r>
      <w:hyperlink r:id="rId148" w:history="1">
        <w:r w:rsidRPr="00107B29">
          <w:rPr>
            <w:rStyle w:val="Hyperlink"/>
            <w:lang w:val="ru-RU"/>
          </w:rPr>
          <w:t>анализе выполнения решений ВВУИО</w:t>
        </w:r>
      </w:hyperlink>
      <w:r w:rsidRPr="00107B29">
        <w:rPr>
          <w:lang w:val="ru-RU"/>
        </w:rPr>
        <w:t xml:space="preserve">, </w:t>
      </w:r>
      <w:hyperlink r:id="rId149" w:history="1">
        <w:r w:rsidRPr="00107B29">
          <w:rPr>
            <w:rStyle w:val="Hyperlink"/>
            <w:lang w:val="ru-RU"/>
          </w:rPr>
          <w:t>награды ВВУИО 2024 года</w:t>
        </w:r>
      </w:hyperlink>
      <w:r w:rsidRPr="00107B29">
        <w:rPr>
          <w:lang w:val="ru-RU"/>
        </w:rPr>
        <w:t xml:space="preserve">, которые будут вручаться на специальной церемонии в рамках мероприятия высокого уровня, другие </w:t>
      </w:r>
      <w:hyperlink r:id="rId150" w:history="1">
        <w:r w:rsidRPr="00C73A8C">
          <w:rPr>
            <w:rStyle w:val="Hyperlink"/>
            <w:lang w:val="ru-RU"/>
          </w:rPr>
          <w:t>специальные призы ВВУИО</w:t>
        </w:r>
      </w:hyperlink>
      <w:r w:rsidRPr="00107B29">
        <w:rPr>
          <w:lang w:val="ru-RU"/>
        </w:rPr>
        <w:t xml:space="preserve">; также будет организован </w:t>
      </w:r>
      <w:hyperlink r:id="rId151" w:history="1">
        <w:r w:rsidRPr="00107B29">
          <w:rPr>
            <w:rStyle w:val="Hyperlink"/>
            <w:lang w:val="ru-RU"/>
          </w:rPr>
          <w:t xml:space="preserve">сегмент </w:t>
        </w:r>
        <w:proofErr w:type="spellStart"/>
        <w:r w:rsidRPr="00107B29">
          <w:rPr>
            <w:rStyle w:val="Hyperlink"/>
            <w:lang w:val="ru-RU"/>
          </w:rPr>
          <w:t>TalkX</w:t>
        </w:r>
        <w:proofErr w:type="spellEnd"/>
        <w:r w:rsidRPr="00107B29">
          <w:rPr>
            <w:rStyle w:val="Hyperlink"/>
            <w:lang w:val="ru-RU"/>
          </w:rPr>
          <w:t xml:space="preserve"> в ВВУИО&amp;ЦУР</w:t>
        </w:r>
      </w:hyperlink>
      <w:r w:rsidRPr="00107B29">
        <w:rPr>
          <w:lang w:val="ru-RU"/>
        </w:rPr>
        <w:t xml:space="preserve">, включая </w:t>
      </w:r>
      <w:hyperlink r:id="rId152" w:history="1">
        <w:proofErr w:type="spellStart"/>
        <w:r w:rsidRPr="00107B29">
          <w:rPr>
            <w:rStyle w:val="Hyperlink"/>
            <w:lang w:val="ru-RU"/>
          </w:rPr>
          <w:t>хакатон</w:t>
        </w:r>
        <w:proofErr w:type="spellEnd"/>
      </w:hyperlink>
      <w:r w:rsidRPr="00107B29">
        <w:rPr>
          <w:lang w:val="ru-RU"/>
        </w:rPr>
        <w:t xml:space="preserve"> и специальный день, посвященный молодежной проблематике. Все эти виды деятельности соответствуют ЦУР и будут и далее реализовываться в рамках </w:t>
      </w:r>
      <w:hyperlink r:id="rId153" w:history="1">
        <w:r w:rsidRPr="00107B29">
          <w:rPr>
            <w:rStyle w:val="Hyperlink"/>
            <w:lang w:val="ru-RU"/>
          </w:rPr>
          <w:t>матрицы ВВУИО</w:t>
        </w:r>
        <w:r w:rsidRPr="00C73A8C">
          <w:rPr>
            <w:rStyle w:val="Hyperlink"/>
            <w:lang w:val="ru-RU"/>
          </w:rPr>
          <w:noBreakHyphen/>
        </w:r>
        <w:r w:rsidRPr="00107B29">
          <w:rPr>
            <w:rStyle w:val="Hyperlink"/>
            <w:lang w:val="ru-RU"/>
          </w:rPr>
          <w:t>ЦУР</w:t>
        </w:r>
      </w:hyperlink>
      <w:r w:rsidRPr="00107B29">
        <w:rPr>
          <w:lang w:val="ru-RU"/>
        </w:rPr>
        <w:t>, разработанной учреждениями ООН. Отчет о результатах мероприятия высокого уровня Форума ВВУИО+20 будет представлен Совету МСЭ 2025 года.</w:t>
      </w:r>
    </w:p>
    <w:p w14:paraId="41BF8F40" w14:textId="77777777" w:rsidR="00F80885" w:rsidRPr="00107B29" w:rsidRDefault="00F80885" w:rsidP="0039616D">
      <w:pPr>
        <w:pStyle w:val="Heading1"/>
        <w:rPr>
          <w:lang w:val="ru-RU"/>
        </w:rPr>
      </w:pPr>
      <w:bookmarkStart w:id="137" w:name="_Toc164927172"/>
      <w:bookmarkStart w:id="138" w:name="_Toc168049906"/>
      <w:bookmarkStart w:id="139" w:name="_Toc168050276"/>
      <w:r w:rsidRPr="0039616D">
        <w:rPr>
          <w:lang w:val="ru-RU"/>
        </w:rPr>
        <w:t>7</w:t>
      </w:r>
      <w:r w:rsidRPr="0039616D">
        <w:rPr>
          <w:lang w:val="ru-RU"/>
        </w:rPr>
        <w:tab/>
      </w:r>
      <w:r w:rsidRPr="00107B29">
        <w:rPr>
          <w:lang w:val="ru-RU"/>
        </w:rPr>
        <w:t>Соединение людей и идей</w:t>
      </w:r>
      <w:bookmarkEnd w:id="137"/>
      <w:bookmarkEnd w:id="138"/>
      <w:bookmarkEnd w:id="139"/>
    </w:p>
    <w:p w14:paraId="6CE7704D" w14:textId="77777777" w:rsidR="00F80885" w:rsidRPr="00107B29" w:rsidRDefault="00F80885" w:rsidP="0039616D">
      <w:pPr>
        <w:pStyle w:val="Heading2"/>
        <w:rPr>
          <w:lang w:val="ru-RU"/>
        </w:rPr>
      </w:pPr>
      <w:bookmarkStart w:id="140" w:name="_Toc37860465"/>
      <w:bookmarkStart w:id="141" w:name="_Toc37861226"/>
      <w:bookmarkStart w:id="142" w:name="_Toc37943349"/>
      <w:bookmarkStart w:id="143" w:name="Section_1_11"/>
      <w:bookmarkStart w:id="144" w:name="_Toc339935957"/>
      <w:bookmarkStart w:id="145" w:name="_Toc164927173"/>
      <w:bookmarkStart w:id="146" w:name="_Toc168049907"/>
      <w:bookmarkStart w:id="147" w:name="_Toc168050277"/>
      <w:r w:rsidRPr="00107B29">
        <w:rPr>
          <w:lang w:val="ru-RU"/>
        </w:rPr>
        <w:t>7.1</w:t>
      </w:r>
      <w:r w:rsidRPr="00107B29">
        <w:rPr>
          <w:lang w:val="ru-RU"/>
        </w:rPr>
        <w:tab/>
        <w:t xml:space="preserve">Собрания высокого уровня </w:t>
      </w:r>
      <w:r w:rsidRPr="0039616D">
        <w:rPr>
          <w:lang w:val="ru-RU"/>
        </w:rPr>
        <w:t>−</w:t>
      </w:r>
      <w:r w:rsidRPr="00107B29">
        <w:rPr>
          <w:lang w:val="ru-RU"/>
        </w:rPr>
        <w:t xml:space="preserve"> соединение людей и идей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</w:p>
    <w:p w14:paraId="05CC22F3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Наряду с четырехлетним циклом уставных конференций МСЭ и каждого из его Секторов, организация созывает встречи высокого уровня и поддерживает постоянное активное </w:t>
      </w:r>
      <w:r w:rsidRPr="00107B29">
        <w:rPr>
          <w:lang w:val="ru-RU"/>
        </w:rPr>
        <w:lastRenderedPageBreak/>
        <w:t>взаимодействие с заинтересованными сторонами для продвижения цифровой трансформации в соответствии с принципами устойчивого развития.</w:t>
      </w:r>
    </w:p>
    <w:p w14:paraId="03658A31" w14:textId="77777777" w:rsidR="00F80885" w:rsidRPr="00107B29" w:rsidRDefault="00F80885" w:rsidP="0039616D">
      <w:pPr>
        <w:pStyle w:val="Headingb"/>
        <w:rPr>
          <w:lang w:val="ru-RU"/>
        </w:rPr>
      </w:pPr>
      <w:r w:rsidRPr="00107B29">
        <w:rPr>
          <w:lang w:val="ru-RU"/>
        </w:rPr>
        <w:t>Глобальный симпозиум для регуляторных органов</w:t>
      </w:r>
    </w:p>
    <w:p w14:paraId="697318F8" w14:textId="77777777" w:rsidR="00F80885" w:rsidRPr="00107B29" w:rsidRDefault="00F80885" w:rsidP="00107B29">
      <w:pPr>
        <w:rPr>
          <w:b/>
          <w:lang w:val="ru-RU"/>
        </w:rPr>
      </w:pPr>
      <w:r w:rsidRPr="00107B29">
        <w:rPr>
          <w:lang w:val="ru-RU"/>
        </w:rPr>
        <w:t>Последний Глобальный симпозиум МСЭ для регуляторных органов (</w:t>
      </w:r>
      <w:hyperlink r:id="rId154" w:history="1">
        <w:r w:rsidRPr="00107B29">
          <w:rPr>
            <w:rStyle w:val="Hyperlink"/>
            <w:lang w:val="ru-RU"/>
          </w:rPr>
          <w:t>ГСР-23</w:t>
        </w:r>
      </w:hyperlink>
      <w:r w:rsidRPr="00107B29">
        <w:rPr>
          <w:lang w:val="ru-RU"/>
        </w:rPr>
        <w:t xml:space="preserve">) был посвящен теме "Регулирование для устойчивого цифрового будущего". В рамках мероприятия прошли тематические сессии, на которых собрались представители регуляторных органов, директивных органов и других заинтересованных сторон в сфере цифровых технологий из всех регионов мира, а также была организована глобальная платформа для обмена знаниями. </w:t>
      </w:r>
      <w:hyperlink r:id="rId155" w:history="1">
        <w:r w:rsidRPr="00107B29">
          <w:rPr>
            <w:rStyle w:val="Hyperlink"/>
            <w:lang w:val="ru-RU"/>
          </w:rPr>
          <w:t>Узнать больше</w:t>
        </w:r>
      </w:hyperlink>
      <w:r w:rsidRPr="00107B29">
        <w:rPr>
          <w:lang w:val="ru-RU"/>
        </w:rPr>
        <w:t>.</w:t>
      </w:r>
    </w:p>
    <w:p w14:paraId="7F91D182" w14:textId="77777777" w:rsidR="00F80885" w:rsidRPr="00107B29" w:rsidRDefault="00F80885" w:rsidP="0039616D">
      <w:pPr>
        <w:pStyle w:val="Headingb"/>
        <w:rPr>
          <w:lang w:val="ru-RU"/>
        </w:rPr>
      </w:pPr>
      <w:r w:rsidRPr="00107B29">
        <w:rPr>
          <w:lang w:val="ru-RU"/>
        </w:rPr>
        <w:t>Мероприятие высокого уровня Форума ВВУИО+20</w:t>
      </w:r>
    </w:p>
    <w:p w14:paraId="181F6C4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См. раздел 4.7.</w:t>
      </w:r>
    </w:p>
    <w:p w14:paraId="0888AF31" w14:textId="77777777" w:rsidR="00F80885" w:rsidRPr="00107B29" w:rsidRDefault="00F80885" w:rsidP="009F1CDC">
      <w:pPr>
        <w:pStyle w:val="Heading2"/>
        <w:rPr>
          <w:lang w:val="ru-RU"/>
        </w:rPr>
      </w:pPr>
      <w:bookmarkStart w:id="148" w:name="_Toc168049908"/>
      <w:bookmarkStart w:id="149" w:name="_Toc168050278"/>
      <w:bookmarkStart w:id="150" w:name="_Toc37860464"/>
      <w:bookmarkStart w:id="151" w:name="_Toc37861225"/>
      <w:bookmarkStart w:id="152" w:name="_Toc37943348"/>
      <w:bookmarkStart w:id="153" w:name="_Toc1628990078"/>
      <w:bookmarkStart w:id="154" w:name="_Toc164927174"/>
      <w:bookmarkStart w:id="155" w:name="Section_1_10"/>
      <w:r w:rsidRPr="00107B29">
        <w:rPr>
          <w:lang w:val="ru-RU"/>
        </w:rPr>
        <w:t>7.2</w:t>
      </w:r>
      <w:r w:rsidRPr="00107B29">
        <w:rPr>
          <w:lang w:val="ru-RU"/>
        </w:rPr>
        <w:tab/>
        <w:t>Семинары и семинары-практикумы: подробное изучение</w:t>
      </w:r>
      <w:bookmarkEnd w:id="148"/>
      <w:bookmarkEnd w:id="149"/>
      <w:r w:rsidRPr="00107B29">
        <w:rPr>
          <w:lang w:val="ru-RU"/>
        </w:rPr>
        <w:t xml:space="preserve"> </w:t>
      </w:r>
      <w:bookmarkEnd w:id="150"/>
      <w:bookmarkEnd w:id="151"/>
      <w:bookmarkEnd w:id="152"/>
      <w:bookmarkEnd w:id="153"/>
      <w:bookmarkEnd w:id="154"/>
      <w:bookmarkEnd w:id="155"/>
    </w:p>
    <w:p w14:paraId="7EB59967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Углубленные семинары и семинары-практикумы имеют важнейшее значение для работы МСЭ в рамках Секторов радиосвязи, стандартизации и развития.</w:t>
      </w:r>
    </w:p>
    <w:p w14:paraId="17CB03E0" w14:textId="77777777" w:rsidR="00F80885" w:rsidRPr="00107B29" w:rsidRDefault="00F80885" w:rsidP="009F1CDC">
      <w:pPr>
        <w:pStyle w:val="Headingb"/>
        <w:rPr>
          <w:lang w:val="ru-RU"/>
        </w:rPr>
      </w:pPr>
      <w:r w:rsidRPr="00107B29">
        <w:rPr>
          <w:lang w:val="ru-RU"/>
        </w:rPr>
        <w:t>МСЭ</w:t>
      </w:r>
      <w:r w:rsidRPr="00107B29">
        <w:rPr>
          <w:lang w:val="ru-RU"/>
        </w:rPr>
        <w:noBreakHyphen/>
        <w:t>R</w:t>
      </w:r>
    </w:p>
    <w:p w14:paraId="62605ACD" w14:textId="77777777" w:rsidR="00F80885" w:rsidRPr="009372AB" w:rsidRDefault="00F80885" w:rsidP="00107B29">
      <w:pPr>
        <w:rPr>
          <w:lang w:val="ru-RU"/>
        </w:rPr>
      </w:pPr>
      <w:bookmarkStart w:id="156" w:name="_Hlk72319163"/>
      <w:r w:rsidRPr="00107B29">
        <w:rPr>
          <w:lang w:val="ru-RU"/>
        </w:rPr>
        <w:t>РСР-23</w:t>
      </w:r>
    </w:p>
    <w:p w14:paraId="25884DA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В 2023 году МСЭ провел два региональных семинара по радиосвязи </w:t>
      </w:r>
      <w:r w:rsidRPr="009F1CDC">
        <w:rPr>
          <w:lang w:val="ru-RU"/>
        </w:rPr>
        <w:t>−</w:t>
      </w:r>
      <w:r w:rsidRPr="00107B29">
        <w:rPr>
          <w:lang w:val="ru-RU"/>
        </w:rPr>
        <w:t xml:space="preserve"> </w:t>
      </w:r>
      <w:hyperlink r:id="rId156" w:history="1">
        <w:r w:rsidRPr="00107B29">
          <w:rPr>
            <w:rStyle w:val="Hyperlink"/>
            <w:lang w:val="ru-RU"/>
          </w:rPr>
          <w:t>для Северной и Южной Америки</w:t>
        </w:r>
      </w:hyperlink>
      <w:r w:rsidRPr="00107B29">
        <w:rPr>
          <w:lang w:val="ru-RU"/>
        </w:rPr>
        <w:t xml:space="preserve"> и </w:t>
      </w:r>
      <w:hyperlink r:id="rId157" w:history="1">
        <w:r w:rsidRPr="00107B29">
          <w:rPr>
            <w:rStyle w:val="Hyperlink"/>
            <w:lang w:val="ru-RU"/>
          </w:rPr>
          <w:t>для Африки</w:t>
        </w:r>
      </w:hyperlink>
      <w:r w:rsidRPr="00107B29">
        <w:rPr>
          <w:lang w:val="ru-RU"/>
        </w:rPr>
        <w:t xml:space="preserve">. Эти семинары были посвящены вопросам использования радиочастотного спектра и спутниковых орбит, а также применению положений Регламента радиосвязи МСЭ. </w:t>
      </w:r>
    </w:p>
    <w:p w14:paraId="7918D291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Семинары-практикумы</w:t>
      </w:r>
    </w:p>
    <w:p w14:paraId="4852F405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МСЭ провел три семинара-практикума: </w:t>
      </w:r>
    </w:p>
    <w:p w14:paraId="31683AA9" w14:textId="77777777" w:rsidR="00F80885" w:rsidRPr="00107B29" w:rsidRDefault="00F80885" w:rsidP="009F1CDC">
      <w:pPr>
        <w:pStyle w:val="enumlev1"/>
        <w:rPr>
          <w:lang w:val="ru-RU"/>
        </w:rPr>
      </w:pPr>
      <w:r w:rsidRPr="009F1CDC">
        <w:rPr>
          <w:lang w:val="ru-RU"/>
        </w:rPr>
        <w:t>•</w:t>
      </w:r>
      <w:r w:rsidRPr="009F1CDC">
        <w:rPr>
          <w:lang w:val="ru-RU"/>
        </w:rPr>
        <w:tab/>
      </w:r>
      <w:hyperlink r:id="rId158" w:history="1">
        <w:r w:rsidRPr="00107B29">
          <w:rPr>
            <w:rStyle w:val="Hyperlink"/>
            <w:lang w:val="ru-RU"/>
          </w:rPr>
          <w:t>Межрегиональный семинар-практикум МСЭ по подготовке к ВКР-23</w:t>
        </w:r>
        <w:r w:rsidRPr="009372AB">
          <w:rPr>
            <w:lang w:val="ru-RU"/>
          </w:rPr>
          <w:t xml:space="preserve">; </w:t>
        </w:r>
      </w:hyperlink>
    </w:p>
    <w:p w14:paraId="069F2CE1" w14:textId="77777777" w:rsidR="00F80885" w:rsidRPr="00107B29" w:rsidRDefault="00F80885" w:rsidP="009F1CDC">
      <w:pPr>
        <w:pStyle w:val="enumlev1"/>
        <w:rPr>
          <w:lang w:val="ru-RU"/>
        </w:rPr>
      </w:pPr>
      <w:r w:rsidRPr="009F1CDC">
        <w:rPr>
          <w:lang w:val="ru-RU"/>
        </w:rPr>
        <w:t>•</w:t>
      </w:r>
      <w:r w:rsidRPr="009F1CDC">
        <w:rPr>
          <w:lang w:val="ru-RU"/>
        </w:rPr>
        <w:tab/>
      </w:r>
      <w:hyperlink r:id="rId159" w:history="1">
        <w:r w:rsidRPr="00107B29">
          <w:rPr>
            <w:rStyle w:val="Hyperlink"/>
            <w:lang w:val="ru-RU"/>
          </w:rPr>
          <w:t>"МСЭ на службе космоса"</w:t>
        </w:r>
        <w:r w:rsidRPr="009372AB">
          <w:rPr>
            <w:lang w:val="ru-RU"/>
          </w:rPr>
          <w:t xml:space="preserve">; </w:t>
        </w:r>
      </w:hyperlink>
    </w:p>
    <w:p w14:paraId="23897228" w14:textId="77777777" w:rsidR="00F80885" w:rsidRPr="009372AB" w:rsidRDefault="00F80885" w:rsidP="009F1CDC">
      <w:pPr>
        <w:pStyle w:val="enumlev1"/>
        <w:rPr>
          <w:lang w:val="ru-RU"/>
        </w:rPr>
      </w:pPr>
      <w:r w:rsidRPr="009372AB">
        <w:rPr>
          <w:lang w:val="ru-RU"/>
        </w:rPr>
        <w:t>•</w:t>
      </w:r>
      <w:r w:rsidRPr="009372AB">
        <w:rPr>
          <w:lang w:val="ru-RU"/>
        </w:rPr>
        <w:tab/>
      </w:r>
      <w:hyperlink r:id="rId160" w:history="1">
        <w:r w:rsidRPr="00107B29">
          <w:rPr>
            <w:rStyle w:val="Hyperlink"/>
            <w:lang w:val="ru-RU"/>
          </w:rPr>
          <w:t>"Радиовещание в кризисные периоды"</w:t>
        </w:r>
        <w:r w:rsidRPr="009372AB">
          <w:rPr>
            <w:lang w:val="ru-RU"/>
          </w:rPr>
          <w:t xml:space="preserve">. </w:t>
        </w:r>
      </w:hyperlink>
    </w:p>
    <w:p w14:paraId="6AED27C5" w14:textId="77777777" w:rsidR="00F80885" w:rsidRPr="00107B29" w:rsidRDefault="00F80885" w:rsidP="009F1CDC">
      <w:pPr>
        <w:pStyle w:val="Headingb"/>
        <w:rPr>
          <w:lang w:val="ru-RU"/>
        </w:rPr>
      </w:pPr>
      <w:r w:rsidRPr="00107B29">
        <w:rPr>
          <w:lang w:val="ru-RU"/>
        </w:rPr>
        <w:t>МСЭ-Т</w:t>
      </w:r>
    </w:p>
    <w:p w14:paraId="271B9619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За отчетный период было организовано 89 семинаров-практикумов, симпозиумов и вебинаров МСЭ-Т в дополнение к еженедельной постоянно действующей программе работы цифровой платформы "</w:t>
      </w:r>
      <w:hyperlink r:id="rId161" w:history="1">
        <w:r w:rsidRPr="00107B29">
          <w:rPr>
            <w:rStyle w:val="Hyperlink"/>
            <w:lang w:val="ru-RU"/>
          </w:rPr>
          <w:t>ИИ во благо</w:t>
        </w:r>
      </w:hyperlink>
      <w:r w:rsidRPr="00107B29">
        <w:rPr>
          <w:lang w:val="ru-RU"/>
        </w:rPr>
        <w:t xml:space="preserve">". С перечнем всех прошедших и запланированных мероприятий можно ознакомиться на </w:t>
      </w:r>
      <w:hyperlink r:id="rId162" w:history="1">
        <w:r w:rsidRPr="00107B29">
          <w:rPr>
            <w:rStyle w:val="Hyperlink"/>
            <w:lang w:val="ru-RU"/>
          </w:rPr>
          <w:t>домашней странице</w:t>
        </w:r>
      </w:hyperlink>
      <w:r w:rsidRPr="00107B29">
        <w:rPr>
          <w:lang w:val="ru-RU"/>
        </w:rPr>
        <w:t xml:space="preserve"> семинаров-практикумов МСЭ-Т. </w:t>
      </w:r>
    </w:p>
    <w:p w14:paraId="6859F55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На семинарах-практикумах, симпозиумах и вебинарах МСЭ обсуждаются формирующиеся тенденции в области стандартизации, расширяется осведомленность о работе МСЭ-Т, укрепляется сотрудничество МСЭ-Т с другими органами, происходит привлечение и набор новых членов МСЭ-Т, а также стимулируется взаимное обучение в области разработки и реализации международных стандартов. </w:t>
      </w:r>
    </w:p>
    <w:p w14:paraId="5E266758" w14:textId="77777777" w:rsidR="00F80885" w:rsidRPr="00107B29" w:rsidRDefault="00F80885" w:rsidP="009F1CDC">
      <w:pPr>
        <w:pStyle w:val="Headingb"/>
        <w:rPr>
          <w:lang w:val="ru-RU"/>
        </w:rPr>
      </w:pPr>
      <w:r w:rsidRPr="00107B29">
        <w:rPr>
          <w:lang w:val="ru-RU"/>
        </w:rPr>
        <w:t>МСЭ-D</w:t>
      </w:r>
    </w:p>
    <w:bookmarkEnd w:id="156"/>
    <w:p w14:paraId="0257792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Информация по этому вопросу содержится в отчете БРЭ для КГРЭ.</w:t>
      </w:r>
    </w:p>
    <w:p w14:paraId="70CFB35E" w14:textId="77777777" w:rsidR="00F80885" w:rsidRPr="00107B29" w:rsidRDefault="00F80885" w:rsidP="009F1CDC">
      <w:pPr>
        <w:pStyle w:val="Heading2"/>
        <w:rPr>
          <w:lang w:val="ru-RU"/>
        </w:rPr>
      </w:pPr>
      <w:bookmarkStart w:id="157" w:name="_Toc164927175"/>
      <w:bookmarkStart w:id="158" w:name="_Toc168049909"/>
      <w:bookmarkStart w:id="159" w:name="_Toc168050279"/>
      <w:r w:rsidRPr="00107B29">
        <w:rPr>
          <w:lang w:val="ru-RU"/>
        </w:rPr>
        <w:t>7.3</w:t>
      </w:r>
      <w:r w:rsidRPr="00107B29">
        <w:rPr>
          <w:lang w:val="ru-RU"/>
        </w:rPr>
        <w:tab/>
        <w:t>Привлечение академических организаций к работе МСЭ</w:t>
      </w:r>
      <w:bookmarkEnd w:id="157"/>
      <w:bookmarkEnd w:id="158"/>
      <w:bookmarkEnd w:id="159"/>
    </w:p>
    <w:p w14:paraId="6B21140F" w14:textId="77777777" w:rsidR="00F80885" w:rsidRPr="00107B29" w:rsidRDefault="00F80885" w:rsidP="00107B29">
      <w:pPr>
        <w:rPr>
          <w:lang w:val="ru-RU"/>
        </w:rPr>
      </w:pPr>
      <w:bookmarkStart w:id="160" w:name="_Hlk92298430"/>
      <w:r w:rsidRPr="00107B29">
        <w:rPr>
          <w:lang w:val="ru-RU"/>
        </w:rPr>
        <w:t xml:space="preserve">Важнейшими форматами участия научных кругов в работе МСЭ являются членство в МСЭ в качестве </w:t>
      </w:r>
      <w:hyperlink r:id="rId163" w:history="1">
        <w:r w:rsidRPr="00107B29">
          <w:rPr>
            <w:rStyle w:val="Hyperlink"/>
            <w:lang w:val="ru-RU"/>
          </w:rPr>
          <w:t>академических организаций</w:t>
        </w:r>
      </w:hyperlink>
      <w:r w:rsidRPr="00107B29">
        <w:rPr>
          <w:lang w:val="ru-RU"/>
        </w:rPr>
        <w:t>, публикации в журнале МСЭ "</w:t>
      </w:r>
      <w:hyperlink r:id="rId164" w:history="1">
        <w:r w:rsidRPr="00107B29">
          <w:rPr>
            <w:rStyle w:val="Hyperlink"/>
            <w:lang w:val="ru-RU"/>
          </w:rPr>
          <w:t xml:space="preserve">Будущие и развивающиеся </w:t>
        </w:r>
        <w:r w:rsidRPr="00107B29">
          <w:rPr>
            <w:rStyle w:val="Hyperlink"/>
            <w:lang w:val="ru-RU"/>
          </w:rPr>
          <w:lastRenderedPageBreak/>
          <w:t>технологии</w:t>
        </w:r>
      </w:hyperlink>
      <w:r w:rsidRPr="00107B29">
        <w:rPr>
          <w:lang w:val="ru-RU"/>
        </w:rPr>
        <w:t>" и конференции "</w:t>
      </w:r>
      <w:hyperlink r:id="rId165" w:history="1">
        <w:r w:rsidRPr="00107B29">
          <w:rPr>
            <w:rStyle w:val="Hyperlink"/>
            <w:lang w:val="ru-RU"/>
          </w:rPr>
          <w:t>Калейдоскоп МСЭ</w:t>
        </w:r>
      </w:hyperlink>
      <w:r w:rsidRPr="00107B29">
        <w:rPr>
          <w:lang w:val="ru-RU"/>
        </w:rPr>
        <w:t>". Они поддерживают развивающееся сотрудничество между академическими и отраслевыми организациями в области исследований и разработок, а также в выведении новейших инноваций на рынок.</w:t>
      </w:r>
    </w:p>
    <w:p w14:paraId="6F0B7E67" w14:textId="77777777" w:rsidR="00F80885" w:rsidRPr="00107B29" w:rsidRDefault="00F80885" w:rsidP="009F1CDC">
      <w:pPr>
        <w:pStyle w:val="Headingb"/>
        <w:rPr>
          <w:lang w:val="ru-RU"/>
        </w:rPr>
      </w:pPr>
      <w:r w:rsidRPr="00107B29">
        <w:rPr>
          <w:lang w:val="ru-RU"/>
        </w:rPr>
        <w:t xml:space="preserve">Журнал МСЭ </w:t>
      </w:r>
    </w:p>
    <w:p w14:paraId="26FD3878" w14:textId="77777777" w:rsidR="00F80885" w:rsidRPr="00107B29" w:rsidRDefault="00177CCD" w:rsidP="00107B29">
      <w:pPr>
        <w:rPr>
          <w:lang w:val="ru-RU"/>
        </w:rPr>
      </w:pPr>
      <w:hyperlink r:id="rId166" w:history="1">
        <w:r w:rsidR="00F80885" w:rsidRPr="00107B29">
          <w:rPr>
            <w:rStyle w:val="Hyperlink"/>
            <w:lang w:val="ru-RU"/>
          </w:rPr>
          <w:t>Журнал МСЭ "Будущие и развивающиеся технологии" (J-FET МСЭ)</w:t>
        </w:r>
      </w:hyperlink>
      <w:r w:rsidR="00F80885" w:rsidRPr="00107B29">
        <w:rPr>
          <w:lang w:val="ru-RU"/>
        </w:rPr>
        <w:t xml:space="preserve"> обеспечивает всестороннее освещение парадигм связи и сетей и является бесплатным как для читателей, так и для авторов. Журнал выпускается в онлайновом формате и принимает исследовательские работы в любое время и по любым темам. </w:t>
      </w:r>
    </w:p>
    <w:p w14:paraId="5B6C219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Также журнал содержит </w:t>
      </w:r>
      <w:hyperlink r:id="rId167" w:history="1">
        <w:r w:rsidRPr="00107B29">
          <w:rPr>
            <w:rStyle w:val="Hyperlink"/>
            <w:lang w:val="ru-RU"/>
          </w:rPr>
          <w:t>записи вебинаров</w:t>
        </w:r>
      </w:hyperlink>
      <w:r w:rsidRPr="00107B29">
        <w:rPr>
          <w:lang w:val="ru-RU"/>
        </w:rPr>
        <w:t xml:space="preserve"> с исследователями и лидерами отрасли. В рамках новой специальной серии вебинаров журнала с руководителями компаний отрасли, которая выходит с 2023 года, состоялись обсуждения с участием представителей NTT DOCOMO, O-RAN Alliance, Ассоциации GSM, Nokia и China Mobile. </w:t>
      </w:r>
    </w:p>
    <w:p w14:paraId="5E51A16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журнале МСЭ (Том 4 (2023 г.), выпуск 4) основное внимание уделяется инновациям, которые стимулируют развитие метавселенной, а также ИИ для обеспечения доступности. В том же издании также представлены исследования в области связи между транспортными средствами с различными объектами, периферийных вычислений и организации сетей спутников на низкой околоземной орбите.</w:t>
      </w:r>
    </w:p>
    <w:p w14:paraId="7CAAD14C" w14:textId="77777777" w:rsidR="00F80885" w:rsidRPr="00107B29" w:rsidRDefault="00F80885" w:rsidP="009F1CDC">
      <w:pPr>
        <w:pStyle w:val="Headingb"/>
        <w:rPr>
          <w:lang w:val="ru-RU"/>
        </w:rPr>
      </w:pPr>
      <w:r w:rsidRPr="00107B29">
        <w:rPr>
          <w:lang w:val="ru-RU"/>
        </w:rPr>
        <w:t xml:space="preserve">Научная конференция "Калейдоскоп" </w:t>
      </w:r>
    </w:p>
    <w:p w14:paraId="402C56BB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рамках серии научных конференций МСЭ по профессиональному обмену опытом "</w:t>
      </w:r>
      <w:hyperlink r:id="rId168" w:history="1">
        <w:r w:rsidRPr="00107B29">
          <w:rPr>
            <w:rStyle w:val="Hyperlink"/>
            <w:lang w:val="ru-RU"/>
          </w:rPr>
          <w:t>Калейдоскоп</w:t>
        </w:r>
      </w:hyperlink>
      <w:r w:rsidRPr="00107B29">
        <w:rPr>
          <w:lang w:val="ru-RU"/>
        </w:rPr>
        <w:t>", организованной при технической поддержке Института инженеров по электротехнике и радиоэлектронике (IEEE) и Общества связи IEEE, освещаются новые тенденции в исследованиях появляющихся технологий и их последствия для международной стандартизации.</w:t>
      </w:r>
      <w:bookmarkEnd w:id="160"/>
    </w:p>
    <w:p w14:paraId="0008232C" w14:textId="77777777" w:rsidR="00F80885" w:rsidRPr="00107B29" w:rsidRDefault="00F80885" w:rsidP="009F1CDC">
      <w:pPr>
        <w:pStyle w:val="Heading1"/>
        <w:rPr>
          <w:lang w:val="ru-RU"/>
        </w:rPr>
      </w:pPr>
      <w:bookmarkStart w:id="161" w:name="_Toc1006379446"/>
      <w:bookmarkStart w:id="162" w:name="_Toc164927176"/>
      <w:bookmarkStart w:id="163" w:name="_Toc168049910"/>
      <w:bookmarkStart w:id="164" w:name="_Toc168050280"/>
      <w:r w:rsidRPr="00107B29">
        <w:rPr>
          <w:lang w:val="ru-RU"/>
        </w:rPr>
        <w:t>8</w:t>
      </w:r>
      <w:r w:rsidRPr="00107B29">
        <w:rPr>
          <w:lang w:val="ru-RU"/>
        </w:rPr>
        <w:tab/>
        <w:t>Техническая поддержка</w:t>
      </w:r>
      <w:bookmarkEnd w:id="161"/>
      <w:bookmarkEnd w:id="162"/>
      <w:bookmarkEnd w:id="163"/>
      <w:bookmarkEnd w:id="164"/>
    </w:p>
    <w:p w14:paraId="5339FD4A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МСЭ в качестве специализированного учреждения ООН предоставляет обширные технические специальные знания и осуществляет координацию, а также выступает в качестве учреждения-исполнителя проектов цифрового развития, направленных на предоставление преимуществ связи всем людям, где бы они ни находились.</w:t>
      </w:r>
    </w:p>
    <w:p w14:paraId="72B6E37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Сектор развития МСЭ (МСЭ-D) выполняет ключевую функцию реализации проектов в соответствии с соглашениями, заключенными с партнерами по финансированию. Такие проекты направлены на содействие развитию электросвязи и его активизацию путем предложения, организации и координации деятельности по техническому сотрудничеству и оказанию помощи. </w:t>
      </w:r>
    </w:p>
    <w:p w14:paraId="6D411CB3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этом отношении в течение 2023 года было реализовано 87 проектов на общую сумму 106,4</w:t>
      </w:r>
      <w:r>
        <w:rPr>
          <w:lang w:val="en-US"/>
        </w:rPr>
        <w:t> </w:t>
      </w:r>
      <w:r w:rsidRPr="00107B29">
        <w:rPr>
          <w:lang w:val="ru-RU"/>
        </w:rPr>
        <w:t xml:space="preserve">млн. швейцарских франков. В таблице, ниже, представлена информация об общем распределении этих средств по регионам и обзор 1) средств, привлеченных для поддержки реализации этих проектов; 2) начальных средств, выделенных МСЭ из Фонда развития ИКТ (ФРИКТ) или других фондов МСЭ для поддержки выполнения региональных инициатив, одобренных на Всемирных конференциях по развитию электросвязи в 2017 и 2022 годах. </w:t>
      </w:r>
    </w:p>
    <w:p w14:paraId="75F70286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>В 2023 году МСЭ подписал соглашения в общей сложности по 23 новым проектам на сумму 20,9 млн. швейцарских франков. Эти цифры подтверждают наблюдаемую с 2017 года положительную тенденцию увеличения средств, привлекаемых БРЭ для поддержки проектов.</w:t>
      </w:r>
    </w:p>
    <w:p w14:paraId="2028C67E" w14:textId="77777777" w:rsidR="00F80885" w:rsidRPr="00107B29" w:rsidRDefault="00F80885" w:rsidP="00D25E4D">
      <w:pPr>
        <w:spacing w:after="240"/>
        <w:rPr>
          <w:lang w:val="ru-RU"/>
        </w:rPr>
      </w:pPr>
      <w:r w:rsidRPr="00107B29">
        <w:rPr>
          <w:lang w:val="ru-RU"/>
        </w:rPr>
        <w:lastRenderedPageBreak/>
        <w:t xml:space="preserve">С более подробной информацией и данными по реализации проектов можно ознакомиться на портале проектов и на новой </w:t>
      </w:r>
      <w:hyperlink r:id="rId169" w:history="1">
        <w:r w:rsidRPr="00107B29">
          <w:rPr>
            <w:rStyle w:val="Hyperlink"/>
            <w:lang w:val="ru-RU"/>
          </w:rPr>
          <w:t>информационной панели</w:t>
        </w:r>
      </w:hyperlink>
      <w:r w:rsidRPr="00107B29">
        <w:rPr>
          <w:lang w:val="ru-RU"/>
        </w:rPr>
        <w:t xml:space="preserve"> для Членов МСЭ, посвященной статусу проектов (необходим доступ к TIES).</w:t>
      </w:r>
    </w:p>
    <w:p w14:paraId="57539455" w14:textId="77777777" w:rsidR="00F80885" w:rsidRPr="00107B29" w:rsidRDefault="00F80885" w:rsidP="009F1CDC">
      <w:pPr>
        <w:pStyle w:val="Tabletitle"/>
        <w:rPr>
          <w:lang w:val="ru-RU"/>
        </w:rPr>
      </w:pPr>
      <w:r w:rsidRPr="00107B29">
        <w:rPr>
          <w:lang w:val="ru-RU"/>
        </w:rPr>
        <w:t>Обзор выполняемых проектов МСЭ в разбивке по регионам (в тыс. шв. франков)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3"/>
        <w:gridCol w:w="1170"/>
        <w:gridCol w:w="1449"/>
        <w:gridCol w:w="1169"/>
        <w:gridCol w:w="1169"/>
        <w:gridCol w:w="1560"/>
      </w:tblGrid>
      <w:tr w:rsidR="00F80885" w:rsidRPr="00177CCD" w14:paraId="034673F2" w14:textId="77777777" w:rsidTr="004D5F0A">
        <w:trPr>
          <w:trHeight w:val="852"/>
          <w:jc w:val="center"/>
        </w:trPr>
        <w:tc>
          <w:tcPr>
            <w:tcW w:w="1983" w:type="dxa"/>
            <w:shd w:val="clear" w:color="auto" w:fill="8DB3E2" w:themeFill="text2" w:themeFillTint="66"/>
            <w:noWrap/>
            <w:vAlign w:val="center"/>
            <w:hideMark/>
          </w:tcPr>
          <w:p w14:paraId="3C6E6270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>Регион</w:t>
            </w:r>
          </w:p>
        </w:tc>
        <w:tc>
          <w:tcPr>
            <w:tcW w:w="1170" w:type="dxa"/>
            <w:shd w:val="clear" w:color="auto" w:fill="8DB3E2" w:themeFill="text2" w:themeFillTint="66"/>
            <w:noWrap/>
            <w:vAlign w:val="center"/>
            <w:hideMark/>
          </w:tcPr>
          <w:p w14:paraId="71C32931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>Кол-во проектов</w:t>
            </w:r>
          </w:p>
        </w:tc>
        <w:tc>
          <w:tcPr>
            <w:tcW w:w="1449" w:type="dxa"/>
            <w:shd w:val="clear" w:color="auto" w:fill="8DB3E2" w:themeFill="text2" w:themeFillTint="66"/>
            <w:noWrap/>
            <w:vAlign w:val="center"/>
            <w:hideMark/>
          </w:tcPr>
          <w:p w14:paraId="67103A14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 xml:space="preserve">Средства от партнеров </w:t>
            </w:r>
          </w:p>
        </w:tc>
        <w:tc>
          <w:tcPr>
            <w:tcW w:w="1169" w:type="dxa"/>
            <w:shd w:val="clear" w:color="auto" w:fill="8DB3E2" w:themeFill="text2" w:themeFillTint="66"/>
            <w:noWrap/>
            <w:vAlign w:val="center"/>
          </w:tcPr>
          <w:p w14:paraId="74910613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>Фонды МСЭ (ФРИКТ)</w:t>
            </w:r>
          </w:p>
        </w:tc>
        <w:tc>
          <w:tcPr>
            <w:tcW w:w="1169" w:type="dxa"/>
            <w:shd w:val="clear" w:color="auto" w:fill="8DB3E2" w:themeFill="text2" w:themeFillTint="66"/>
            <w:noWrap/>
            <w:vAlign w:val="center"/>
          </w:tcPr>
          <w:p w14:paraId="7AA30DEB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>Фонды МСЭ (РИ)</w:t>
            </w:r>
          </w:p>
        </w:tc>
        <w:tc>
          <w:tcPr>
            <w:tcW w:w="1560" w:type="dxa"/>
            <w:shd w:val="clear" w:color="auto" w:fill="8DB3E2" w:themeFill="text2" w:themeFillTint="66"/>
            <w:noWrap/>
            <w:vAlign w:val="center"/>
            <w:hideMark/>
          </w:tcPr>
          <w:p w14:paraId="5C59FCDC" w14:textId="77777777" w:rsidR="00F80885" w:rsidRPr="00107B29" w:rsidRDefault="00F80885" w:rsidP="009F1CDC">
            <w:pPr>
              <w:pStyle w:val="Tablehead"/>
              <w:rPr>
                <w:lang w:val="ru-RU"/>
              </w:rPr>
            </w:pPr>
            <w:r w:rsidRPr="00107B29">
              <w:rPr>
                <w:lang w:val="ru-RU"/>
              </w:rPr>
              <w:t>Общая сумма средств на проекты</w:t>
            </w:r>
          </w:p>
        </w:tc>
      </w:tr>
      <w:tr w:rsidR="00F80885" w:rsidRPr="00107B29" w14:paraId="2F2742EC" w14:textId="77777777" w:rsidTr="004D5F0A">
        <w:trPr>
          <w:trHeight w:val="54"/>
          <w:jc w:val="center"/>
        </w:trPr>
        <w:tc>
          <w:tcPr>
            <w:tcW w:w="1983" w:type="dxa"/>
            <w:hideMark/>
          </w:tcPr>
          <w:p w14:paraId="40DAAD3B" w14:textId="77777777" w:rsidR="00F80885" w:rsidRPr="00312D23" w:rsidRDefault="00F80885" w:rsidP="009F1CDC">
            <w:pPr>
              <w:pStyle w:val="Tabletext"/>
            </w:pPr>
            <w:r w:rsidRPr="00107B29">
              <w:rPr>
                <w:lang w:val="ru-RU"/>
              </w:rPr>
              <w:t>АФР</w:t>
            </w:r>
          </w:p>
        </w:tc>
        <w:tc>
          <w:tcPr>
            <w:tcW w:w="1170" w:type="dxa"/>
            <w:noWrap/>
            <w:vAlign w:val="bottom"/>
            <w:hideMark/>
          </w:tcPr>
          <w:p w14:paraId="2034919F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13</w:t>
            </w:r>
          </w:p>
        </w:tc>
        <w:tc>
          <w:tcPr>
            <w:tcW w:w="1449" w:type="dxa"/>
            <w:vAlign w:val="bottom"/>
            <w:hideMark/>
          </w:tcPr>
          <w:p w14:paraId="1BC33B6F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11 732,4</w:t>
            </w:r>
          </w:p>
        </w:tc>
        <w:tc>
          <w:tcPr>
            <w:tcW w:w="1169" w:type="dxa"/>
            <w:vAlign w:val="bottom"/>
            <w:hideMark/>
          </w:tcPr>
          <w:p w14:paraId="2BCBCD6B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938,7</w:t>
            </w:r>
          </w:p>
        </w:tc>
        <w:tc>
          <w:tcPr>
            <w:tcW w:w="1169" w:type="dxa"/>
            <w:vAlign w:val="bottom"/>
            <w:hideMark/>
          </w:tcPr>
          <w:p w14:paraId="44944F46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670,0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08B1FC43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13 913,1</w:t>
            </w:r>
          </w:p>
        </w:tc>
      </w:tr>
      <w:tr w:rsidR="00F80885" w:rsidRPr="00107B29" w14:paraId="3FCE95A0" w14:textId="77777777" w:rsidTr="004D5F0A">
        <w:trPr>
          <w:trHeight w:val="54"/>
          <w:jc w:val="center"/>
        </w:trPr>
        <w:tc>
          <w:tcPr>
            <w:tcW w:w="1983" w:type="dxa"/>
            <w:hideMark/>
          </w:tcPr>
          <w:p w14:paraId="103F3480" w14:textId="77777777" w:rsidR="00F80885" w:rsidRPr="00312D23" w:rsidRDefault="00F80885" w:rsidP="009F1CDC">
            <w:pPr>
              <w:pStyle w:val="Tabletext"/>
            </w:pPr>
            <w:r w:rsidRPr="00107B29">
              <w:rPr>
                <w:lang w:val="ru-RU"/>
              </w:rPr>
              <w:t>АМР</w:t>
            </w:r>
          </w:p>
        </w:tc>
        <w:tc>
          <w:tcPr>
            <w:tcW w:w="1170" w:type="dxa"/>
            <w:noWrap/>
            <w:vAlign w:val="bottom"/>
            <w:hideMark/>
          </w:tcPr>
          <w:p w14:paraId="63CDC107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15</w:t>
            </w:r>
          </w:p>
        </w:tc>
        <w:tc>
          <w:tcPr>
            <w:tcW w:w="1449" w:type="dxa"/>
            <w:vAlign w:val="bottom"/>
            <w:hideMark/>
          </w:tcPr>
          <w:p w14:paraId="67732207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40 112,6</w:t>
            </w:r>
          </w:p>
        </w:tc>
        <w:tc>
          <w:tcPr>
            <w:tcW w:w="1169" w:type="dxa"/>
            <w:vAlign w:val="bottom"/>
            <w:hideMark/>
          </w:tcPr>
          <w:p w14:paraId="46ED4361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158,6</w:t>
            </w:r>
          </w:p>
        </w:tc>
        <w:tc>
          <w:tcPr>
            <w:tcW w:w="1169" w:type="dxa"/>
            <w:vAlign w:val="bottom"/>
            <w:hideMark/>
          </w:tcPr>
          <w:p w14:paraId="173EBC1A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667,5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5CC2FF72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41 008,4</w:t>
            </w:r>
          </w:p>
        </w:tc>
      </w:tr>
      <w:tr w:rsidR="00F80885" w:rsidRPr="00107B29" w14:paraId="1D8A2FE3" w14:textId="77777777" w:rsidTr="004D5F0A">
        <w:trPr>
          <w:trHeight w:val="300"/>
          <w:jc w:val="center"/>
        </w:trPr>
        <w:tc>
          <w:tcPr>
            <w:tcW w:w="1983" w:type="dxa"/>
            <w:hideMark/>
          </w:tcPr>
          <w:p w14:paraId="734EF376" w14:textId="77777777" w:rsidR="00F80885" w:rsidRPr="00312D23" w:rsidRDefault="00F80885" w:rsidP="009F1CDC">
            <w:pPr>
              <w:pStyle w:val="Tabletext"/>
            </w:pPr>
            <w:r w:rsidRPr="00107B29">
              <w:rPr>
                <w:lang w:val="ru-RU"/>
              </w:rPr>
              <w:t>АРБ</w:t>
            </w:r>
          </w:p>
        </w:tc>
        <w:tc>
          <w:tcPr>
            <w:tcW w:w="1170" w:type="dxa"/>
            <w:vAlign w:val="bottom"/>
            <w:hideMark/>
          </w:tcPr>
          <w:p w14:paraId="36DEFBFD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7</w:t>
            </w:r>
          </w:p>
        </w:tc>
        <w:tc>
          <w:tcPr>
            <w:tcW w:w="1449" w:type="dxa"/>
            <w:vAlign w:val="bottom"/>
            <w:hideMark/>
          </w:tcPr>
          <w:p w14:paraId="2375F825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4 311,1</w:t>
            </w:r>
          </w:p>
        </w:tc>
        <w:tc>
          <w:tcPr>
            <w:tcW w:w="1169" w:type="dxa"/>
            <w:vAlign w:val="bottom"/>
            <w:hideMark/>
          </w:tcPr>
          <w:p w14:paraId="7FBD781B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662,2</w:t>
            </w:r>
          </w:p>
        </w:tc>
        <w:tc>
          <w:tcPr>
            <w:tcW w:w="1169" w:type="dxa"/>
            <w:vAlign w:val="bottom"/>
            <w:hideMark/>
          </w:tcPr>
          <w:p w14:paraId="22B5ADC1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88,0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2ED78807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5 061,3</w:t>
            </w:r>
          </w:p>
        </w:tc>
      </w:tr>
      <w:tr w:rsidR="00F80885" w:rsidRPr="00107B29" w14:paraId="018CEDBF" w14:textId="77777777" w:rsidTr="004D5F0A">
        <w:trPr>
          <w:trHeight w:val="54"/>
          <w:jc w:val="center"/>
        </w:trPr>
        <w:tc>
          <w:tcPr>
            <w:tcW w:w="1983" w:type="dxa"/>
            <w:vAlign w:val="center"/>
            <w:hideMark/>
          </w:tcPr>
          <w:p w14:paraId="595BEBE8" w14:textId="77777777" w:rsidR="00F80885" w:rsidRPr="00107B29" w:rsidRDefault="00F80885" w:rsidP="009F1CDC">
            <w:pPr>
              <w:pStyle w:val="Tabletext"/>
              <w:rPr>
                <w:lang w:val="ru-RU"/>
              </w:rPr>
            </w:pPr>
            <w:r w:rsidRPr="00107B29">
              <w:rPr>
                <w:lang w:val="ru-RU"/>
              </w:rPr>
              <w:t>АТР</w:t>
            </w:r>
          </w:p>
        </w:tc>
        <w:tc>
          <w:tcPr>
            <w:tcW w:w="1170" w:type="dxa"/>
            <w:noWrap/>
            <w:vAlign w:val="bottom"/>
            <w:hideMark/>
          </w:tcPr>
          <w:p w14:paraId="36761852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14</w:t>
            </w:r>
          </w:p>
        </w:tc>
        <w:tc>
          <w:tcPr>
            <w:tcW w:w="1449" w:type="dxa"/>
            <w:vAlign w:val="bottom"/>
            <w:hideMark/>
          </w:tcPr>
          <w:p w14:paraId="6B8FD0FC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6 948,8</w:t>
            </w:r>
          </w:p>
        </w:tc>
        <w:tc>
          <w:tcPr>
            <w:tcW w:w="1169" w:type="dxa"/>
            <w:vAlign w:val="bottom"/>
          </w:tcPr>
          <w:p w14:paraId="07515387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345,4</w:t>
            </w:r>
          </w:p>
        </w:tc>
        <w:tc>
          <w:tcPr>
            <w:tcW w:w="1169" w:type="dxa"/>
            <w:vAlign w:val="bottom"/>
            <w:hideMark/>
          </w:tcPr>
          <w:p w14:paraId="55FE1ECF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440,0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10F0D0F4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7 909,2</w:t>
            </w:r>
          </w:p>
        </w:tc>
      </w:tr>
      <w:tr w:rsidR="00F80885" w:rsidRPr="00107B29" w14:paraId="0D538CC7" w14:textId="77777777" w:rsidTr="004D5F0A">
        <w:trPr>
          <w:trHeight w:val="54"/>
          <w:jc w:val="center"/>
        </w:trPr>
        <w:tc>
          <w:tcPr>
            <w:tcW w:w="1983" w:type="dxa"/>
            <w:hideMark/>
          </w:tcPr>
          <w:p w14:paraId="16896858" w14:textId="77777777" w:rsidR="00F80885" w:rsidRPr="00312D23" w:rsidRDefault="00F80885" w:rsidP="009F1CDC">
            <w:pPr>
              <w:pStyle w:val="Tabletext"/>
            </w:pPr>
            <w:r w:rsidRPr="00107B29">
              <w:rPr>
                <w:lang w:val="ru-RU"/>
              </w:rPr>
              <w:t>СНГ</w:t>
            </w:r>
          </w:p>
        </w:tc>
        <w:tc>
          <w:tcPr>
            <w:tcW w:w="1170" w:type="dxa"/>
            <w:vAlign w:val="bottom"/>
            <w:hideMark/>
          </w:tcPr>
          <w:p w14:paraId="3074B50A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3</w:t>
            </w:r>
          </w:p>
        </w:tc>
        <w:tc>
          <w:tcPr>
            <w:tcW w:w="1449" w:type="dxa"/>
            <w:vAlign w:val="bottom"/>
            <w:hideMark/>
          </w:tcPr>
          <w:p w14:paraId="0852010A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253,7</w:t>
            </w:r>
          </w:p>
        </w:tc>
        <w:tc>
          <w:tcPr>
            <w:tcW w:w="1169" w:type="dxa"/>
            <w:vAlign w:val="bottom"/>
          </w:tcPr>
          <w:p w14:paraId="4CFE8189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169" w:type="dxa"/>
            <w:vAlign w:val="bottom"/>
            <w:hideMark/>
          </w:tcPr>
          <w:p w14:paraId="5ABC3CFF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443,8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027CEB17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697,5</w:t>
            </w:r>
          </w:p>
        </w:tc>
      </w:tr>
      <w:tr w:rsidR="00F80885" w:rsidRPr="00107B29" w14:paraId="5ADE8AE0" w14:textId="77777777" w:rsidTr="004D5F0A">
        <w:trPr>
          <w:trHeight w:val="54"/>
          <w:jc w:val="center"/>
        </w:trPr>
        <w:tc>
          <w:tcPr>
            <w:tcW w:w="1983" w:type="dxa"/>
            <w:vAlign w:val="bottom"/>
            <w:hideMark/>
          </w:tcPr>
          <w:p w14:paraId="594C6358" w14:textId="77777777" w:rsidR="00F80885" w:rsidRPr="00107B29" w:rsidRDefault="00F80885" w:rsidP="009F1CDC">
            <w:pPr>
              <w:pStyle w:val="Tabletext"/>
              <w:rPr>
                <w:lang w:val="ru-RU"/>
              </w:rPr>
            </w:pPr>
            <w:r w:rsidRPr="00107B29">
              <w:rPr>
                <w:lang w:val="ru-RU"/>
              </w:rPr>
              <w:t>ЕВР</w:t>
            </w:r>
          </w:p>
        </w:tc>
        <w:tc>
          <w:tcPr>
            <w:tcW w:w="1170" w:type="dxa"/>
            <w:vAlign w:val="bottom"/>
            <w:hideMark/>
          </w:tcPr>
          <w:p w14:paraId="628C0884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2</w:t>
            </w:r>
          </w:p>
        </w:tc>
        <w:tc>
          <w:tcPr>
            <w:tcW w:w="1449" w:type="dxa"/>
            <w:vAlign w:val="bottom"/>
            <w:hideMark/>
          </w:tcPr>
          <w:p w14:paraId="312F8D8A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3 642,5</w:t>
            </w:r>
          </w:p>
        </w:tc>
        <w:tc>
          <w:tcPr>
            <w:tcW w:w="1169" w:type="dxa"/>
            <w:vAlign w:val="bottom"/>
          </w:tcPr>
          <w:p w14:paraId="0855BBF5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</w:p>
        </w:tc>
        <w:tc>
          <w:tcPr>
            <w:tcW w:w="1169" w:type="dxa"/>
            <w:vAlign w:val="bottom"/>
            <w:hideMark/>
          </w:tcPr>
          <w:p w14:paraId="5C184ACB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47,5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2AFA2EB4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3 690,1</w:t>
            </w:r>
          </w:p>
        </w:tc>
      </w:tr>
      <w:tr w:rsidR="00F80885" w:rsidRPr="00107B29" w14:paraId="04FC20F7" w14:textId="77777777" w:rsidTr="004D5F0A">
        <w:trPr>
          <w:trHeight w:val="54"/>
          <w:jc w:val="center"/>
        </w:trPr>
        <w:tc>
          <w:tcPr>
            <w:tcW w:w="1983" w:type="dxa"/>
            <w:hideMark/>
          </w:tcPr>
          <w:p w14:paraId="2682AB43" w14:textId="77777777" w:rsidR="00F80885" w:rsidRPr="00107B29" w:rsidRDefault="00F80885" w:rsidP="009F1CDC">
            <w:pPr>
              <w:pStyle w:val="Tabletext"/>
              <w:rPr>
                <w:lang w:val="ru-RU"/>
              </w:rPr>
            </w:pPr>
            <w:r w:rsidRPr="00107B29">
              <w:rPr>
                <w:lang w:val="ru-RU"/>
              </w:rPr>
              <w:t>Межрегиональные</w:t>
            </w:r>
            <w:bookmarkStart w:id="165" w:name="_Hlk161739046"/>
            <w:bookmarkEnd w:id="165"/>
            <w:r w:rsidRPr="004907D6">
              <w:rPr>
                <w:rStyle w:val="FootnoteReference"/>
                <w:lang w:val="ru-RU"/>
              </w:rPr>
              <w:t>*</w:t>
            </w:r>
          </w:p>
        </w:tc>
        <w:tc>
          <w:tcPr>
            <w:tcW w:w="1170" w:type="dxa"/>
            <w:noWrap/>
            <w:vAlign w:val="bottom"/>
            <w:hideMark/>
          </w:tcPr>
          <w:p w14:paraId="7DF0F4CA" w14:textId="77777777" w:rsidR="00F80885" w:rsidRPr="00107B29" w:rsidRDefault="00F80885" w:rsidP="009F1CDC">
            <w:pPr>
              <w:pStyle w:val="Tabletext"/>
              <w:jc w:val="center"/>
              <w:rPr>
                <w:lang w:val="ru-RU"/>
              </w:rPr>
            </w:pPr>
            <w:r w:rsidRPr="00107B29">
              <w:rPr>
                <w:lang w:val="ru-RU"/>
              </w:rPr>
              <w:t>33</w:t>
            </w:r>
          </w:p>
        </w:tc>
        <w:tc>
          <w:tcPr>
            <w:tcW w:w="1449" w:type="dxa"/>
            <w:vAlign w:val="bottom"/>
            <w:hideMark/>
          </w:tcPr>
          <w:p w14:paraId="1FEBE637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27 794,1</w:t>
            </w:r>
          </w:p>
        </w:tc>
        <w:tc>
          <w:tcPr>
            <w:tcW w:w="1169" w:type="dxa"/>
            <w:vAlign w:val="bottom"/>
            <w:hideMark/>
          </w:tcPr>
          <w:p w14:paraId="37EB9722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4 394,6</w:t>
            </w:r>
          </w:p>
        </w:tc>
        <w:tc>
          <w:tcPr>
            <w:tcW w:w="1169" w:type="dxa"/>
            <w:vAlign w:val="bottom"/>
            <w:hideMark/>
          </w:tcPr>
          <w:p w14:paraId="6411D44F" w14:textId="77777777" w:rsidR="00F80885" w:rsidRPr="00107B29" w:rsidRDefault="00F80885" w:rsidP="009F1CDC">
            <w:pPr>
              <w:pStyle w:val="Tabletext"/>
              <w:jc w:val="right"/>
              <w:rPr>
                <w:lang w:val="ru-RU"/>
              </w:rPr>
            </w:pPr>
            <w:r w:rsidRPr="00107B29">
              <w:rPr>
                <w:lang w:val="ru-RU"/>
              </w:rPr>
              <w:t>1 551,8</w:t>
            </w:r>
          </w:p>
        </w:tc>
        <w:tc>
          <w:tcPr>
            <w:tcW w:w="1560" w:type="dxa"/>
            <w:shd w:val="clear" w:color="auto" w:fill="DBE5F1" w:themeFill="accent1" w:themeFillTint="33"/>
            <w:vAlign w:val="bottom"/>
            <w:hideMark/>
          </w:tcPr>
          <w:p w14:paraId="1B0AB630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34 122,8</w:t>
            </w:r>
          </w:p>
        </w:tc>
      </w:tr>
      <w:tr w:rsidR="00F80885" w:rsidRPr="00107B29" w14:paraId="0A107EC5" w14:textId="77777777" w:rsidTr="004D5F0A">
        <w:trPr>
          <w:trHeight w:val="54"/>
          <w:jc w:val="center"/>
        </w:trPr>
        <w:tc>
          <w:tcPr>
            <w:tcW w:w="1983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78948D2" w14:textId="77777777" w:rsidR="00F80885" w:rsidRPr="00107B29" w:rsidRDefault="00F80885" w:rsidP="009F1CDC">
            <w:pPr>
              <w:pStyle w:val="Tabletex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ВСЕГО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8BB76C2" w14:textId="77777777" w:rsidR="00F80885" w:rsidRPr="00107B29" w:rsidRDefault="00F80885" w:rsidP="009F1CDC">
            <w:pPr>
              <w:pStyle w:val="Tabletext"/>
              <w:jc w:val="center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87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C7BB7A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94 795,3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B7030B4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6 499,5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094D1E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3 908,7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31E06F09" w14:textId="77777777" w:rsidR="00F80885" w:rsidRPr="00107B29" w:rsidRDefault="00F80885" w:rsidP="009F1CDC">
            <w:pPr>
              <w:pStyle w:val="Tabletext"/>
              <w:jc w:val="right"/>
              <w:rPr>
                <w:b/>
                <w:bCs/>
                <w:lang w:val="ru-RU"/>
              </w:rPr>
            </w:pPr>
            <w:r w:rsidRPr="00107B29">
              <w:rPr>
                <w:b/>
                <w:bCs/>
                <w:lang w:val="ru-RU"/>
              </w:rPr>
              <w:t>106 402,4</w:t>
            </w:r>
          </w:p>
        </w:tc>
      </w:tr>
      <w:tr w:rsidR="00F80885" w:rsidRPr="00177CCD" w14:paraId="53BFFB93" w14:textId="77777777" w:rsidTr="004D5F0A">
        <w:trPr>
          <w:trHeight w:val="54"/>
          <w:jc w:val="center"/>
        </w:trPr>
        <w:tc>
          <w:tcPr>
            <w:tcW w:w="8500" w:type="dxa"/>
            <w:gridSpan w:val="6"/>
            <w:tcBorders>
              <w:top w:val="single" w:sz="4" w:space="0" w:color="auto"/>
              <w:left w:val="nil"/>
              <w:bottom w:val="nil"/>
            </w:tcBorders>
            <w:shd w:val="clear" w:color="auto" w:fill="FFFFFF" w:themeFill="background1"/>
            <w:noWrap/>
            <w:vAlign w:val="center"/>
          </w:tcPr>
          <w:p w14:paraId="35DBFE85" w14:textId="77777777" w:rsidR="00F80885" w:rsidRPr="00107B29" w:rsidRDefault="00F80885" w:rsidP="00D25E4D">
            <w:pPr>
              <w:pStyle w:val="Tablelegend"/>
              <w:rPr>
                <w:lang w:val="ru-RU"/>
              </w:rPr>
            </w:pPr>
            <w:r w:rsidRPr="00107B29">
              <w:rPr>
                <w:lang w:val="ru-RU"/>
              </w:rPr>
              <w:t>(</w:t>
            </w:r>
            <w:r w:rsidRPr="009372AB">
              <w:rPr>
                <w:rStyle w:val="FootnoteReference"/>
                <w:lang w:val="ru-RU"/>
              </w:rPr>
              <w:t>*</w:t>
            </w:r>
            <w:r w:rsidRPr="00107B29">
              <w:rPr>
                <w:lang w:val="ru-RU"/>
              </w:rPr>
              <w:t>)</w:t>
            </w:r>
            <w:r w:rsidRPr="00D25E4D">
              <w:rPr>
                <w:lang w:val="ru-RU"/>
              </w:rPr>
              <w:tab/>
            </w:r>
            <w:r w:rsidRPr="00107B29">
              <w:rPr>
                <w:lang w:val="ru-RU"/>
              </w:rPr>
              <w:t>Межрегиональные проекты для всех регионов.</w:t>
            </w:r>
          </w:p>
        </w:tc>
      </w:tr>
    </w:tbl>
    <w:p w14:paraId="07230648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22 марта в Нью-Дели (Индия) состоялось официальное открытие </w:t>
      </w:r>
      <w:hyperlink r:id="rId170" w:anchor=":~:text=The%20ITU%20Area%20Office%20and,sustainable%20development%20in%20South%20Asia." w:history="1">
        <w:r w:rsidRPr="00107B29">
          <w:rPr>
            <w:rStyle w:val="Hyperlink"/>
            <w:lang w:val="ru-RU"/>
          </w:rPr>
          <w:t>Зонального отделения МСЭ и инновационного центра</w:t>
        </w:r>
      </w:hyperlink>
      <w:r w:rsidRPr="00107B29">
        <w:rPr>
          <w:lang w:val="ru-RU"/>
        </w:rPr>
        <w:t>, что позволило расширить присутствие Международного союза электросвязи (МСЭ) для продвижения технологий и устойчивого развития в Южной Азии. Начало работы первого инновационного центра МСЭ на месте обеспечивает место нового офиса в столице Индии как центра продвижения передовых технологий в регионе и за его пределами.</w:t>
      </w:r>
    </w:p>
    <w:p w14:paraId="65B49D65" w14:textId="77777777" w:rsidR="00F80885" w:rsidRPr="009372AB" w:rsidRDefault="00F80885" w:rsidP="005A2810">
      <w:pPr>
        <w:pStyle w:val="Heading1"/>
        <w:rPr>
          <w:lang w:val="ru-RU"/>
        </w:rPr>
      </w:pPr>
      <w:bookmarkStart w:id="166" w:name="_Toc2070251363"/>
      <w:bookmarkStart w:id="167" w:name="_Toc164927177"/>
      <w:bookmarkStart w:id="168" w:name="_Toc168049911"/>
      <w:bookmarkStart w:id="169" w:name="_Toc168050281"/>
      <w:r w:rsidRPr="00107B29">
        <w:rPr>
          <w:lang w:val="ru-RU"/>
        </w:rPr>
        <w:t>9</w:t>
      </w:r>
      <w:r w:rsidRPr="00107B29">
        <w:rPr>
          <w:lang w:val="ru-RU"/>
        </w:rPr>
        <w:tab/>
        <w:t>Подход, ориентированный на членов МСЭ</w:t>
      </w:r>
      <w:bookmarkEnd w:id="166"/>
      <w:bookmarkEnd w:id="167"/>
      <w:bookmarkEnd w:id="168"/>
      <w:bookmarkEnd w:id="169"/>
    </w:p>
    <w:p w14:paraId="5D071018" w14:textId="77777777" w:rsidR="00F80885" w:rsidRDefault="00F80885" w:rsidP="00107B29">
      <w:pPr>
        <w:rPr>
          <w:lang w:val="ru-RU"/>
        </w:rPr>
      </w:pPr>
      <w:r w:rsidRPr="00107B29">
        <w:rPr>
          <w:lang w:val="ru-RU"/>
        </w:rPr>
        <w:t>В первую очередь МСЭ удовлетворяет потребности 193 Государств-Членов, а также более чем 1000 компаний, объединений и академических организаций, участвующих в работе Союза в качестве членов Секторов МСЭ. Такой подход, ориентированный на членов, делает работу организации целенаправленной, своевременной и актуальной, помогая при этом удовлетворять конкретные запросы или потребности по мере их появления.</w:t>
      </w:r>
    </w:p>
    <w:p w14:paraId="730151D7" w14:textId="77777777" w:rsidR="00F80885" w:rsidRDefault="00F80885" w:rsidP="0014397A">
      <w:pPr>
        <w:pStyle w:val="Figure"/>
        <w:spacing w:before="240" w:after="240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6BFBF001" wp14:editId="3B333419">
            <wp:extent cx="6033856" cy="1303099"/>
            <wp:effectExtent l="0" t="0" r="5080" b="0"/>
            <wp:docPr id="20804553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651" cy="1306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AD9F3E" w14:textId="77777777" w:rsidR="00F80885" w:rsidRPr="00107B29" w:rsidRDefault="00F80885" w:rsidP="00107B29">
      <w:pPr>
        <w:rPr>
          <w:lang w:val="ru-RU"/>
        </w:rPr>
      </w:pPr>
      <w:r w:rsidRPr="00107B29">
        <w:rPr>
          <w:lang w:val="ru-RU"/>
        </w:rPr>
        <w:t xml:space="preserve">Число членов МСЭ выросло и составило 989 объединений (рост на 93/чистый рост на 29 новых объединений за год), среди которых члены Секторов, Ассоциированные члены и Академические организации </w:t>
      </w:r>
      <w:r w:rsidRPr="00212758">
        <w:rPr>
          <w:lang w:val="ru-RU"/>
        </w:rPr>
        <w:t>−</w:t>
      </w:r>
      <w:r w:rsidRPr="00107B29">
        <w:rPr>
          <w:lang w:val="ru-RU"/>
        </w:rPr>
        <w:t xml:space="preserve"> Члены МСЭ. Почти все новые члены представляли новые объединения, присоединившиеся к Союзу в 2023 году; семь членов расширили или повысили уровень своего участия.</w:t>
      </w:r>
    </w:p>
    <w:p w14:paraId="63C2C3FF" w14:textId="77777777" w:rsidR="00F80885" w:rsidRPr="00107B29" w:rsidRDefault="00F80885" w:rsidP="005A2810">
      <w:pPr>
        <w:pStyle w:val="enumlev1"/>
        <w:rPr>
          <w:lang w:val="ru-RU"/>
        </w:rPr>
      </w:pPr>
      <w:r w:rsidRPr="00563330">
        <w:rPr>
          <w:lang w:val="ru-RU"/>
        </w:rPr>
        <w:t>•</w:t>
      </w:r>
      <w:r w:rsidRPr="00563330">
        <w:rPr>
          <w:lang w:val="ru-RU"/>
        </w:rPr>
        <w:tab/>
      </w:r>
      <w:r w:rsidRPr="00107B29">
        <w:rPr>
          <w:lang w:val="ru-RU"/>
        </w:rPr>
        <w:t xml:space="preserve">1324 члена во всех Секторах: +108 новых и </w:t>
      </w:r>
      <w:r w:rsidRPr="00563330">
        <w:rPr>
          <w:lang w:val="ru-RU"/>
        </w:rPr>
        <w:t>−</w:t>
      </w:r>
      <w:r w:rsidRPr="00107B29">
        <w:rPr>
          <w:lang w:val="ru-RU"/>
        </w:rPr>
        <w:t>66 членов либо денонсировали свое участие, либо были исключены.</w:t>
      </w:r>
    </w:p>
    <w:p w14:paraId="41E5E980" w14:textId="77777777" w:rsidR="00F80885" w:rsidRPr="00107B29" w:rsidRDefault="00F80885" w:rsidP="005A2810">
      <w:pPr>
        <w:pStyle w:val="enumlev1"/>
        <w:rPr>
          <w:lang w:val="ru-RU"/>
        </w:rPr>
      </w:pPr>
      <w:r w:rsidRPr="00563330">
        <w:rPr>
          <w:lang w:val="ru-RU"/>
        </w:rPr>
        <w:lastRenderedPageBreak/>
        <w:t>•</w:t>
      </w:r>
      <w:r w:rsidRPr="00563330">
        <w:rPr>
          <w:lang w:val="ru-RU"/>
        </w:rPr>
        <w:tab/>
      </w:r>
      <w:r w:rsidRPr="00107B29">
        <w:rPr>
          <w:lang w:val="ru-RU"/>
        </w:rPr>
        <w:t xml:space="preserve">На долю Членов Секторов пришлось 48% всех новых членов (31% в 2022 г.), на Ассоциированных членов </w:t>
      </w:r>
      <w:r w:rsidRPr="00563330">
        <w:rPr>
          <w:lang w:val="ru-RU"/>
        </w:rPr>
        <w:t>−</w:t>
      </w:r>
      <w:r w:rsidRPr="00107B29">
        <w:rPr>
          <w:lang w:val="ru-RU"/>
        </w:rPr>
        <w:t xml:space="preserve"> 36% (46% в 2022 г.), на Академические организации </w:t>
      </w:r>
      <w:r w:rsidRPr="00563330">
        <w:rPr>
          <w:lang w:val="ru-RU"/>
        </w:rPr>
        <w:t>−</w:t>
      </w:r>
      <w:r w:rsidRPr="00107B29">
        <w:rPr>
          <w:lang w:val="ru-RU"/>
        </w:rPr>
        <w:t xml:space="preserve"> 16% (23% в 2022 г.).</w:t>
      </w:r>
    </w:p>
    <w:p w14:paraId="2C3BA180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Наблюдается положительная/стабильная тенденция во всех Секторах: МСЭ-R (чистый рост на 15 членов), МСЭ-T (чистый рост на 13 новых членов), МСЭ-D (чистый рост на 15</w:t>
      </w:r>
      <w:r>
        <w:t> </w:t>
      </w:r>
      <w:r w:rsidRPr="00107B29">
        <w:rPr>
          <w:lang w:val="ru-RU"/>
        </w:rPr>
        <w:t>новых членов), Академические организации (чистое сокращение на одного члена).</w:t>
      </w:r>
    </w:p>
    <w:p w14:paraId="06AF88B7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В сравнении с 2022 годом в 2023 году рост членского состава был в основном обусловлен Европой (чистый рост на 22 новых члена) и Азиатско-Тихоокеанским регионом (чистый рост на 16 новых членов), но наблюдался почти во всех регионах: Северная и Южная Америка (+12), Международный регион (+12), международные структуры (+10), арабские государства (+5), Европа (+4) и Африка (+2).</w:t>
      </w:r>
    </w:p>
    <w:p w14:paraId="171C8676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Прогнозируемый объем взносов вырос незначительно и составляет чуть более 17</w:t>
      </w:r>
      <w:r>
        <w:t> </w:t>
      </w:r>
      <w:r w:rsidRPr="00107B29">
        <w:rPr>
          <w:lang w:val="ru-RU"/>
        </w:rPr>
        <w:t>млн. швейцарских франков, несмотря на чистый рост членского состава. Это объясняется ростом за счет членов категорий с низкими сборами и освобожденных от уплаты взносов объединений. Однако в 2023 году имело место увеличение числа Членов Секторов, выплачивающих 1/2 единицу взноса (чистый рост на 8 членов).</w:t>
      </w:r>
    </w:p>
    <w:p w14:paraId="3C5F1643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Растет число членов, представляющих сообщество МСП, однако темпы по сравнению с 2022 годом снизились. Вариант для ассоциированных членов МСП с уменьшенными взносами (доступен с января 2020 г.): 88 членов (66 из МСЭ-T и 22 из МСЭ-R) воспользовались уменьшенными взносами; чистый рост на 15 объединений в 2023</w:t>
      </w:r>
      <w:r>
        <w:t> </w:t>
      </w:r>
      <w:r w:rsidRPr="00107B29">
        <w:rPr>
          <w:lang w:val="ru-RU"/>
        </w:rPr>
        <w:t xml:space="preserve">году (24 в 2022 г.). </w:t>
      </w:r>
    </w:p>
    <w:p w14:paraId="26E5E76D" w14:textId="77777777" w:rsidR="00F80885" w:rsidRPr="00107B29" w:rsidRDefault="00F80885" w:rsidP="00107B29">
      <w:pPr>
        <w:rPr>
          <w:u w:val="single"/>
          <w:lang w:val="ru-RU"/>
        </w:rPr>
      </w:pPr>
      <w:r w:rsidRPr="00107B29">
        <w:rPr>
          <w:u w:val="single"/>
          <w:lang w:val="ru-RU"/>
        </w:rPr>
        <w:t>Перспектива на 2024 год</w:t>
      </w:r>
      <w:r w:rsidRPr="00312D23">
        <w:rPr>
          <w:lang w:val="ru-RU"/>
        </w:rPr>
        <w:t>:</w:t>
      </w:r>
      <w:r w:rsidRPr="00107B29">
        <w:rPr>
          <w:lang w:val="ru-RU"/>
        </w:rPr>
        <w:t xml:space="preserve"> </w:t>
      </w:r>
    </w:p>
    <w:p w14:paraId="5CEC0754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 xml:space="preserve">Множество членов в процессе присоединения: 66 заявок на утверждение администрацией, в отношении 31 заявки ожидается оплата. </w:t>
      </w:r>
    </w:p>
    <w:p w14:paraId="65E20D56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 xml:space="preserve">Сохранение членства остается проблемой: в 2023 году МСЭ потерял 66 членов. </w:t>
      </w:r>
    </w:p>
    <w:p w14:paraId="2C2684B2" w14:textId="77777777" w:rsidR="00F80885" w:rsidRPr="00107B29" w:rsidRDefault="00F80885" w:rsidP="00107B29">
      <w:pPr>
        <w:rPr>
          <w:u w:val="single"/>
          <w:lang w:val="ru-RU"/>
        </w:rPr>
      </w:pPr>
      <w:r w:rsidRPr="00107B29">
        <w:rPr>
          <w:u w:val="single"/>
          <w:lang w:val="ru-RU"/>
        </w:rPr>
        <w:t>Финансовые риски</w:t>
      </w:r>
      <w:r w:rsidRPr="00312D23">
        <w:rPr>
          <w:lang w:val="ru-RU"/>
        </w:rPr>
        <w:t>:</w:t>
      </w:r>
      <w:r w:rsidRPr="00107B29">
        <w:rPr>
          <w:lang w:val="ru-RU"/>
        </w:rPr>
        <w:t xml:space="preserve"> </w:t>
      </w:r>
    </w:p>
    <w:p w14:paraId="5CBD5C15" w14:textId="77777777" w:rsidR="00F80885" w:rsidRPr="00107B29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На 130 членов приходится 50% общего дохода от членского состава, что составляет 8,5</w:t>
      </w:r>
      <w:r>
        <w:rPr>
          <w:lang w:val="en-US"/>
        </w:rPr>
        <w:t> </w:t>
      </w:r>
      <w:r w:rsidRPr="00107B29">
        <w:rPr>
          <w:lang w:val="ru-RU"/>
        </w:rPr>
        <w:t xml:space="preserve">млн. швейцарских франков. </w:t>
      </w:r>
    </w:p>
    <w:p w14:paraId="67826D0A" w14:textId="77777777" w:rsidR="00F80885" w:rsidRDefault="00F80885" w:rsidP="005A2810">
      <w:pPr>
        <w:pStyle w:val="enumlev1"/>
        <w:rPr>
          <w:lang w:val="ru-RU"/>
        </w:rPr>
      </w:pPr>
      <w:r w:rsidRPr="005A2810">
        <w:rPr>
          <w:lang w:val="ru-RU"/>
        </w:rPr>
        <w:t>•</w:t>
      </w:r>
      <w:r w:rsidRPr="005A2810">
        <w:rPr>
          <w:lang w:val="ru-RU"/>
        </w:rPr>
        <w:tab/>
      </w:r>
      <w:r w:rsidRPr="00107B29">
        <w:rPr>
          <w:lang w:val="ru-RU"/>
        </w:rPr>
        <w:t>Приостановлено участие 38 членов и заморожено участи 25 членов, что соответствует 582 тыс. швейцарских франков.</w:t>
      </w:r>
    </w:p>
    <w:p w14:paraId="119E098E" w14:textId="77777777" w:rsidR="00F80885" w:rsidRDefault="00F80885" w:rsidP="00D3133F">
      <w:pPr>
        <w:pStyle w:val="Figure"/>
        <w:rPr>
          <w:lang w:val="ru-RU"/>
        </w:rPr>
      </w:pPr>
      <w:bookmarkStart w:id="170" w:name="_Toc166046577"/>
      <w:r>
        <w:rPr>
          <w:noProof/>
          <w:lang w:val="ru-RU"/>
        </w:rPr>
        <w:lastRenderedPageBreak/>
        <w:drawing>
          <wp:inline distT="0" distB="0" distL="0" distR="0" wp14:anchorId="366285EA" wp14:editId="7CB82BE2">
            <wp:extent cx="6005746" cy="3351069"/>
            <wp:effectExtent l="0" t="0" r="0" b="1905"/>
            <wp:docPr id="646901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631" cy="335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E135CB" w14:textId="77777777" w:rsidR="00F80885" w:rsidRPr="00107B29" w:rsidRDefault="00F80885" w:rsidP="00023A0D">
      <w:pPr>
        <w:pStyle w:val="Heading1"/>
        <w:rPr>
          <w:lang w:val="ru-RU"/>
        </w:rPr>
      </w:pPr>
      <w:bookmarkStart w:id="171" w:name="_Toc168049912"/>
      <w:bookmarkStart w:id="172" w:name="_Toc168050282"/>
      <w:r w:rsidRPr="00107B29">
        <w:rPr>
          <w:lang w:val="ru-RU"/>
        </w:rPr>
        <w:t>10</w:t>
      </w:r>
      <w:r w:rsidRPr="00107B29">
        <w:rPr>
          <w:lang w:val="ru-RU"/>
        </w:rPr>
        <w:tab/>
      </w:r>
      <w:bookmarkEnd w:id="170"/>
      <w:r w:rsidRPr="00107B29">
        <w:rPr>
          <w:lang w:val="ru-RU"/>
        </w:rPr>
        <w:t>Ход выполнения Резолюций Полномочной конференции</w:t>
      </w:r>
      <w:bookmarkEnd w:id="171"/>
      <w:bookmarkEnd w:id="172"/>
    </w:p>
    <w:p w14:paraId="38D9A934" w14:textId="77777777" w:rsidR="00F80885" w:rsidRPr="009372AB" w:rsidRDefault="00F80885" w:rsidP="00023A0D">
      <w:pPr>
        <w:pStyle w:val="Headingb"/>
        <w:rPr>
          <w:lang w:val="ru-RU"/>
        </w:rPr>
      </w:pPr>
      <w:r w:rsidRPr="00107B29">
        <w:rPr>
          <w:lang w:val="ru-RU"/>
        </w:rPr>
        <w:t xml:space="preserve">С ходом выполнения Резолюций ПК можно ознакомиться на специальной веб-платформе по </w:t>
      </w:r>
      <w:hyperlink r:id="rId173" w:history="1">
        <w:r w:rsidRPr="00107B29">
          <w:rPr>
            <w:rStyle w:val="Hyperlink"/>
            <w:lang w:val="ru-RU"/>
          </w:rPr>
          <w:t>ссылке</w:t>
        </w:r>
      </w:hyperlink>
      <w:r w:rsidRPr="00312D23">
        <w:rPr>
          <w:b w:val="0"/>
          <w:bCs/>
          <w:lang w:val="ru-RU"/>
        </w:rPr>
        <w:t>.</w:t>
      </w:r>
    </w:p>
    <w:p w14:paraId="54697B39" w14:textId="415CC53B" w:rsidR="00132062" w:rsidRPr="00DB5A34" w:rsidRDefault="00F80885" w:rsidP="00DB5A34">
      <w:pPr>
        <w:spacing w:before="720"/>
        <w:jc w:val="center"/>
        <w:rPr>
          <w:bCs/>
          <w:iCs/>
          <w:lang w:val="ru-RU"/>
        </w:rPr>
      </w:pPr>
      <w:r w:rsidRPr="00EA3C31">
        <w:rPr>
          <w:lang w:val="ru-RU"/>
        </w:rPr>
        <w:t>______________</w:t>
      </w:r>
    </w:p>
    <w:sectPr w:rsidR="00132062" w:rsidRPr="00DB5A34" w:rsidSect="007F23B5">
      <w:headerReference w:type="default" r:id="rId174"/>
      <w:footerReference w:type="default" r:id="rId175"/>
      <w:headerReference w:type="first" r:id="rId176"/>
      <w:footerReference w:type="first" r:id="rId177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2A71C" w14:textId="77777777" w:rsidR="0078378B" w:rsidRDefault="0078378B">
      <w:r>
        <w:separator/>
      </w:r>
    </w:p>
  </w:endnote>
  <w:endnote w:type="continuationSeparator" w:id="0">
    <w:p w14:paraId="63D72659" w14:textId="77777777" w:rsidR="0078378B" w:rsidRDefault="007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venir Nxt2 W1G Medium"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4A315D32" w14:textId="77777777" w:rsidTr="00E31DCE">
      <w:trPr>
        <w:jc w:val="center"/>
      </w:trPr>
      <w:tc>
        <w:tcPr>
          <w:tcW w:w="1803" w:type="dxa"/>
          <w:vAlign w:val="center"/>
        </w:tcPr>
        <w:p w14:paraId="29AED4DE" w14:textId="50164739" w:rsidR="00672F8A" w:rsidRPr="007F23B5" w:rsidRDefault="00177CCD" w:rsidP="00672F8A">
          <w:pPr>
            <w:pStyle w:val="Header"/>
            <w:jc w:val="left"/>
            <w:rPr>
              <w:noProof/>
              <w:lang w:val="ru-RU"/>
            </w:rPr>
          </w:pPr>
          <w:r w:rsidRPr="00177CCD">
            <w:rPr>
              <w:noProof/>
              <w:lang w:val="ru-RU"/>
            </w:rPr>
            <w:t>R2400570</w:t>
          </w:r>
        </w:p>
      </w:tc>
      <w:tc>
        <w:tcPr>
          <w:tcW w:w="8261" w:type="dxa"/>
        </w:tcPr>
        <w:p w14:paraId="332915AD" w14:textId="2BB0AF3A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F23B5">
            <w:rPr>
              <w:bCs/>
              <w:lang w:val="ru-RU"/>
            </w:rPr>
            <w:t>35</w:t>
          </w:r>
          <w:r w:rsidRPr="00623AE3">
            <w:rPr>
              <w:bCs/>
            </w:rPr>
            <w:t>-</w:t>
          </w:r>
          <w:r w:rsidR="00165D06"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D12EB7" w14:textId="77777777" w:rsidR="000E568E" w:rsidRPr="00672F8A" w:rsidRDefault="000E568E" w:rsidP="00672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672F8A" w:rsidRPr="00784011" w14:paraId="762C7C8D" w14:textId="77777777" w:rsidTr="00E31DCE">
      <w:trPr>
        <w:jc w:val="center"/>
      </w:trPr>
      <w:tc>
        <w:tcPr>
          <w:tcW w:w="1803" w:type="dxa"/>
          <w:vAlign w:val="center"/>
        </w:tcPr>
        <w:p w14:paraId="20BE352B" w14:textId="77777777" w:rsidR="00672F8A" w:rsidRDefault="00672F8A" w:rsidP="00672F8A">
          <w:pPr>
            <w:pStyle w:val="Header"/>
            <w:jc w:val="left"/>
            <w:rPr>
              <w:noProof/>
            </w:rPr>
          </w:pPr>
          <w:r w:rsidRPr="00660449">
            <w:rPr>
              <w:color w:val="0563C1"/>
              <w:szCs w:val="14"/>
            </w:rPr>
            <w:t>www.itu.int/council</w:t>
          </w:r>
        </w:p>
      </w:tc>
      <w:tc>
        <w:tcPr>
          <w:tcW w:w="8261" w:type="dxa"/>
        </w:tcPr>
        <w:p w14:paraId="3C0A675F" w14:textId="609CBCE2" w:rsidR="00672F8A" w:rsidRPr="00E06FD5" w:rsidRDefault="00672F8A" w:rsidP="00672F8A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60449">
            <w:rPr>
              <w:bCs/>
            </w:rPr>
            <w:t>4</w:t>
          </w:r>
          <w:r w:rsidRPr="00623AE3">
            <w:rPr>
              <w:bCs/>
            </w:rPr>
            <w:t>/</w:t>
          </w:r>
          <w:r w:rsidR="007F23B5">
            <w:rPr>
              <w:bCs/>
              <w:lang w:val="ru-RU"/>
            </w:rPr>
            <w:t>35</w:t>
          </w:r>
          <w:r w:rsidRPr="00623AE3">
            <w:rPr>
              <w:bCs/>
            </w:rPr>
            <w:t>-</w:t>
          </w:r>
          <w:r>
            <w:rPr>
              <w:bCs/>
            </w:rPr>
            <w:t>R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23B333A5" w14:textId="77777777" w:rsidR="000E568E" w:rsidRPr="00672F8A" w:rsidRDefault="000E568E" w:rsidP="00672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D86F" w14:textId="77777777" w:rsidR="0078378B" w:rsidRDefault="0078378B">
      <w:r>
        <w:t>____________________</w:t>
      </w:r>
    </w:p>
  </w:footnote>
  <w:footnote w:type="continuationSeparator" w:id="0">
    <w:p w14:paraId="0D83F5A4" w14:textId="77777777" w:rsidR="0078378B" w:rsidRDefault="0078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04D1D" w14:textId="510333E2" w:rsidR="00441C60" w:rsidRPr="003F24DA" w:rsidRDefault="00441C60">
    <w:pPr>
      <w:pStyle w:val="Header"/>
      <w:rPr>
        <w:color w:val="0F5288"/>
        <w:lang w:val="ru-RU"/>
      </w:rPr>
    </w:pPr>
    <w:r w:rsidRPr="00441C60">
      <w:rPr>
        <w:color w:val="0F5288"/>
        <w:lang w:val="ru-RU"/>
      </w:rPr>
      <w:t>Отчет о выполнении Стратегического плана и о деятельности Союза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0"/>
      <w:gridCol w:w="5450"/>
    </w:tblGrid>
    <w:tr w:rsidR="00796BD3" w:rsidRPr="00784011" w14:paraId="2A6A6D9C" w14:textId="77777777" w:rsidTr="00E31DCE">
      <w:trPr>
        <w:trHeight w:val="1104"/>
        <w:jc w:val="center"/>
      </w:trPr>
      <w:tc>
        <w:tcPr>
          <w:tcW w:w="4390" w:type="dxa"/>
          <w:vAlign w:val="center"/>
        </w:tcPr>
        <w:p w14:paraId="4A79E5A6" w14:textId="77777777" w:rsidR="00796BD3" w:rsidRPr="009621F8" w:rsidRDefault="00660449" w:rsidP="00796BD3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73" w:name="_Hlk133422111"/>
          <w:r>
            <w:rPr>
              <w:noProof/>
            </w:rPr>
            <w:drawing>
              <wp:inline distT="0" distB="0" distL="0" distR="0" wp14:anchorId="7F4C1B56" wp14:editId="25C1B3CC">
                <wp:extent cx="2764800" cy="558000"/>
                <wp:effectExtent l="0" t="0" r="0" b="0"/>
                <wp:docPr id="25354550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800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416BFDB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66F19C0A" w14:textId="77777777" w:rsidR="00796BD3" w:rsidRDefault="00796BD3" w:rsidP="00796BD3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FC12CF" w14:textId="77777777" w:rsidR="00796BD3" w:rsidRPr="00784011" w:rsidRDefault="00796BD3" w:rsidP="00796BD3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73"/>
  <w:p w14:paraId="4FFBCE6A" w14:textId="77777777" w:rsidR="00796BD3" w:rsidRDefault="00796BD3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1B4ED6" wp14:editId="19AC2449">
              <wp:simplePos x="0" y="0"/>
              <wp:positionH relativeFrom="page">
                <wp:posOffset>21285</wp:posOffset>
              </wp:positionH>
              <wp:positionV relativeFrom="topMargin">
                <wp:posOffset>629920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495795" id="Rectangle 5" o:spid="_x0000_s1026" style="position:absolute;margin-left:1.7pt;margin-top:49.6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AKX4eF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21CA1"/>
    <w:multiLevelType w:val="multilevel"/>
    <w:tmpl w:val="5ADABF4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48185"/>
    <w:multiLevelType w:val="hybridMultilevel"/>
    <w:tmpl w:val="FFFFFFFF"/>
    <w:lvl w:ilvl="0" w:tplc="2334FD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6EC1B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82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A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EA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9E04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285F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1C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CF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35461"/>
    <w:multiLevelType w:val="hybridMultilevel"/>
    <w:tmpl w:val="B8FA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17B6F"/>
    <w:multiLevelType w:val="multilevel"/>
    <w:tmpl w:val="B6A673BA"/>
    <w:lvl w:ilvl="0">
      <w:start w:val="1"/>
      <w:numFmt w:val="decimal"/>
      <w:lvlText w:val="%1."/>
      <w:lvlJc w:val="left"/>
      <w:pPr>
        <w:ind w:left="996" w:hanging="57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14113B6"/>
    <w:multiLevelType w:val="hybridMultilevel"/>
    <w:tmpl w:val="9CBECCDC"/>
    <w:lvl w:ilvl="0" w:tplc="55CAAEC0">
      <w:start w:val="1"/>
      <w:numFmt w:val="bullet"/>
      <w:pStyle w:val="box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D0C296">
      <w:numFmt w:val="bullet"/>
      <w:pStyle w:val="Boxbullet2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3AEB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A5C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3CF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CEA0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E47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EF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4425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2BD1BF1"/>
    <w:multiLevelType w:val="hybridMultilevel"/>
    <w:tmpl w:val="28629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A1D7B"/>
    <w:multiLevelType w:val="hybridMultilevel"/>
    <w:tmpl w:val="41A4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72E1C4">
      <w:numFmt w:val="bullet"/>
      <w:lvlText w:val="−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19112"/>
    <w:multiLevelType w:val="hybridMultilevel"/>
    <w:tmpl w:val="FFFFFFFF"/>
    <w:lvl w:ilvl="0" w:tplc="3D44CD0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4EE5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3AD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412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044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4E1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2B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EB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A27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A2BE9"/>
    <w:multiLevelType w:val="multilevel"/>
    <w:tmpl w:val="7754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C94C86"/>
    <w:multiLevelType w:val="hybridMultilevel"/>
    <w:tmpl w:val="A51E1166"/>
    <w:lvl w:ilvl="0" w:tplc="731455E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57269"/>
    <w:multiLevelType w:val="hybridMultilevel"/>
    <w:tmpl w:val="F80C8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E3561"/>
    <w:multiLevelType w:val="hybridMultilevel"/>
    <w:tmpl w:val="C8142D46"/>
    <w:lvl w:ilvl="0" w:tplc="4F1EA24A">
      <w:start w:val="1"/>
      <w:numFmt w:val="decimal"/>
      <w:pStyle w:val="normalWSIS"/>
      <w:lvlText w:val="%1."/>
      <w:lvlJc w:val="left"/>
      <w:pPr>
        <w:ind w:left="3195" w:hanging="360"/>
      </w:pPr>
      <w:rPr>
        <w:b w:val="0"/>
        <w:bC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3566" w:hanging="360"/>
      </w:pPr>
    </w:lvl>
    <w:lvl w:ilvl="2" w:tplc="0409001B">
      <w:start w:val="1"/>
      <w:numFmt w:val="lowerRoman"/>
      <w:lvlText w:val="%3."/>
      <w:lvlJc w:val="right"/>
      <w:pPr>
        <w:ind w:left="4286" w:hanging="180"/>
      </w:pPr>
    </w:lvl>
    <w:lvl w:ilvl="3" w:tplc="0409000F">
      <w:start w:val="1"/>
      <w:numFmt w:val="decimal"/>
      <w:lvlText w:val="%4."/>
      <w:lvlJc w:val="left"/>
      <w:pPr>
        <w:ind w:left="5006" w:hanging="360"/>
      </w:pPr>
    </w:lvl>
    <w:lvl w:ilvl="4" w:tplc="04090019">
      <w:start w:val="1"/>
      <w:numFmt w:val="lowerLetter"/>
      <w:lvlText w:val="%5."/>
      <w:lvlJc w:val="left"/>
      <w:pPr>
        <w:ind w:left="5726" w:hanging="360"/>
      </w:pPr>
    </w:lvl>
    <w:lvl w:ilvl="5" w:tplc="0409001B">
      <w:start w:val="1"/>
      <w:numFmt w:val="lowerRoman"/>
      <w:lvlText w:val="%6."/>
      <w:lvlJc w:val="right"/>
      <w:pPr>
        <w:ind w:left="6446" w:hanging="180"/>
      </w:pPr>
    </w:lvl>
    <w:lvl w:ilvl="6" w:tplc="0409000F">
      <w:start w:val="1"/>
      <w:numFmt w:val="decimal"/>
      <w:lvlText w:val="%7."/>
      <w:lvlJc w:val="left"/>
      <w:pPr>
        <w:ind w:left="7166" w:hanging="360"/>
      </w:pPr>
    </w:lvl>
    <w:lvl w:ilvl="7" w:tplc="04090019">
      <w:start w:val="1"/>
      <w:numFmt w:val="lowerLetter"/>
      <w:lvlText w:val="%8."/>
      <w:lvlJc w:val="left"/>
      <w:pPr>
        <w:ind w:left="7886" w:hanging="360"/>
      </w:pPr>
    </w:lvl>
    <w:lvl w:ilvl="8" w:tplc="0409001B">
      <w:start w:val="1"/>
      <w:numFmt w:val="lowerRoman"/>
      <w:lvlText w:val="%9."/>
      <w:lvlJc w:val="right"/>
      <w:pPr>
        <w:ind w:left="8606" w:hanging="180"/>
      </w:pPr>
    </w:lvl>
  </w:abstractNum>
  <w:abstractNum w:abstractNumId="13" w15:restartNumberingAfterBreak="0">
    <w:nsid w:val="36F926F0"/>
    <w:multiLevelType w:val="hybridMultilevel"/>
    <w:tmpl w:val="EFD0B04A"/>
    <w:lvl w:ilvl="0" w:tplc="F050E670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D7F39"/>
    <w:multiLevelType w:val="hybridMultilevel"/>
    <w:tmpl w:val="06880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900600"/>
    <w:multiLevelType w:val="multilevel"/>
    <w:tmpl w:val="8E5009D0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C6B42"/>
    <w:multiLevelType w:val="hybridMultilevel"/>
    <w:tmpl w:val="1CB48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82C73"/>
    <w:multiLevelType w:val="multilevel"/>
    <w:tmpl w:val="ED64C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582472"/>
    <w:multiLevelType w:val="hybridMultilevel"/>
    <w:tmpl w:val="6D8CEE84"/>
    <w:lvl w:ilvl="0" w:tplc="002608FE">
      <w:start w:val="1"/>
      <w:numFmt w:val="lowerRoman"/>
      <w:lvlText w:val="%1."/>
      <w:lvlJc w:val="left"/>
      <w:pPr>
        <w:ind w:left="1290" w:hanging="720"/>
      </w:pPr>
      <w:rPr>
        <w:rFonts w:ascii="Calibri" w:eastAsia="Times New Roman" w:hAnsi="Calibri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4DF61AF8"/>
    <w:multiLevelType w:val="hybridMultilevel"/>
    <w:tmpl w:val="C0ACFD96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0" w15:restartNumberingAfterBreak="0">
    <w:nsid w:val="550562B2"/>
    <w:multiLevelType w:val="hybridMultilevel"/>
    <w:tmpl w:val="DD56C6A6"/>
    <w:lvl w:ilvl="0" w:tplc="9C3AE2FE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4AABC"/>
    <w:multiLevelType w:val="hybridMultilevel"/>
    <w:tmpl w:val="FFFFFFFF"/>
    <w:lvl w:ilvl="0" w:tplc="15FA99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F0A6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5C28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20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278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0AA9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0F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400E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EAED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E418D"/>
    <w:multiLevelType w:val="hybridMultilevel"/>
    <w:tmpl w:val="0682FB34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58562F24"/>
    <w:multiLevelType w:val="hybridMultilevel"/>
    <w:tmpl w:val="4E72D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1E62EF"/>
    <w:multiLevelType w:val="hybridMultilevel"/>
    <w:tmpl w:val="7A347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E0F02"/>
    <w:multiLevelType w:val="hybridMultilevel"/>
    <w:tmpl w:val="E1CCE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9D2A6E"/>
    <w:multiLevelType w:val="hybridMultilevel"/>
    <w:tmpl w:val="A86EF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6E21C9"/>
    <w:multiLevelType w:val="hybridMultilevel"/>
    <w:tmpl w:val="FFFFFFFF"/>
    <w:lvl w:ilvl="0" w:tplc="CCEE5B3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23C0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A89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90DB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AAF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5490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C2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D07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069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455FC"/>
    <w:multiLevelType w:val="hybridMultilevel"/>
    <w:tmpl w:val="F9E0B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07D15"/>
    <w:multiLevelType w:val="multilevel"/>
    <w:tmpl w:val="9D10146E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651"/>
    <w:multiLevelType w:val="hybridMultilevel"/>
    <w:tmpl w:val="DE06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B4FF0"/>
    <w:multiLevelType w:val="hybridMultilevel"/>
    <w:tmpl w:val="FFFFFFFF"/>
    <w:lvl w:ilvl="0" w:tplc="EB4084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D68EA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FC6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8A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5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74D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C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0EB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E08EE"/>
    <w:multiLevelType w:val="hybridMultilevel"/>
    <w:tmpl w:val="FFFFFFFF"/>
    <w:lvl w:ilvl="0" w:tplc="5ECAC20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E62A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12D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AA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E6D3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EC0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EC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9E5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9ED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ED466F"/>
    <w:multiLevelType w:val="hybridMultilevel"/>
    <w:tmpl w:val="C5887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709C5"/>
    <w:multiLevelType w:val="hybridMultilevel"/>
    <w:tmpl w:val="FF8E93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693786">
    <w:abstractNumId w:val="0"/>
  </w:num>
  <w:num w:numId="2" w16cid:durableId="1775787233">
    <w:abstractNumId w:val="26"/>
  </w:num>
  <w:num w:numId="3" w16cid:durableId="71318688">
    <w:abstractNumId w:val="33"/>
  </w:num>
  <w:num w:numId="4" w16cid:durableId="619142954">
    <w:abstractNumId w:val="11"/>
  </w:num>
  <w:num w:numId="5" w16cid:durableId="1844708114">
    <w:abstractNumId w:val="30"/>
  </w:num>
  <w:num w:numId="6" w16cid:durableId="2133134990">
    <w:abstractNumId w:val="18"/>
  </w:num>
  <w:num w:numId="7" w16cid:durableId="30108534">
    <w:abstractNumId w:val="28"/>
  </w:num>
  <w:num w:numId="8" w16cid:durableId="1825393827">
    <w:abstractNumId w:val="4"/>
  </w:num>
  <w:num w:numId="9" w16cid:durableId="371422147">
    <w:abstractNumId w:val="9"/>
  </w:num>
  <w:num w:numId="10" w16cid:durableId="319161326">
    <w:abstractNumId w:val="13"/>
  </w:num>
  <w:num w:numId="11" w16cid:durableId="1965236744">
    <w:abstractNumId w:val="14"/>
  </w:num>
  <w:num w:numId="12" w16cid:durableId="76900442">
    <w:abstractNumId w:val="7"/>
  </w:num>
  <w:num w:numId="13" w16cid:durableId="906040374">
    <w:abstractNumId w:val="21"/>
  </w:num>
  <w:num w:numId="14" w16cid:durableId="2115469250">
    <w:abstractNumId w:val="27"/>
  </w:num>
  <w:num w:numId="15" w16cid:durableId="1903177000">
    <w:abstractNumId w:val="31"/>
  </w:num>
  <w:num w:numId="16" w16cid:durableId="13905732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8687172">
    <w:abstractNumId w:val="5"/>
  </w:num>
  <w:num w:numId="18" w16cid:durableId="46993939">
    <w:abstractNumId w:val="24"/>
  </w:num>
  <w:num w:numId="19" w16cid:durableId="645160226">
    <w:abstractNumId w:val="15"/>
  </w:num>
  <w:num w:numId="20" w16cid:durableId="1527207171">
    <w:abstractNumId w:val="10"/>
  </w:num>
  <w:num w:numId="21" w16cid:durableId="1456750182">
    <w:abstractNumId w:val="17"/>
  </w:num>
  <w:num w:numId="22" w16cid:durableId="1597865550">
    <w:abstractNumId w:val="3"/>
  </w:num>
  <w:num w:numId="23" w16cid:durableId="1723750918">
    <w:abstractNumId w:val="29"/>
  </w:num>
  <w:num w:numId="24" w16cid:durableId="1898123529">
    <w:abstractNumId w:val="1"/>
  </w:num>
  <w:num w:numId="25" w16cid:durableId="16009262">
    <w:abstractNumId w:val="16"/>
  </w:num>
  <w:num w:numId="26" w16cid:durableId="2106727276">
    <w:abstractNumId w:val="2"/>
  </w:num>
  <w:num w:numId="27" w16cid:durableId="1015880942">
    <w:abstractNumId w:val="8"/>
  </w:num>
  <w:num w:numId="28" w16cid:durableId="1731609004">
    <w:abstractNumId w:val="32"/>
  </w:num>
  <w:num w:numId="29" w16cid:durableId="1539664564">
    <w:abstractNumId w:val="25"/>
  </w:num>
  <w:num w:numId="30" w16cid:durableId="1001197762">
    <w:abstractNumId w:val="6"/>
  </w:num>
  <w:num w:numId="31" w16cid:durableId="1636450269">
    <w:abstractNumId w:val="19"/>
  </w:num>
  <w:num w:numId="32" w16cid:durableId="1990161187">
    <w:abstractNumId w:val="22"/>
  </w:num>
  <w:num w:numId="33" w16cid:durableId="1465123299">
    <w:abstractNumId w:val="34"/>
  </w:num>
  <w:num w:numId="34" w16cid:durableId="833958139">
    <w:abstractNumId w:val="23"/>
  </w:num>
  <w:num w:numId="35" w16cid:durableId="4910662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49"/>
    <w:rsid w:val="00005BE0"/>
    <w:rsid w:val="0002183E"/>
    <w:rsid w:val="00042187"/>
    <w:rsid w:val="000569B4"/>
    <w:rsid w:val="00080E82"/>
    <w:rsid w:val="000820FB"/>
    <w:rsid w:val="000A34E9"/>
    <w:rsid w:val="000B2DE7"/>
    <w:rsid w:val="000E568E"/>
    <w:rsid w:val="00106B18"/>
    <w:rsid w:val="0011188A"/>
    <w:rsid w:val="00120D86"/>
    <w:rsid w:val="00132062"/>
    <w:rsid w:val="0014397A"/>
    <w:rsid w:val="0014734F"/>
    <w:rsid w:val="0015710D"/>
    <w:rsid w:val="00163A32"/>
    <w:rsid w:val="00165D06"/>
    <w:rsid w:val="00173C57"/>
    <w:rsid w:val="00177CCD"/>
    <w:rsid w:val="00192B41"/>
    <w:rsid w:val="001B7B09"/>
    <w:rsid w:val="001D5A1F"/>
    <w:rsid w:val="001E53EB"/>
    <w:rsid w:val="001E6719"/>
    <w:rsid w:val="001E7F50"/>
    <w:rsid w:val="00225368"/>
    <w:rsid w:val="00227FF0"/>
    <w:rsid w:val="00237933"/>
    <w:rsid w:val="00291EB6"/>
    <w:rsid w:val="002C50E1"/>
    <w:rsid w:val="002D0264"/>
    <w:rsid w:val="002D2F57"/>
    <w:rsid w:val="002D48C5"/>
    <w:rsid w:val="002E05B4"/>
    <w:rsid w:val="0031383E"/>
    <w:rsid w:val="00324ACC"/>
    <w:rsid w:val="0033025A"/>
    <w:rsid w:val="00333825"/>
    <w:rsid w:val="00357356"/>
    <w:rsid w:val="00386A9C"/>
    <w:rsid w:val="003B4800"/>
    <w:rsid w:val="003E2DF3"/>
    <w:rsid w:val="003F099E"/>
    <w:rsid w:val="003F235E"/>
    <w:rsid w:val="003F24DA"/>
    <w:rsid w:val="003F6C77"/>
    <w:rsid w:val="004023E0"/>
    <w:rsid w:val="00403DD8"/>
    <w:rsid w:val="00441C60"/>
    <w:rsid w:val="00442515"/>
    <w:rsid w:val="0044267C"/>
    <w:rsid w:val="0045686C"/>
    <w:rsid w:val="00472567"/>
    <w:rsid w:val="00487880"/>
    <w:rsid w:val="004918C4"/>
    <w:rsid w:val="00497703"/>
    <w:rsid w:val="004A0374"/>
    <w:rsid w:val="004A45B5"/>
    <w:rsid w:val="004D0129"/>
    <w:rsid w:val="004D5F0A"/>
    <w:rsid w:val="004E4DC1"/>
    <w:rsid w:val="00554210"/>
    <w:rsid w:val="005A64D5"/>
    <w:rsid w:val="005B3DEC"/>
    <w:rsid w:val="00601994"/>
    <w:rsid w:val="0064236A"/>
    <w:rsid w:val="00660449"/>
    <w:rsid w:val="0067103C"/>
    <w:rsid w:val="00672F8A"/>
    <w:rsid w:val="006D091F"/>
    <w:rsid w:val="006E02D2"/>
    <w:rsid w:val="006E2D42"/>
    <w:rsid w:val="00703676"/>
    <w:rsid w:val="00707304"/>
    <w:rsid w:val="00723844"/>
    <w:rsid w:val="00732269"/>
    <w:rsid w:val="00744CDE"/>
    <w:rsid w:val="007458BA"/>
    <w:rsid w:val="00750181"/>
    <w:rsid w:val="00755125"/>
    <w:rsid w:val="00762555"/>
    <w:rsid w:val="0078378B"/>
    <w:rsid w:val="00785ABD"/>
    <w:rsid w:val="00792546"/>
    <w:rsid w:val="00796BD3"/>
    <w:rsid w:val="007A08D8"/>
    <w:rsid w:val="007A2DD4"/>
    <w:rsid w:val="007D2F18"/>
    <w:rsid w:val="007D38B5"/>
    <w:rsid w:val="007E206D"/>
    <w:rsid w:val="007E7EA0"/>
    <w:rsid w:val="007F23B5"/>
    <w:rsid w:val="007F2DFF"/>
    <w:rsid w:val="00807255"/>
    <w:rsid w:val="0081023E"/>
    <w:rsid w:val="008173AA"/>
    <w:rsid w:val="0081781D"/>
    <w:rsid w:val="00840A14"/>
    <w:rsid w:val="00846C83"/>
    <w:rsid w:val="008542B1"/>
    <w:rsid w:val="00862497"/>
    <w:rsid w:val="00884FE3"/>
    <w:rsid w:val="008A3E76"/>
    <w:rsid w:val="008B62B4"/>
    <w:rsid w:val="008D2D7B"/>
    <w:rsid w:val="008E0737"/>
    <w:rsid w:val="008F7C2C"/>
    <w:rsid w:val="00911BCC"/>
    <w:rsid w:val="00915036"/>
    <w:rsid w:val="00915357"/>
    <w:rsid w:val="00940E96"/>
    <w:rsid w:val="00952A66"/>
    <w:rsid w:val="00964D8D"/>
    <w:rsid w:val="00973D1F"/>
    <w:rsid w:val="009B0BAE"/>
    <w:rsid w:val="009C1C89"/>
    <w:rsid w:val="009C2625"/>
    <w:rsid w:val="009F3448"/>
    <w:rsid w:val="00A01CF9"/>
    <w:rsid w:val="00A12B4C"/>
    <w:rsid w:val="00A71773"/>
    <w:rsid w:val="00A8628E"/>
    <w:rsid w:val="00AC6581"/>
    <w:rsid w:val="00AD64EA"/>
    <w:rsid w:val="00AE2C85"/>
    <w:rsid w:val="00B12A37"/>
    <w:rsid w:val="00B40741"/>
    <w:rsid w:val="00B41837"/>
    <w:rsid w:val="00B61E45"/>
    <w:rsid w:val="00B63EF2"/>
    <w:rsid w:val="00B66BFB"/>
    <w:rsid w:val="00B7078F"/>
    <w:rsid w:val="00BA7D89"/>
    <w:rsid w:val="00BB60AF"/>
    <w:rsid w:val="00BC0D39"/>
    <w:rsid w:val="00BC4375"/>
    <w:rsid w:val="00BC7BC0"/>
    <w:rsid w:val="00BD57B7"/>
    <w:rsid w:val="00BE63E2"/>
    <w:rsid w:val="00C3247B"/>
    <w:rsid w:val="00C32ED6"/>
    <w:rsid w:val="00C53C9C"/>
    <w:rsid w:val="00C70871"/>
    <w:rsid w:val="00C9681F"/>
    <w:rsid w:val="00CD2009"/>
    <w:rsid w:val="00CF629C"/>
    <w:rsid w:val="00D6403C"/>
    <w:rsid w:val="00D92EEA"/>
    <w:rsid w:val="00DA5D4E"/>
    <w:rsid w:val="00DB5A34"/>
    <w:rsid w:val="00E05A14"/>
    <w:rsid w:val="00E176BA"/>
    <w:rsid w:val="00E41F68"/>
    <w:rsid w:val="00E423EC"/>
    <w:rsid w:val="00E5312F"/>
    <w:rsid w:val="00E55121"/>
    <w:rsid w:val="00E557F9"/>
    <w:rsid w:val="00E55E04"/>
    <w:rsid w:val="00E64D73"/>
    <w:rsid w:val="00E74F12"/>
    <w:rsid w:val="00E84FD6"/>
    <w:rsid w:val="00E868BB"/>
    <w:rsid w:val="00EB4FCB"/>
    <w:rsid w:val="00EB771E"/>
    <w:rsid w:val="00EC6BC5"/>
    <w:rsid w:val="00F35898"/>
    <w:rsid w:val="00F5225B"/>
    <w:rsid w:val="00F57C47"/>
    <w:rsid w:val="00F61AA1"/>
    <w:rsid w:val="00F712D4"/>
    <w:rsid w:val="00F80885"/>
    <w:rsid w:val="00F93E04"/>
    <w:rsid w:val="00F96A46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1E509E"/>
  <w15:docId w15:val="{1FC52519-C7C1-4E65-A86F-0B2D9853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762555"/>
    <w:pPr>
      <w:spacing w:before="200"/>
      <w:ind w:left="0" w:firstLine="0"/>
      <w:outlineLvl w:val="2"/>
    </w:pPr>
    <w:rPr>
      <w:rFonts w:asciiTheme="minorHAnsi" w:hAnsiTheme="minorHAnsi"/>
      <w:sz w:val="22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uiPriority w:val="39"/>
    <w:rsid w:val="00227FF0"/>
  </w:style>
  <w:style w:type="paragraph" w:styleId="TOC4">
    <w:name w:val="toc 4"/>
    <w:basedOn w:val="TOC3"/>
    <w:uiPriority w:val="39"/>
    <w:rsid w:val="00227FF0"/>
    <w:pPr>
      <w:spacing w:before="80"/>
    </w:pPr>
  </w:style>
  <w:style w:type="paragraph" w:styleId="TOC3">
    <w:name w:val="toc 3"/>
    <w:basedOn w:val="TOC2"/>
    <w:uiPriority w:val="39"/>
    <w:rsid w:val="00227FF0"/>
  </w:style>
  <w:style w:type="paragraph" w:styleId="TOC2">
    <w:name w:val="toc 2"/>
    <w:basedOn w:val="TOC1"/>
    <w:uiPriority w:val="39"/>
    <w:rsid w:val="00227FF0"/>
    <w:pPr>
      <w:spacing w:before="160"/>
    </w:pPr>
  </w:style>
  <w:style w:type="paragraph" w:styleId="TOC1">
    <w:name w:val="toc 1"/>
    <w:basedOn w:val="Normal"/>
    <w:uiPriority w:val="39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uiPriority w:val="39"/>
    <w:rsid w:val="00227FF0"/>
  </w:style>
  <w:style w:type="paragraph" w:styleId="TOC6">
    <w:name w:val="toc 6"/>
    <w:basedOn w:val="TOC4"/>
    <w:uiPriority w:val="39"/>
    <w:rsid w:val="00227FF0"/>
  </w:style>
  <w:style w:type="paragraph" w:styleId="TOC5">
    <w:name w:val="toc 5"/>
    <w:basedOn w:val="TOC4"/>
    <w:uiPriority w:val="39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link w:val="Foot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227FF0"/>
    <w:rPr>
      <w:position w:val="6"/>
      <w:sz w:val="16"/>
    </w:rPr>
  </w:style>
  <w:style w:type="paragraph" w:styleId="FootnoteText">
    <w:name w:val="footnote text"/>
    <w:aliases w:val="ALTS FOOTNOTE,Schriftart: 9 pt,Schriftart: 10 pt,Schriftart: 8 pt,WB-Fuكnotentext,Footnote text,Footnote Text Char Char Char Char,Footnote Text Char Char,Footnote Text Char Char Char Char Char,WB-Fußnotentext,MTFootnote,fn,Fußn"/>
    <w:basedOn w:val="Normal"/>
    <w:link w:val="FootnoteTextChar"/>
    <w:uiPriority w:val="99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uiPriority w:val="99"/>
    <w:qFormat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uiPriority w:val="39"/>
    <w:rsid w:val="00227FF0"/>
  </w:style>
  <w:style w:type="paragraph" w:customStyle="1" w:styleId="Headingb">
    <w:name w:val="Heading_b"/>
    <w:basedOn w:val="Heading3"/>
    <w:next w:val="Normal"/>
    <w:rsid w:val="0076255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</w:rPr>
  </w:style>
  <w:style w:type="character" w:styleId="FollowedHyperlink">
    <w:name w:val="FollowedHyperlink"/>
    <w:basedOn w:val="DefaultParagraphFont"/>
    <w:uiPriority w:val="99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uiPriority w:val="99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62555"/>
    <w:pPr>
      <w:spacing w:before="160"/>
    </w:pPr>
    <w:rPr>
      <w:b w:val="0"/>
      <w:i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rsid w:val="00227FF0"/>
  </w:style>
  <w:style w:type="paragraph" w:customStyle="1" w:styleId="Restitle">
    <w:name w:val="Res_title"/>
    <w:basedOn w:val="Rectitle"/>
    <w:next w:val="Resref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customStyle="1" w:styleId="HeaderChar">
    <w:name w:val="Header Char"/>
    <w:basedOn w:val="DefaultParagraphFont"/>
    <w:link w:val="Header"/>
    <w:uiPriority w:val="99"/>
    <w:rsid w:val="00796BD3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uiPriority w:val="39"/>
    <w:rsid w:val="00796BD3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">
    <w:name w:val="Sub_title"/>
    <w:basedOn w:val="Title1"/>
    <w:qFormat/>
    <w:rsid w:val="00796BD3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7F23B5"/>
    <w:rPr>
      <w:color w:val="605E5C"/>
      <w:shd w:val="clear" w:color="auto" w:fill="E1DFDD"/>
    </w:r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31383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510"/>
      <w:textAlignment w:val="auto"/>
    </w:pPr>
    <w:rPr>
      <w:rFonts w:eastAsia="PMingLiU"/>
      <w:szCs w:val="22"/>
      <w:lang w:val="en-US" w:eastAsia="zh-TW"/>
    </w:r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basedOn w:val="DefaultParagraphFont"/>
    <w:link w:val="ListParagraph"/>
    <w:uiPriority w:val="34"/>
    <w:qFormat/>
    <w:locked/>
    <w:rsid w:val="0031383E"/>
    <w:rPr>
      <w:rFonts w:ascii="Calibri" w:eastAsia="PMingLiU" w:hAnsi="Calibri"/>
      <w:sz w:val="22"/>
      <w:szCs w:val="22"/>
      <w:lang w:eastAsia="zh-TW"/>
    </w:rPr>
  </w:style>
  <w:style w:type="paragraph" w:styleId="Revision">
    <w:name w:val="Revision"/>
    <w:hidden/>
    <w:uiPriority w:val="99"/>
    <w:semiHidden/>
    <w:rsid w:val="00E557F9"/>
    <w:rPr>
      <w:rFonts w:ascii="Calibri" w:hAnsi="Calibri"/>
      <w:sz w:val="22"/>
      <w:lang w:val="en-GB" w:eastAsia="en-US"/>
    </w:rPr>
  </w:style>
  <w:style w:type="character" w:customStyle="1" w:styleId="findhit">
    <w:name w:val="findhit"/>
    <w:basedOn w:val="DefaultParagraphFont"/>
    <w:rsid w:val="00F80885"/>
  </w:style>
  <w:style w:type="character" w:customStyle="1" w:styleId="Heading1Char">
    <w:name w:val="Heading 1 Char"/>
    <w:basedOn w:val="DefaultParagraphFont"/>
    <w:link w:val="Heading1"/>
    <w:uiPriority w:val="9"/>
    <w:rsid w:val="00F80885"/>
    <w:rPr>
      <w:rFonts w:ascii="Calibri" w:hAnsi="Calibri"/>
      <w:b/>
      <w:sz w:val="26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F80885"/>
    <w:rPr>
      <w:rFonts w:ascii="Calibri" w:hAnsi="Calibri"/>
      <w:b/>
      <w:sz w:val="22"/>
      <w:lang w:val="en-GB" w:eastAsia="en-US"/>
    </w:rPr>
  </w:style>
  <w:style w:type="paragraph" w:customStyle="1" w:styleId="msonormal0">
    <w:name w:val="msonormal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80885"/>
  </w:style>
  <w:style w:type="character" w:customStyle="1" w:styleId="textrun">
    <w:name w:val="textrun"/>
    <w:basedOn w:val="DefaultParagraphFont"/>
    <w:rsid w:val="00F80885"/>
  </w:style>
  <w:style w:type="character" w:customStyle="1" w:styleId="normaltextrun">
    <w:name w:val="normaltextrun"/>
    <w:basedOn w:val="DefaultParagraphFont"/>
    <w:rsid w:val="00F80885"/>
  </w:style>
  <w:style w:type="paragraph" w:customStyle="1" w:styleId="outlineelement">
    <w:name w:val="outlineelement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trackchangetextdeletion">
    <w:name w:val="trackchangetextdeletion"/>
    <w:basedOn w:val="DefaultParagraphFont"/>
    <w:rsid w:val="00F80885"/>
  </w:style>
  <w:style w:type="character" w:customStyle="1" w:styleId="trackchangetextinsertion">
    <w:name w:val="trackchangetextinsertion"/>
    <w:basedOn w:val="DefaultParagraphFont"/>
    <w:rsid w:val="00F80885"/>
  </w:style>
  <w:style w:type="character" w:customStyle="1" w:styleId="fieldrange">
    <w:name w:val="fieldrange"/>
    <w:basedOn w:val="DefaultParagraphFont"/>
    <w:rsid w:val="00F80885"/>
  </w:style>
  <w:style w:type="character" w:customStyle="1" w:styleId="pagebreakblob">
    <w:name w:val="pagebreakblob"/>
    <w:basedOn w:val="DefaultParagraphFont"/>
    <w:rsid w:val="00F80885"/>
  </w:style>
  <w:style w:type="character" w:customStyle="1" w:styleId="pagebreakborderspan">
    <w:name w:val="pagebreakborderspan"/>
    <w:basedOn w:val="DefaultParagraphFont"/>
    <w:rsid w:val="00F80885"/>
  </w:style>
  <w:style w:type="character" w:customStyle="1" w:styleId="pagebreaktextspan">
    <w:name w:val="pagebreaktextspan"/>
    <w:basedOn w:val="DefaultParagraphFont"/>
    <w:rsid w:val="00F80885"/>
  </w:style>
  <w:style w:type="character" w:customStyle="1" w:styleId="superscript">
    <w:name w:val="superscript"/>
    <w:basedOn w:val="DefaultParagraphFont"/>
    <w:rsid w:val="00F80885"/>
  </w:style>
  <w:style w:type="character" w:customStyle="1" w:styleId="linebreakblob">
    <w:name w:val="linebreakblob"/>
    <w:basedOn w:val="DefaultParagraphFont"/>
    <w:rsid w:val="00F80885"/>
  </w:style>
  <w:style w:type="character" w:customStyle="1" w:styleId="bcx7">
    <w:name w:val="bcx7"/>
    <w:basedOn w:val="DefaultParagraphFont"/>
    <w:rsid w:val="00F80885"/>
  </w:style>
  <w:style w:type="character" w:customStyle="1" w:styleId="UnresolvedMention1">
    <w:name w:val="Unresolved Mention1"/>
    <w:basedOn w:val="DefaultParagraphFont"/>
    <w:uiPriority w:val="99"/>
    <w:unhideWhenUsed/>
    <w:rsid w:val="00F8088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0885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scxw33153122">
    <w:name w:val="scxw33153122"/>
    <w:basedOn w:val="DefaultParagraphFont"/>
    <w:rsid w:val="00F80885"/>
  </w:style>
  <w:style w:type="character" w:customStyle="1" w:styleId="FooterChar">
    <w:name w:val="Footer Char"/>
    <w:basedOn w:val="DefaultParagraphFont"/>
    <w:link w:val="Footer"/>
    <w:uiPriority w:val="99"/>
    <w:rsid w:val="00F80885"/>
    <w:rPr>
      <w:rFonts w:ascii="Calibri" w:hAnsi="Calibri"/>
      <w:caps/>
      <w:noProof/>
      <w:sz w:val="16"/>
      <w:lang w:val="fr-FR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885"/>
    <w:rPr>
      <w:rFonts w:ascii="Segoe UI" w:eastAsiaTheme="minorHAnsi" w:hAnsi="Segoe UI" w:cs="Segoe UI"/>
      <w:sz w:val="18"/>
      <w:szCs w:val="18"/>
      <w:lang w:val="en-GB" w:eastAsia="en-US"/>
    </w:rPr>
  </w:style>
  <w:style w:type="character" w:styleId="CommentReference">
    <w:name w:val="annotation reference"/>
    <w:uiPriority w:val="99"/>
    <w:rsid w:val="00F80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0"/>
      <w:szCs w:val="22"/>
      <w:lang w:val="en-US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0885"/>
    <w:rPr>
      <w:rFonts w:ascii="Calibri" w:eastAsiaTheme="minorEastAsia" w:hAnsi="Calibri"/>
      <w:szCs w:val="22"/>
      <w:lang w:eastAsia="fr-FR"/>
    </w:rPr>
  </w:style>
  <w:style w:type="paragraph" w:customStyle="1" w:styleId="Tableheadwhitecentred">
    <w:name w:val="Table head white centred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boxtext">
    <w:name w:val="box_text"/>
    <w:basedOn w:val="Normal"/>
    <w:link w:val="boxtextChar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eastAsiaTheme="minorEastAsia" w:cs="Calibri"/>
      <w:szCs w:val="22"/>
      <w:lang w:val="en-US" w:eastAsia="fr-FR"/>
    </w:rPr>
  </w:style>
  <w:style w:type="character" w:customStyle="1" w:styleId="boxtextChar">
    <w:name w:val="box_text Char"/>
    <w:basedOn w:val="DefaultParagraphFont"/>
    <w:link w:val="boxtext"/>
    <w:locked/>
    <w:rsid w:val="00F80885"/>
    <w:rPr>
      <w:rFonts w:ascii="Calibri" w:eastAsiaTheme="minorEastAsia" w:hAnsi="Calibri" w:cs="Calibri"/>
      <w:sz w:val="22"/>
      <w:szCs w:val="22"/>
      <w:lang w:eastAsia="fr-FR"/>
    </w:rPr>
  </w:style>
  <w:style w:type="paragraph" w:customStyle="1" w:styleId="Tabletextcentred">
    <w:name w:val="Table text centred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paragraph" w:customStyle="1" w:styleId="Tabletextrightaligned">
    <w:name w:val="Table text right aligned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rFonts w:eastAsiaTheme="minorEastAsia"/>
      <w:sz w:val="21"/>
      <w:szCs w:val="22"/>
      <w:lang w:eastAsia="fr-FR"/>
    </w:rPr>
  </w:style>
  <w:style w:type="table" w:styleId="ListTable3-Accent1">
    <w:name w:val="List Table 3 Accent 1"/>
    <w:basedOn w:val="TableNormal"/>
    <w:uiPriority w:val="48"/>
    <w:rsid w:val="00F80885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link w:val="NormalWebChar"/>
    <w:uiPriority w:val="99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1"/>
      <w:szCs w:val="24"/>
      <w:lang w:val="en-US" w:eastAsia="zh-CN"/>
    </w:rPr>
  </w:style>
  <w:style w:type="character" w:customStyle="1" w:styleId="NormalWebChar">
    <w:name w:val="Normal (Web) Char"/>
    <w:link w:val="NormalWeb"/>
    <w:uiPriority w:val="99"/>
    <w:locked/>
    <w:rsid w:val="00F80885"/>
    <w:rPr>
      <w:rFonts w:ascii="Calibri" w:eastAsia="SimSun" w:hAnsi="Calibri"/>
      <w:sz w:val="21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885"/>
    <w:rPr>
      <w:rFonts w:ascii="Courier New" w:eastAsia="SimSun" w:hAnsi="Courier New" w:cs="Courier New"/>
      <w:szCs w:val="22"/>
    </w:rPr>
  </w:style>
  <w:style w:type="character" w:styleId="Emphasis">
    <w:name w:val="Emphasis"/>
    <w:basedOn w:val="DefaultParagraphFont"/>
    <w:uiPriority w:val="20"/>
    <w:qFormat/>
    <w:rsid w:val="00F80885"/>
    <w:rPr>
      <w:i/>
      <w:iCs/>
    </w:rPr>
  </w:style>
  <w:style w:type="character" w:customStyle="1" w:styleId="FootnoteTextChar">
    <w:name w:val="Footnote Text Char"/>
    <w:aliases w:val="ALTS FOOTNOTE Char,Schriftart: 9 pt Char,Schriftart: 10 pt Char,Schriftart: 8 pt Char,WB-Fuكnotentext Char,Footnote text Char,Footnote Text Char Char Char Char Char1,Footnote Text Char Char Char,WB-Fußnotentext Char,MTFootnote Char"/>
    <w:basedOn w:val="DefaultParagraphFont"/>
    <w:link w:val="FootnoteText"/>
    <w:uiPriority w:val="99"/>
    <w:rsid w:val="00F80885"/>
    <w:rPr>
      <w:rFonts w:ascii="Calibri" w:hAnsi="Calibri"/>
      <w:lang w:val="en-GB" w:eastAsia="en-US"/>
    </w:rPr>
  </w:style>
  <w:style w:type="character" w:customStyle="1" w:styleId="normalWSISChar">
    <w:name w:val="normal WSIS Char"/>
    <w:basedOn w:val="DefaultParagraphFont"/>
    <w:link w:val="normalWSIS"/>
    <w:locked/>
    <w:rsid w:val="00F80885"/>
    <w:rPr>
      <w:rFonts w:ascii="Calibri" w:eastAsia="SimSun" w:hAnsi="Calibri" w:cs="Arial"/>
    </w:rPr>
  </w:style>
  <w:style w:type="paragraph" w:customStyle="1" w:styleId="normalWSIS">
    <w:name w:val="normal WSIS"/>
    <w:basedOn w:val="ListParagraph"/>
    <w:link w:val="normalWSISChar"/>
    <w:qFormat/>
    <w:rsid w:val="00F80885"/>
    <w:pPr>
      <w:numPr>
        <w:numId w:val="16"/>
      </w:numPr>
      <w:tabs>
        <w:tab w:val="left" w:pos="426"/>
      </w:tabs>
      <w:spacing w:after="200"/>
    </w:pPr>
    <w:rPr>
      <w:rFonts w:eastAsia="SimSun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0885"/>
    <w:pPr>
      <w:spacing w:before="0"/>
    </w:pPr>
    <w:rPr>
      <w:rFonts w:asciiTheme="minorHAnsi" w:eastAsiaTheme="minorHAnsi" w:hAnsiTheme="minorHAnsi" w:cstheme="minorBidi"/>
      <w:b/>
      <w:bCs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885"/>
    <w:rPr>
      <w:rFonts w:asciiTheme="minorHAnsi" w:eastAsiaTheme="minorHAnsi" w:hAnsiTheme="minorHAnsi" w:cstheme="minorBidi"/>
      <w:b/>
      <w:bCs/>
      <w:szCs w:val="22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sid w:val="00F80885"/>
    <w:rPr>
      <w:color w:val="2B579A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F80885"/>
    <w:rPr>
      <w:rFonts w:asciiTheme="minorHAnsi" w:hAnsiTheme="minorHAnsi"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F80885"/>
    <w:rPr>
      <w:rFonts w:asciiTheme="minorHAnsi" w:hAnsiTheme="minorHAnsi"/>
      <w:b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line="259" w:lineRule="auto"/>
      <w:ind w:left="567" w:hanging="567"/>
      <w:textAlignment w:val="auto"/>
      <w:outlineLvl w:val="9"/>
    </w:pPr>
    <w:rPr>
      <w:rFonts w:eastAsiaTheme="majorEastAsia" w:cs="Calibri"/>
      <w:b w:val="0"/>
      <w:color w:val="365F91" w:themeColor="accent1" w:themeShade="BF"/>
      <w:sz w:val="32"/>
      <w:szCs w:val="32"/>
      <w:lang w:val="en-US"/>
    </w:rPr>
  </w:style>
  <w:style w:type="character" w:styleId="Strong">
    <w:name w:val="Strong"/>
    <w:basedOn w:val="DefaultParagraphFont"/>
    <w:uiPriority w:val="22"/>
    <w:qFormat/>
    <w:rsid w:val="00F80885"/>
    <w:rPr>
      <w:b/>
      <w:bCs/>
    </w:rPr>
  </w:style>
  <w:style w:type="paragraph" w:customStyle="1" w:styleId="xmsolistparagraph">
    <w:name w:val="x_msolistparagraph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eastAsiaTheme="minorHAnsi" w:cs="Calibri"/>
      <w:szCs w:val="22"/>
      <w:lang w:eastAsia="en-GB"/>
    </w:rPr>
  </w:style>
  <w:style w:type="paragraph" w:customStyle="1" w:styleId="Table">
    <w:name w:val="Table_#"/>
    <w:basedOn w:val="Normal"/>
    <w:next w:val="Normal"/>
    <w:rsid w:val="00F80885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sz w:val="24"/>
    </w:rPr>
  </w:style>
  <w:style w:type="character" w:customStyle="1" w:styleId="apple-style-span">
    <w:name w:val="apple-style-span"/>
    <w:basedOn w:val="DefaultParagraphFont"/>
    <w:rsid w:val="00F80885"/>
  </w:style>
  <w:style w:type="character" w:styleId="SubtleEmphasis">
    <w:name w:val="Subtle Emphasis"/>
    <w:basedOn w:val="DefaultParagraphFont"/>
    <w:uiPriority w:val="19"/>
    <w:qFormat/>
    <w:rsid w:val="00F80885"/>
    <w:rPr>
      <w:i/>
      <w:iCs/>
      <w:color w:val="404040" w:themeColor="text1" w:themeTint="BF"/>
    </w:rPr>
  </w:style>
  <w:style w:type="paragraph" w:customStyle="1" w:styleId="tabletitle0">
    <w:name w:val="table_title"/>
    <w:basedOn w:val="Normal"/>
    <w:qFormat/>
    <w:rsid w:val="00F80885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20"/>
      <w:jc w:val="both"/>
      <w:textAlignment w:val="auto"/>
    </w:pPr>
    <w:rPr>
      <w:rFonts w:eastAsiaTheme="minorHAnsi" w:cs="Calibri"/>
      <w:b/>
      <w:bCs/>
      <w:color w:val="4472C4"/>
      <w:szCs w:val="22"/>
    </w:rPr>
  </w:style>
  <w:style w:type="paragraph" w:customStyle="1" w:styleId="boxhead">
    <w:name w:val="box_head"/>
    <w:basedOn w:val="Normal"/>
    <w:qFormat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60"/>
      <w:textAlignment w:val="auto"/>
    </w:pPr>
    <w:rPr>
      <w:rFonts w:eastAsia="Calibri" w:cs="Calibri"/>
      <w:b/>
      <w:szCs w:val="22"/>
      <w:u w:val="single"/>
      <w:lang w:eastAsia="zh-CN"/>
    </w:rPr>
  </w:style>
  <w:style w:type="paragraph" w:customStyle="1" w:styleId="boxbullet">
    <w:name w:val="box_bullet"/>
    <w:basedOn w:val="Normal"/>
    <w:qFormat/>
    <w:rsid w:val="00F80885"/>
    <w:pPr>
      <w:numPr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714" w:hanging="357"/>
      <w:jc w:val="both"/>
      <w:textAlignment w:val="auto"/>
    </w:pPr>
    <w:rPr>
      <w:rFonts w:eastAsiaTheme="minorEastAsia" w:cs="Calibri"/>
      <w:szCs w:val="22"/>
      <w:lang w:eastAsia="zh-CN"/>
    </w:rPr>
  </w:style>
  <w:style w:type="paragraph" w:customStyle="1" w:styleId="Boxbullet2">
    <w:name w:val="Box_bullet2"/>
    <w:basedOn w:val="Normal"/>
    <w:qFormat/>
    <w:rsid w:val="00F80885"/>
    <w:pPr>
      <w:numPr>
        <w:ilvl w:val="1"/>
        <w:numId w:val="17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ind w:left="1434" w:hanging="357"/>
      <w:jc w:val="both"/>
      <w:textAlignment w:val="auto"/>
    </w:pPr>
    <w:rPr>
      <w:rFonts w:eastAsiaTheme="minorEastAsia"/>
      <w:szCs w:val="22"/>
      <w:lang w:eastAsia="zh-CN"/>
    </w:rPr>
  </w:style>
  <w:style w:type="paragraph" w:customStyle="1" w:styleId="tabletext0">
    <w:name w:val="table_text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80" w:after="80"/>
      <w:jc w:val="both"/>
      <w:textAlignment w:val="auto"/>
    </w:pPr>
    <w:rPr>
      <w:rFonts w:eastAsiaTheme="minorEastAsia" w:cs="Calibri"/>
      <w:szCs w:val="22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rsid w:val="00F80885"/>
    <w:rPr>
      <w:rFonts w:asciiTheme="minorHAnsi" w:hAnsiTheme="minorHAnsi"/>
      <w:sz w:val="22"/>
      <w:lang w:val="en-GB" w:eastAsia="en-US"/>
    </w:rPr>
  </w:style>
  <w:style w:type="character" w:customStyle="1" w:styleId="A0">
    <w:name w:val="A0"/>
    <w:uiPriority w:val="99"/>
    <w:rsid w:val="00F80885"/>
    <w:rPr>
      <w:color w:val="404041"/>
      <w:sz w:val="21"/>
      <w:szCs w:val="21"/>
    </w:rPr>
  </w:style>
  <w:style w:type="table" w:styleId="ListTable4-Accent1">
    <w:name w:val="List Table 4 Accent 1"/>
    <w:basedOn w:val="TableNormal"/>
    <w:uiPriority w:val="49"/>
    <w:rsid w:val="00F80885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Bulletlist1">
    <w:name w:val="Bullet list 1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425" w:hanging="425"/>
      <w:textAlignment w:val="auto"/>
    </w:pPr>
    <w:rPr>
      <w:rFonts w:eastAsiaTheme="minorEastAsia"/>
      <w:sz w:val="21"/>
      <w:szCs w:val="22"/>
      <w:lang w:val="en-US" w:eastAsia="fr-FR"/>
    </w:rPr>
  </w:style>
  <w:style w:type="paragraph" w:customStyle="1" w:styleId="xxxmsonormal">
    <w:name w:val="x_xxmsonormal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Cs w:val="22"/>
      <w:lang w:eastAsia="en-GB"/>
    </w:rPr>
  </w:style>
  <w:style w:type="character" w:customStyle="1" w:styleId="SmartLink1">
    <w:name w:val="SmartLink1"/>
    <w:basedOn w:val="DefaultParagraphFont"/>
    <w:uiPriority w:val="99"/>
    <w:semiHidden/>
    <w:unhideWhenUsed/>
    <w:rsid w:val="00F80885"/>
    <w:rPr>
      <w:color w:val="0000FF"/>
      <w:u w:val="single"/>
      <w:shd w:val="clear" w:color="auto" w:fill="F3F2F1"/>
    </w:rPr>
  </w:style>
  <w:style w:type="character" w:customStyle="1" w:styleId="apple-converted-space">
    <w:name w:val="apple-converted-space"/>
    <w:basedOn w:val="DefaultParagraphFont"/>
    <w:rsid w:val="00F80885"/>
  </w:style>
  <w:style w:type="character" w:customStyle="1" w:styleId="ms-rtethemeforecolor-2-0">
    <w:name w:val="ms-rtethemeforecolor-2-0"/>
    <w:basedOn w:val="DefaultParagraphFont"/>
    <w:rsid w:val="00F80885"/>
  </w:style>
  <w:style w:type="character" w:customStyle="1" w:styleId="Heading4Char">
    <w:name w:val="Heading 4 Char"/>
    <w:basedOn w:val="DefaultParagraphFont"/>
    <w:link w:val="Heading4"/>
    <w:uiPriority w:val="9"/>
    <w:rsid w:val="00F80885"/>
    <w:rPr>
      <w:rFonts w:asciiTheme="minorHAnsi" w:hAnsiTheme="minorHAnsi"/>
      <w:sz w:val="22"/>
      <w:lang w:val="en-GB" w:eastAsia="en-US"/>
    </w:rPr>
  </w:style>
  <w:style w:type="character" w:customStyle="1" w:styleId="UnresolvedMention10">
    <w:name w:val="Unresolved Mention10"/>
    <w:basedOn w:val="DefaultParagraphFont"/>
    <w:uiPriority w:val="99"/>
    <w:unhideWhenUsed/>
    <w:rsid w:val="00F80885"/>
    <w:rPr>
      <w:color w:val="605E5C"/>
      <w:shd w:val="clear" w:color="auto" w:fill="E1DFDD"/>
    </w:rPr>
  </w:style>
  <w:style w:type="character" w:customStyle="1" w:styleId="Mention10">
    <w:name w:val="Mention10"/>
    <w:basedOn w:val="DefaultParagraphFont"/>
    <w:uiPriority w:val="99"/>
    <w:unhideWhenUsed/>
    <w:rsid w:val="00F80885"/>
    <w:rPr>
      <w:color w:val="2B579A"/>
      <w:shd w:val="clear" w:color="auto" w:fill="E1DFDD"/>
    </w:rPr>
  </w:style>
  <w:style w:type="table" w:customStyle="1" w:styleId="ListTable3-Accent11">
    <w:name w:val="List Table 3 - Accent 11"/>
    <w:basedOn w:val="TableNormal"/>
    <w:next w:val="ListTable3-Accent1"/>
    <w:uiPriority w:val="48"/>
    <w:rsid w:val="00F80885"/>
    <w:rPr>
      <w:rFonts w:asciiTheme="minorHAnsi" w:eastAsiaTheme="minorHAnsi" w:hAnsiTheme="minorHAnsi" w:cstheme="minorBid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80885"/>
    <w:rPr>
      <w:color w:val="605E5C"/>
      <w:shd w:val="clear" w:color="auto" w:fill="E1DFDD"/>
    </w:rPr>
  </w:style>
  <w:style w:type="character" w:customStyle="1" w:styleId="Mention2">
    <w:name w:val="Mention2"/>
    <w:basedOn w:val="DefaultParagraphFont"/>
    <w:uiPriority w:val="99"/>
    <w:unhideWhenUsed/>
    <w:rsid w:val="00F80885"/>
    <w:rPr>
      <w:color w:val="2B579A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Theme="minorHAnsi" w:hAnsiTheme="minorHAnsi" w:cstheme="minorBidi"/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885"/>
    <w:rPr>
      <w:rFonts w:asciiTheme="minorHAnsi" w:eastAsiaTheme="minorHAnsi" w:hAnsiTheme="minorHAnsi" w:cstheme="minorBidi"/>
      <w:lang w:val="en-GB" w:eastAsia="en-US"/>
    </w:rPr>
  </w:style>
  <w:style w:type="paragraph" w:customStyle="1" w:styleId="yiv3170009829msonormal">
    <w:name w:val="yiv3170009829msonormal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suppressAutoHyphens/>
      <w:overflowPunct/>
      <w:autoSpaceDE/>
      <w:adjustRightInd/>
      <w:spacing w:before="100" w:after="100"/>
    </w:pPr>
    <w:rPr>
      <w:rFonts w:ascii="Times New Roman" w:hAnsi="Times New Roman"/>
      <w:sz w:val="24"/>
      <w:szCs w:val="24"/>
      <w:lang w:val="fr-CH" w:eastAsia="fr-CH"/>
    </w:rPr>
  </w:style>
  <w:style w:type="character" w:customStyle="1" w:styleId="yiv3170009829msohyperlink">
    <w:name w:val="yiv3170009829msohyperlink"/>
    <w:basedOn w:val="DefaultParagraphFont"/>
    <w:rsid w:val="00F80885"/>
  </w:style>
  <w:style w:type="character" w:customStyle="1" w:styleId="enumlev1Char">
    <w:name w:val="enumlev1 Char"/>
    <w:basedOn w:val="DefaultParagraphFont"/>
    <w:link w:val="enumlev1"/>
    <w:rsid w:val="00F80885"/>
    <w:rPr>
      <w:rFonts w:ascii="Calibri" w:hAnsi="Calibri"/>
      <w:sz w:val="22"/>
      <w:lang w:val="en-GB" w:eastAsia="en-US"/>
    </w:rPr>
  </w:style>
  <w:style w:type="character" w:customStyle="1" w:styleId="tabchar">
    <w:name w:val="tabchar"/>
    <w:basedOn w:val="DefaultParagraphFont"/>
    <w:rsid w:val="00F80885"/>
  </w:style>
  <w:style w:type="character" w:customStyle="1" w:styleId="ui-provider">
    <w:name w:val="ui-provider"/>
    <w:basedOn w:val="DefaultParagraphFont"/>
    <w:rsid w:val="00F80885"/>
  </w:style>
  <w:style w:type="paragraph" w:customStyle="1" w:styleId="Subtitle1">
    <w:name w:val="Subtitle1"/>
    <w:basedOn w:val="Title1"/>
    <w:qFormat/>
    <w:rsid w:val="00F80885"/>
    <w:pPr>
      <w:framePr w:hSpace="180" w:wrap="around" w:hAnchor="page" w:x="1821" w:y="2317"/>
      <w:spacing w:before="120" w:after="160"/>
      <w:jc w:val="left"/>
    </w:pPr>
    <w:rPr>
      <w:caps w:val="0"/>
      <w:sz w:val="34"/>
    </w:rPr>
  </w:style>
  <w:style w:type="paragraph" w:customStyle="1" w:styleId="xmsonormal">
    <w:name w:val="x_msonormal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Theme="minorHAnsi" w:cs="Calibri"/>
      <w:szCs w:val="22"/>
      <w:lang w:eastAsia="en-GB"/>
    </w:rPr>
  </w:style>
  <w:style w:type="paragraph" w:styleId="NoSpacing">
    <w:name w:val="No Spacing"/>
    <w:uiPriority w:val="1"/>
    <w:qFormat/>
    <w:rsid w:val="00F80885"/>
    <w:rPr>
      <w:rFonts w:asciiTheme="minorHAnsi" w:eastAsiaTheme="minorEastAsia" w:hAnsiTheme="minorHAnsi" w:cstheme="minorBidi"/>
      <w:kern w:val="2"/>
      <w:sz w:val="22"/>
      <w:szCs w:val="22"/>
      <w:lang w:val="en-GB"/>
    </w:rPr>
  </w:style>
  <w:style w:type="paragraph" w:customStyle="1" w:styleId="pf0">
    <w:name w:val="pf0"/>
    <w:basedOn w:val="Normal"/>
    <w:rsid w:val="00F8088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F80885"/>
    <w:rPr>
      <w:rFonts w:ascii="Segoe UI" w:hAnsi="Segoe UI" w:cs="Segoe UI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igi.itu.int/" TargetMode="External"/><Relationship Id="rId21" Type="http://schemas.openxmlformats.org/officeDocument/2006/relationships/hyperlink" Target="https://www.itu.int/dms_pubrec/itu-r/rec/bt/R-REC-BT.2100-2-201807-I!!PDF-R.pdf" TargetMode="External"/><Relationship Id="rId42" Type="http://schemas.openxmlformats.org/officeDocument/2006/relationships/hyperlink" Target="https://www.itu.int/en/ITU-T/focusgroups/Pages/default.aspx" TargetMode="External"/><Relationship Id="rId63" Type="http://schemas.openxmlformats.org/officeDocument/2006/relationships/hyperlink" Target="https://www.itu.int/cities/standards4dt/" TargetMode="External"/><Relationship Id="rId84" Type="http://schemas.openxmlformats.org/officeDocument/2006/relationships/hyperlink" Target="https://www.itu.int/en/ITU-T/accessibility/Pages/default.aspx" TargetMode="External"/><Relationship Id="rId138" Type="http://schemas.openxmlformats.org/officeDocument/2006/relationships/hyperlink" Target="https://aiforgood.itu.int/about-ai-for-good/innovation-factory/" TargetMode="External"/><Relationship Id="rId159" Type="http://schemas.openxmlformats.org/officeDocument/2006/relationships/hyperlink" Target="https://www.itu.int/en/ITU-R/study-groups/rsg4/Pages/Workshop-ITU-in-Service-of-Space.aspx" TargetMode="External"/><Relationship Id="rId170" Type="http://schemas.openxmlformats.org/officeDocument/2006/relationships/hyperlink" Target="https://www.itu.int/hub/2023/03/itu-opens-area-office-and-innovation-centre-in-new-delhi/" TargetMode="External"/><Relationship Id="rId107" Type="http://schemas.openxmlformats.org/officeDocument/2006/relationships/hyperlink" Target="https://aiforgood.itu.int/summit23/" TargetMode="External"/><Relationship Id="rId11" Type="http://schemas.openxmlformats.org/officeDocument/2006/relationships/hyperlink" Target="https://www.itu.int/en/council/Documents/basic-texts-2023/Convention-R.pdf" TargetMode="External"/><Relationship Id="rId32" Type="http://schemas.openxmlformats.org/officeDocument/2006/relationships/hyperlink" Target="https://app.powerbi.com/view?r=eyJrIjoiYTFjNzM1NGEtNWE0NS00ODQzLTg5MDUtZTE3NGFlZjNjZjkyIiwidCI6IjIzZTQ2NGQ3LTA0ZTYtNGI4Ny05MTNjLTI0YmQ4OTIxOWZkMyIsImMiOjl9" TargetMode="External"/><Relationship Id="rId53" Type="http://schemas.openxmlformats.org/officeDocument/2006/relationships/hyperlink" Target="https://www.itu.int/hub/publication/d-gen-E_WASTE.04-2023/" TargetMode="External"/><Relationship Id="rId74" Type="http://schemas.openxmlformats.org/officeDocument/2006/relationships/hyperlink" Target="https://eur03.safelinks.protection.outlook.com/?url=https%3A%2F%2Fmailchi.mp%2Faiforgood%2Fjoin-the-global-dialogue-on-ai-and-youth-take-the-survey&amp;data=05%7C02%7Cfernando.rivera%40itu.int%7Ce317345d73ca4a52a6ef08dc62a88bea%7C23e464d704e64b87913c24bd89219fd3%7C0%7C0%7C638493723238914971%7CUnknown%7CTWFpbGZsb3d8eyJWIjoiMC4wLjAwMDAiLCJQIjoiV2luMzIiLCJBTiI6Ik1haWwiLCJXVCI6Mn0%3D%7C0%7C%7C%7C&amp;sdata=UQJzz30zIXArqcK3ph7dy3Bw01IP8ue5tNeCzquXG1E%3D&amp;reserved=0" TargetMode="External"/><Relationship Id="rId128" Type="http://schemas.openxmlformats.org/officeDocument/2006/relationships/hyperlink" Target="https://www.itu.int/en/ITU-T/extcoop/cits/Pages/egcomad.aspx" TargetMode="External"/><Relationship Id="rId149" Type="http://schemas.openxmlformats.org/officeDocument/2006/relationships/hyperlink" Target="http://www.wsis.org/prize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itu.int/ru/ITU-T/studygroups/2022-2024/Pages/default.aspx" TargetMode="External"/><Relationship Id="rId160" Type="http://schemas.openxmlformats.org/officeDocument/2006/relationships/hyperlink" Target="https://www.itu.int/en/ITU-R/study-groups/workshops/sg6-itu-ebu-btc-2023/Pages/default.aspx" TargetMode="External"/><Relationship Id="rId22" Type="http://schemas.openxmlformats.org/officeDocument/2006/relationships/hyperlink" Target="https://www.itu.int/hub/2023/10/itu-receives-emmy-award-for-hdr-tv-and-transforming-the-world-of-television/" TargetMode="External"/><Relationship Id="rId43" Type="http://schemas.openxmlformats.org/officeDocument/2006/relationships/hyperlink" Target="https://aiforgood.itu.int/" TargetMode="External"/><Relationship Id="rId64" Type="http://schemas.openxmlformats.org/officeDocument/2006/relationships/hyperlink" Target="https://www.itu.int/itu-d/sites/digital-impact-unlocked/smart-seas-project-for-caribbean-small-scale-fishers/" TargetMode="External"/><Relationship Id="rId118" Type="http://schemas.openxmlformats.org/officeDocument/2006/relationships/hyperlink" Target="http://www.itu.int/en/ITU-T/ssc/united/Pages/default.aspx" TargetMode="External"/><Relationship Id="rId139" Type="http://schemas.openxmlformats.org/officeDocument/2006/relationships/hyperlink" Target="https://www.itu.int/en/ITU-T/extcoop/Pages/wsc.aspx" TargetMode="External"/><Relationship Id="rId85" Type="http://schemas.openxmlformats.org/officeDocument/2006/relationships/hyperlink" Target="https://www.itu.int/pub/R-RES-R.67" TargetMode="External"/><Relationship Id="rId150" Type="http://schemas.openxmlformats.org/officeDocument/2006/relationships/hyperlink" Target="https://www.itu.int/net4/wsis/forum/2023/en" TargetMode="External"/><Relationship Id="rId171" Type="http://schemas.openxmlformats.org/officeDocument/2006/relationships/image" Target="media/image1.png"/><Relationship Id="rId12" Type="http://schemas.openxmlformats.org/officeDocument/2006/relationships/hyperlink" Target="https://www.itu.int/en/mediacentre/Pages/PR-2024-03-20-e-waste-recycling.aspx" TargetMode="External"/><Relationship Id="rId33" Type="http://schemas.openxmlformats.org/officeDocument/2006/relationships/hyperlink" Target="https://www.itu.int/en/ITU-D/Environment/Pages/Spotlight/Global-Ewaste-Monitor-2020.aspx" TargetMode="External"/><Relationship Id="rId108" Type="http://schemas.openxmlformats.org/officeDocument/2006/relationships/hyperlink" Target="https://aiforgood.itu.int/programme/" TargetMode="External"/><Relationship Id="rId129" Type="http://schemas.openxmlformats.org/officeDocument/2006/relationships/hyperlink" Target="https://www.itu.int/en/ITU-T/ITS/Pages/default.aspx" TargetMode="External"/><Relationship Id="rId54" Type="http://schemas.openxmlformats.org/officeDocument/2006/relationships/hyperlink" Target="https://www.itu.int/pub/D-HDB-E%20WASTE-2023-WB" TargetMode="External"/><Relationship Id="rId75" Type="http://schemas.openxmlformats.org/officeDocument/2006/relationships/hyperlink" Target="https://aiforgood.itu.int/event/replay-the-impact-of-ai-on-youth-opportunities-and-challenges/" TargetMode="External"/><Relationship Id="rId96" Type="http://schemas.openxmlformats.org/officeDocument/2006/relationships/hyperlink" Target="https://www.itu.int/ru/ITU-T/studygroups/2022-2024/Pages/default.aspx" TargetMode="External"/><Relationship Id="rId140" Type="http://schemas.openxmlformats.org/officeDocument/2006/relationships/hyperlink" Target="https://www.worldstandardsday.org/home.html" TargetMode="External"/><Relationship Id="rId161" Type="http://schemas.openxmlformats.org/officeDocument/2006/relationships/hyperlink" Target="https://aiforgood.itu.int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www.itu.int/pub/R-RES-R.1" TargetMode="External"/><Relationship Id="rId28" Type="http://schemas.openxmlformats.org/officeDocument/2006/relationships/hyperlink" Target="https://www.itu.int/pub/R-RES-R.73" TargetMode="External"/><Relationship Id="rId49" Type="http://schemas.openxmlformats.org/officeDocument/2006/relationships/hyperlink" Target="https://www.itu.int/en/ITU-T/focusgroups/mv/Pages/deliverables.aspx" TargetMode="External"/><Relationship Id="rId114" Type="http://schemas.openxmlformats.org/officeDocument/2006/relationships/hyperlink" Target="https://figi.itu.int/figi-resources/dfs-security-lab/" TargetMode="External"/><Relationship Id="rId119" Type="http://schemas.openxmlformats.org/officeDocument/2006/relationships/hyperlink" Target="https://www.itu.int/en/ITU-T/ssc/united/Pages/publication-U4SSC-KPIs.aspx" TargetMode="External"/><Relationship Id="rId44" Type="http://schemas.openxmlformats.org/officeDocument/2006/relationships/hyperlink" Target="https://aiforgood.itu.int/about-ai-for-good/aiml-in-5g-challenge/" TargetMode="External"/><Relationship Id="rId60" Type="http://schemas.openxmlformats.org/officeDocument/2006/relationships/hyperlink" Target="https://u4ssc.itu.int/u4ssc-management-team/" TargetMode="External"/><Relationship Id="rId65" Type="http://schemas.openxmlformats.org/officeDocument/2006/relationships/hyperlink" Target="https://youtu.be/7zl5ZSdoJbE?feature=shared" TargetMode="External"/><Relationship Id="rId81" Type="http://schemas.openxmlformats.org/officeDocument/2006/relationships/hyperlink" Target="https://www.itu.int/en/ITU-D/Digital-Inclusion/Pages/ICT-digital-accessibility/default.aspx" TargetMode="External"/><Relationship Id="rId86" Type="http://schemas.openxmlformats.org/officeDocument/2006/relationships/hyperlink" Target="http://www.itu.int/rec/R-REC-BT.1702" TargetMode="External"/><Relationship Id="rId130" Type="http://schemas.openxmlformats.org/officeDocument/2006/relationships/hyperlink" Target="http://www.itu.int/en/ITU-T/tsbdir/cto/Pages/default.aspx" TargetMode="External"/><Relationship Id="rId135" Type="http://schemas.openxmlformats.org/officeDocument/2006/relationships/hyperlink" Target="https://www.worldstandardscooperation.org/" TargetMode="External"/><Relationship Id="rId151" Type="http://schemas.openxmlformats.org/officeDocument/2006/relationships/hyperlink" Target="https://www.itu.int/net4/wsis/forum/2024/Home/WSISTalkX" TargetMode="External"/><Relationship Id="rId156" Type="http://schemas.openxmlformats.org/officeDocument/2006/relationships/hyperlink" Target="https://www.itu.int/en/ITU-R/seminars/rrs/RRS-23-Americas/Pages/default.aspx" TargetMode="External"/><Relationship Id="rId177" Type="http://schemas.openxmlformats.org/officeDocument/2006/relationships/footer" Target="footer2.xml"/><Relationship Id="rId172" Type="http://schemas.openxmlformats.org/officeDocument/2006/relationships/image" Target="media/image2.png"/><Relationship Id="rId13" Type="http://schemas.openxmlformats.org/officeDocument/2006/relationships/hyperlink" Target="https://www.itu.int/pub/R-REC" TargetMode="External"/><Relationship Id="rId18" Type="http://schemas.openxmlformats.org/officeDocument/2006/relationships/hyperlink" Target="https://www.itu.int/pub/R-REC" TargetMode="External"/><Relationship Id="rId39" Type="http://schemas.openxmlformats.org/officeDocument/2006/relationships/hyperlink" Target="https://www.itu.int/en/ITU-R/terrestrial/Pages/default.aspx" TargetMode="External"/><Relationship Id="rId109" Type="http://schemas.openxmlformats.org/officeDocument/2006/relationships/hyperlink" Target="https://aiforgood.itu.int/neural-network/" TargetMode="External"/><Relationship Id="rId34" Type="http://schemas.openxmlformats.org/officeDocument/2006/relationships/hyperlink" Target="https://documents1.worldbank.org/curated/en/099121223165540890/pdf/P17859702a98880540a4b70d57876048abb.pdf" TargetMode="External"/><Relationship Id="rId50" Type="http://schemas.openxmlformats.org/officeDocument/2006/relationships/hyperlink" Target="https://www.itu.int/itu-d/sites/digital-impact-unlocked/opening-of-the-ipv6-laboratory-in-montenegro/" TargetMode="External"/><Relationship Id="rId55" Type="http://schemas.openxmlformats.org/officeDocument/2006/relationships/hyperlink" Target="https://www.itu.int/itu-d/sites/environment/" TargetMode="External"/><Relationship Id="rId76" Type="http://schemas.openxmlformats.org/officeDocument/2006/relationships/hyperlink" Target="https://www.itu.int/md/S24-CL-C-0031/en" TargetMode="External"/><Relationship Id="rId97" Type="http://schemas.openxmlformats.org/officeDocument/2006/relationships/hyperlink" Target="https://www.itu.int/pub/R-REC/ru" TargetMode="External"/><Relationship Id="rId104" Type="http://schemas.openxmlformats.org/officeDocument/2006/relationships/hyperlink" Target="https://www.equalsintech.org/awards" TargetMode="External"/><Relationship Id="rId120" Type="http://schemas.openxmlformats.org/officeDocument/2006/relationships/hyperlink" Target="https://www.itu.int/en/ITU-T/ssc/united/Pages/publication-U4SSC-KPIs.aspx" TargetMode="External"/><Relationship Id="rId125" Type="http://schemas.openxmlformats.org/officeDocument/2006/relationships/hyperlink" Target="https://u4ssc.itu.int/publications/" TargetMode="External"/><Relationship Id="rId141" Type="http://schemas.openxmlformats.org/officeDocument/2006/relationships/hyperlink" Target="https://www.worldstandardscooperation.org/what-we-do/world-standards-day/" TargetMode="External"/><Relationship Id="rId146" Type="http://schemas.openxmlformats.org/officeDocument/2006/relationships/hyperlink" Target="https://www.itu.int/en/council/Documents/basic-texts-2023/RES-140-R.pdf" TargetMode="External"/><Relationship Id="rId167" Type="http://schemas.openxmlformats.org/officeDocument/2006/relationships/hyperlink" Target="https://www.itu.int/en/journal/j-fet/webinars/Pages/default.aspx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itu.int/en/action/youth/Pages/itu-secretary-generals-youth-advisory-board.aspx" TargetMode="External"/><Relationship Id="rId92" Type="http://schemas.openxmlformats.org/officeDocument/2006/relationships/hyperlink" Target="https://www.itu.int/pub/R-REC/ru" TargetMode="External"/><Relationship Id="rId162" Type="http://schemas.openxmlformats.org/officeDocument/2006/relationships/hyperlink" Target="https://www.itu.int/en/ITU-T/Workshops-and-Seminars/Pages/default.aspx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pub/R-RES-R.74" TargetMode="External"/><Relationship Id="rId24" Type="http://schemas.openxmlformats.org/officeDocument/2006/relationships/hyperlink" Target="http://www.itu.int/pub/R-RES-R.5" TargetMode="External"/><Relationship Id="rId40" Type="http://schemas.openxmlformats.org/officeDocument/2006/relationships/hyperlink" Target="https://www.itu.int/md/S23-CL-C-0035/en" TargetMode="External"/><Relationship Id="rId45" Type="http://schemas.openxmlformats.org/officeDocument/2006/relationships/hyperlink" Target="https://aiforgood.itu.int/about-ai-for-good/geoai-challenge/" TargetMode="External"/><Relationship Id="rId66" Type="http://schemas.openxmlformats.org/officeDocument/2006/relationships/hyperlink" Target="https://www.itu.int/md/meetingdoc.asp?lang=en&amp;parent=S24-CL-C-0018" TargetMode="External"/><Relationship Id="rId87" Type="http://schemas.openxmlformats.org/officeDocument/2006/relationships/hyperlink" Target="https://www.itu.int/en/ITU-R/information/Pages/disabilities-divide.aspx" TargetMode="External"/><Relationship Id="rId110" Type="http://schemas.openxmlformats.org/officeDocument/2006/relationships/hyperlink" Target="https://www.itu.int/hub/2023/07/new-un-initiative-aims-to-step-up-ais-contribution-to-health/" TargetMode="External"/><Relationship Id="rId115" Type="http://schemas.openxmlformats.org/officeDocument/2006/relationships/hyperlink" Target="https://www.itu.int/en/ITU-T/webinars/dfs/sc/Pages/default.aspx" TargetMode="External"/><Relationship Id="rId131" Type="http://schemas.openxmlformats.org/officeDocument/2006/relationships/hyperlink" Target="https://www.itu.int/en/ITU-T/tsbdir/CxO/Pages/CxO-20231205.aspx" TargetMode="External"/><Relationship Id="rId136" Type="http://schemas.openxmlformats.org/officeDocument/2006/relationships/hyperlink" Target="http://www.itu.int/initiatives/green-digital-action-atcop28/wp-content/uploads/sites/4/2023/12/Call-to-Action-Pillar4-Green-standards.pdf" TargetMode="External"/><Relationship Id="rId157" Type="http://schemas.openxmlformats.org/officeDocument/2006/relationships/hyperlink" Target="https://www.itu.int/en/ITU-R/seminars/rrs/RRS-23-Africa/Pages/default.aspx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u4ssc.itu.int/publications/" TargetMode="External"/><Relationship Id="rId82" Type="http://schemas.openxmlformats.org/officeDocument/2006/relationships/hyperlink" Target="https://www.itu.int/en/action/accessibility/Pages/hlmdd2013.aspx" TargetMode="External"/><Relationship Id="rId152" Type="http://schemas.openxmlformats.org/officeDocument/2006/relationships/hyperlink" Target="https://www.itu.int/net4/wsis/forum/2023/Home/Hackathon" TargetMode="External"/><Relationship Id="rId173" Type="http://schemas.openxmlformats.org/officeDocument/2006/relationships/hyperlink" Target="https://www.itu.int/net4/Search/CL24/" TargetMode="External"/><Relationship Id="rId19" Type="http://schemas.openxmlformats.org/officeDocument/2006/relationships/hyperlink" Target="https://www.itu.int/hub/2024/03/new-itu-clock-concept-for-more-resilient-synchronization-networks/" TargetMode="External"/><Relationship Id="rId14" Type="http://schemas.openxmlformats.org/officeDocument/2006/relationships/hyperlink" Target="https://www.itu.int/en/council/planning/Pages/default.aspx" TargetMode="External"/><Relationship Id="rId30" Type="http://schemas.openxmlformats.org/officeDocument/2006/relationships/hyperlink" Target="https://www.itu.int/pub/R-RES-R.75" TargetMode="External"/><Relationship Id="rId35" Type="http://schemas.openxmlformats.org/officeDocument/2006/relationships/hyperlink" Target="https://www.itu.int/itu-d/reports/statistics/2023/10/10/ff23-mobile-phone-ownership/" TargetMode="External"/><Relationship Id="rId56" Type="http://schemas.openxmlformats.org/officeDocument/2006/relationships/hyperlink" Target="http://www.itu.int/en/ITU-T/ssc/united/Pages/default.aspx" TargetMode="External"/><Relationship Id="rId77" Type="http://schemas.openxmlformats.org/officeDocument/2006/relationships/hyperlink" Target="https://www.itu.int/md/S24-CL-C-0032/en" TargetMode="External"/><Relationship Id="rId100" Type="http://schemas.openxmlformats.org/officeDocument/2006/relationships/hyperlink" Target="https://www.itu.int/itu-d/reports/partner2connect-annual-report-2023/" TargetMode="External"/><Relationship Id="rId105" Type="http://schemas.openxmlformats.org/officeDocument/2006/relationships/hyperlink" Target="https://giga.global/" TargetMode="External"/><Relationship Id="rId126" Type="http://schemas.openxmlformats.org/officeDocument/2006/relationships/hyperlink" Target="https://www.itu.int/en/ITU-T/extcoop/cits/Pages/default.aspx" TargetMode="External"/><Relationship Id="rId147" Type="http://schemas.openxmlformats.org/officeDocument/2006/relationships/hyperlink" Target="http://www.itu.int/en/itu-wsis/Pages/Roadmaps.aspx" TargetMode="External"/><Relationship Id="rId168" Type="http://schemas.openxmlformats.org/officeDocument/2006/relationships/hyperlink" Target="https://www.itu.int/en/ITU-T/academia/kaleidoscope/Pages/default.aspx" TargetMode="External"/><Relationship Id="rId8" Type="http://schemas.openxmlformats.org/officeDocument/2006/relationships/hyperlink" Target="https://www.itu.int/en/council/Documents/basic-texts-2023/RES-071-R.pdf" TargetMode="External"/><Relationship Id="rId51" Type="http://schemas.openxmlformats.org/officeDocument/2006/relationships/hyperlink" Target="https://www.itu.int/en/ITU-D/Environment/Pages/Toolbox/Green-data-center-guide.aspx" TargetMode="External"/><Relationship Id="rId72" Type="http://schemas.openxmlformats.org/officeDocument/2006/relationships/hyperlink" Target="https://www.itu.int/generationconnect/empower/generation-connect-young-leadership-programme-in-partnership-with-huawei/" TargetMode="External"/><Relationship Id="rId93" Type="http://schemas.openxmlformats.org/officeDocument/2006/relationships/hyperlink" Target="https://www.itu.int/itu-t/workprog/wp_search.aspx?isn_sp=8265&amp;isn_status=-1,2&amp;adf=2022-07-01&amp;adt=2023-03-20&amp;details=0&amp;field=acdefghijo" TargetMode="External"/><Relationship Id="rId98" Type="http://schemas.openxmlformats.org/officeDocument/2006/relationships/hyperlink" Target="https://www.itu.int/itu-d/sites/partner2connect/landing/" TargetMode="External"/><Relationship Id="rId121" Type="http://schemas.openxmlformats.org/officeDocument/2006/relationships/hyperlink" Target="https://www.itu.int/en/ITU-T/ssc/united/Pages/publication-U4SSC-KPIs.aspx" TargetMode="External"/><Relationship Id="rId142" Type="http://schemas.openxmlformats.org/officeDocument/2006/relationships/hyperlink" Target="https://www.worldstandardscooperation.org/" TargetMode="External"/><Relationship Id="rId163" Type="http://schemas.openxmlformats.org/officeDocument/2006/relationships/hyperlink" Target="https://www.itu.int/hub/membership/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itu.int/pub/R-RES-R.56" TargetMode="External"/><Relationship Id="rId46" Type="http://schemas.openxmlformats.org/officeDocument/2006/relationships/hyperlink" Target="https://aiforgood.itu.int/about-ai-for-good/aiml-solutions-for-climate-change/" TargetMode="External"/><Relationship Id="rId67" Type="http://schemas.openxmlformats.org/officeDocument/2006/relationships/hyperlink" Target="https://www.itu.int/en/action/cybersecurity/Pages/default.aspx" TargetMode="External"/><Relationship Id="rId116" Type="http://schemas.openxmlformats.org/officeDocument/2006/relationships/hyperlink" Target="https://www.itu.int/en/ITU-T/dfs/Documents/Security%20recommendations%20for%20regulators%20and%20DFS%20providers%20developed%20under%20FIGI-updated%20March%202023.pdf" TargetMode="External"/><Relationship Id="rId137" Type="http://schemas.openxmlformats.org/officeDocument/2006/relationships/hyperlink" Target="https://aiforgood.itu.int/about-ai-for-good/aiml-solutions-for-climate-change/" TargetMode="External"/><Relationship Id="rId158" Type="http://schemas.openxmlformats.org/officeDocument/2006/relationships/hyperlink" Target="https://www.itu.int/en/ITU-R/conferences/wrc/2023/irwsp/Pages/2023.aspx" TargetMode="External"/><Relationship Id="rId20" Type="http://schemas.openxmlformats.org/officeDocument/2006/relationships/hyperlink" Target="https://www.itu.int/en/mediacentre/Pages/PR-2024-03-20-e-waste-recycling.aspx" TargetMode="External"/><Relationship Id="rId41" Type="http://schemas.openxmlformats.org/officeDocument/2006/relationships/hyperlink" Target="https://www.itu.int/itu-d/sites/digital-impact-unlocked/itu-deploys-satellite-telecommunications-equipment-to-papua-new-guinea/" TargetMode="External"/><Relationship Id="rId62" Type="http://schemas.openxmlformats.org/officeDocument/2006/relationships/hyperlink" Target="https://www.itu.int/cities/publications/" TargetMode="External"/><Relationship Id="rId83" Type="http://schemas.openxmlformats.org/officeDocument/2006/relationships/hyperlink" Target="https://www.itu.int/en/ITU-D/Digital-Inclusion/Pages/ICT-digital-accessibility/default.aspx" TargetMode="External"/><Relationship Id="rId88" Type="http://schemas.openxmlformats.org/officeDocument/2006/relationships/hyperlink" Target="https://www.itu.int/cities/wp-content/uploads/2023/04/The-role-of-Digital-Technologies-in-Aging-and-Health.pdf" TargetMode="External"/><Relationship Id="rId111" Type="http://schemas.openxmlformats.org/officeDocument/2006/relationships/hyperlink" Target="https://aiforgood.itu.int/summit23/" TargetMode="External"/><Relationship Id="rId132" Type="http://schemas.openxmlformats.org/officeDocument/2006/relationships/hyperlink" Target="https://www.itu.int/en/ITU-T/tsbdir/cto/Documents/Communique_ITU_CxO_2023.pdf" TargetMode="External"/><Relationship Id="rId153" Type="http://schemas.openxmlformats.org/officeDocument/2006/relationships/hyperlink" Target="http://www.wsis.org/sdg" TargetMode="External"/><Relationship Id="rId174" Type="http://schemas.openxmlformats.org/officeDocument/2006/relationships/header" Target="header1.xml"/><Relationship Id="rId179" Type="http://schemas.openxmlformats.org/officeDocument/2006/relationships/theme" Target="theme/theme1.xml"/><Relationship Id="rId15" Type="http://schemas.openxmlformats.org/officeDocument/2006/relationships/hyperlink" Target="https://www.itu.int/generationconnect/" TargetMode="External"/><Relationship Id="rId36" Type="http://schemas.openxmlformats.org/officeDocument/2006/relationships/hyperlink" Target="https://www.itu.int/en/ITU-D/Statistics/Pages/expertgroups.aspx" TargetMode="External"/><Relationship Id="rId57" Type="http://schemas.openxmlformats.org/officeDocument/2006/relationships/hyperlink" Target="https://www.itu.int/en/ITU-T/ssc/united/Pages/publication-U4SSC-KPIs.aspx" TargetMode="External"/><Relationship Id="rId106" Type="http://schemas.openxmlformats.org/officeDocument/2006/relationships/hyperlink" Target="https://aiforgood.itu.int/" TargetMode="External"/><Relationship Id="rId127" Type="http://schemas.openxmlformats.org/officeDocument/2006/relationships/hyperlink" Target="https://www.itu.int/itu-t/landscape/?topic=tx21&amp;group=g&amp;search_text=" TargetMode="External"/><Relationship Id="rId10" Type="http://schemas.openxmlformats.org/officeDocument/2006/relationships/hyperlink" Target="https://www.itu.int/en/council/Documents/basic-texts-2023/RES-200-R.pdf" TargetMode="External"/><Relationship Id="rId31" Type="http://schemas.openxmlformats.org/officeDocument/2006/relationships/hyperlink" Target="https://www.itu.int/md/R23-WRC23-C-0217/en" TargetMode="External"/><Relationship Id="rId52" Type="http://schemas.openxmlformats.org/officeDocument/2006/relationships/hyperlink" Target="https://www.itu.int/hub/publication/d-hdb-guidelines-04-2023/" TargetMode="External"/><Relationship Id="rId73" Type="http://schemas.openxmlformats.org/officeDocument/2006/relationships/hyperlink" Target="https://aiforgood.itu.int/event/how-chatgpt-will-change-the-classroom-teachers-and-students-discuss/" TargetMode="External"/><Relationship Id="rId78" Type="http://schemas.openxmlformats.org/officeDocument/2006/relationships/hyperlink" Target="https://www.itu.int/itu-d/sites/digital-impact-unlocked/empowering-children-online-in-zimbabwe/" TargetMode="External"/><Relationship Id="rId94" Type="http://schemas.openxmlformats.org/officeDocument/2006/relationships/hyperlink" Target="https://www.itu.int/ru/ITU-T/publications/Pages/recs.aspx" TargetMode="External"/><Relationship Id="rId99" Type="http://schemas.openxmlformats.org/officeDocument/2006/relationships/hyperlink" Target="https://www.itu.int/itu-d/sites/partner2connect/partner2connect-annual-meeting-2023/" TargetMode="External"/><Relationship Id="rId101" Type="http://schemas.openxmlformats.org/officeDocument/2006/relationships/hyperlink" Target="https://www.itu.int/en/mediacentre/Pages/PR-2024-02-26-mobile-world-congress-universal-meaningful-connectivity.aspx" TargetMode="External"/><Relationship Id="rId122" Type="http://schemas.openxmlformats.org/officeDocument/2006/relationships/hyperlink" Target="https://u4ssc.itu.int/publications/" TargetMode="External"/><Relationship Id="rId143" Type="http://schemas.openxmlformats.org/officeDocument/2006/relationships/hyperlink" Target="https://www.itu.int/en/ITU-T/focusgroups/ai4ndm/Pages/default.aspx" TargetMode="External"/><Relationship Id="rId148" Type="http://schemas.openxmlformats.org/officeDocument/2006/relationships/hyperlink" Target="http://www.wsis.org/stocktaking" TargetMode="External"/><Relationship Id="rId164" Type="http://schemas.openxmlformats.org/officeDocument/2006/relationships/hyperlink" Target="https://www.itu.int/en/journal/j-fet/Pages/default.aspx" TargetMode="External"/><Relationship Id="rId169" Type="http://schemas.openxmlformats.org/officeDocument/2006/relationships/hyperlink" Target="https://www.itu.int/en/ITU-D/Projects/Pages/report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en/council/Documents/basic-texts-2023/RES-151-R.pdf" TargetMode="External"/><Relationship Id="rId26" Type="http://schemas.openxmlformats.org/officeDocument/2006/relationships/hyperlink" Target="https://www.itu.int/pub/R-RES-R.65" TargetMode="External"/><Relationship Id="rId47" Type="http://schemas.openxmlformats.org/officeDocument/2006/relationships/hyperlink" Target="https://aiforgood.itu.int/about-ai-for-good/ai-for-fusion-energy-challenge/" TargetMode="External"/><Relationship Id="rId68" Type="http://schemas.openxmlformats.org/officeDocument/2006/relationships/hyperlink" Target="https://www.itu.int/md/S24-CL-C-0006/en" TargetMode="External"/><Relationship Id="rId89" Type="http://schemas.openxmlformats.org/officeDocument/2006/relationships/hyperlink" Target="https://www.itu.int/en/ITU-T/gap/Pages/default.aspx" TargetMode="External"/><Relationship Id="rId112" Type="http://schemas.openxmlformats.org/officeDocument/2006/relationships/hyperlink" Target="https://www.itu.int/en/ITU-T/focusgroups/ai4h/Pages/default.aspx" TargetMode="External"/><Relationship Id="rId133" Type="http://schemas.openxmlformats.org/officeDocument/2006/relationships/hyperlink" Target="https://www.itu.int/initiatives/green-digital-action-atcop28/" TargetMode="External"/><Relationship Id="rId154" Type="http://schemas.openxmlformats.org/officeDocument/2006/relationships/hyperlink" Target="https://www.itu.int/itu-d/meetings/gsr-23/ru/" TargetMode="External"/><Relationship Id="rId175" Type="http://schemas.openxmlformats.org/officeDocument/2006/relationships/footer" Target="footer1.xml"/><Relationship Id="rId16" Type="http://schemas.openxmlformats.org/officeDocument/2006/relationships/hyperlink" Target="https://www.itu.int/en/ITU-D/Digital-Inclusion/Pages/ICT-digital-accessibility/default.aspx" TargetMode="External"/><Relationship Id="rId37" Type="http://schemas.openxmlformats.org/officeDocument/2006/relationships/hyperlink" Target="https://www.itu.int/highlights-report-activities/connect2030-agenda/" TargetMode="External"/><Relationship Id="rId58" Type="http://schemas.openxmlformats.org/officeDocument/2006/relationships/hyperlink" Target="https://www.itu.int/en/ITU-T/ssc/united/Pages/publication-U4SSC-KPIs.aspx" TargetMode="External"/><Relationship Id="rId79" Type="http://schemas.openxmlformats.org/officeDocument/2006/relationships/hyperlink" Target="https://www.itu.int/wtsa/2024/" TargetMode="External"/><Relationship Id="rId102" Type="http://schemas.openxmlformats.org/officeDocument/2006/relationships/hyperlink" Target="https://sdgs.un.org/" TargetMode="External"/><Relationship Id="rId123" Type="http://schemas.openxmlformats.org/officeDocument/2006/relationships/hyperlink" Target="https://u4ssc.itu.int/latest-meetings/7th-meeting/" TargetMode="External"/><Relationship Id="rId144" Type="http://schemas.openxmlformats.org/officeDocument/2006/relationships/hyperlink" Target="https://www.itu.int/en/ITU-T/focusgroups/ai4a/Pages/default.aspx" TargetMode="External"/><Relationship Id="rId90" Type="http://schemas.openxmlformats.org/officeDocument/2006/relationships/hyperlink" Target="https://www.itu.int/itu-d/sites/digital-impact-unlocked/national-roll-outs-of-early-warnings-for-all-ew4all-initiative-begin/" TargetMode="External"/><Relationship Id="rId165" Type="http://schemas.openxmlformats.org/officeDocument/2006/relationships/hyperlink" Target="https://www.itu.int/en/ITU-T/academia/kaleidoscope/Pages/default.aspx" TargetMode="External"/><Relationship Id="rId27" Type="http://schemas.openxmlformats.org/officeDocument/2006/relationships/hyperlink" Target="https://www.itu.int/pub/R-RES-R.72" TargetMode="External"/><Relationship Id="rId48" Type="http://schemas.openxmlformats.org/officeDocument/2006/relationships/hyperlink" Target="https://www.itu.int/en/ITU-T/focusgroups/mv/Pages/default.aspx" TargetMode="External"/><Relationship Id="rId69" Type="http://schemas.openxmlformats.org/officeDocument/2006/relationships/hyperlink" Target="https://ituint-my.sharepoint.com/personal/neil_macdonald_itu_int/Documents/Documents/ITU%20work/@@@Annual%20Report%202023/www.itu.int/gender" TargetMode="External"/><Relationship Id="rId113" Type="http://schemas.openxmlformats.org/officeDocument/2006/relationships/hyperlink" Target="https://www.itu.int/en/ITU-T/dfs/Documents/ITU%20Cyber%20Security%20Resilience%20Assessment%20toolkit%20for%20DFS%20Critical%20Infrastructure.pdf" TargetMode="External"/><Relationship Id="rId134" Type="http://schemas.openxmlformats.org/officeDocument/2006/relationships/hyperlink" Target="https://www.itu.int/initiatives/green-digital-action-atcop28/about/outcomes/" TargetMode="External"/><Relationship Id="rId80" Type="http://schemas.openxmlformats.org/officeDocument/2006/relationships/hyperlink" Target="https://www.itu.int/en/ITU-T/academia/kaleidoscope/2024/Pages/default.aspx" TargetMode="External"/><Relationship Id="rId155" Type="http://schemas.openxmlformats.org/officeDocument/2006/relationships/hyperlink" Target="https://www.itu.int/itu-d/meetings/gsr-23/ru/" TargetMode="External"/><Relationship Id="rId176" Type="http://schemas.openxmlformats.org/officeDocument/2006/relationships/header" Target="header2.xml"/><Relationship Id="rId17" Type="http://schemas.openxmlformats.org/officeDocument/2006/relationships/hyperlink" Target="https://aiforgood.itu.int/scaling-up-global-action-on-sustainable-development-winning-ai-start-up-awarded-at-ai-for-good-global-summit/" TargetMode="External"/><Relationship Id="rId38" Type="http://schemas.openxmlformats.org/officeDocument/2006/relationships/hyperlink" Target="https://www.itu.int/highlights-report-activities/connect2030-agenda/" TargetMode="External"/><Relationship Id="rId59" Type="http://schemas.openxmlformats.org/officeDocument/2006/relationships/hyperlink" Target="https://u4ssc.itu.int/latest-meetings/7th-meeting/" TargetMode="External"/><Relationship Id="rId103" Type="http://schemas.openxmlformats.org/officeDocument/2006/relationships/hyperlink" Target="https://www.broadbandcommission.org/publication/state-of-broadband-2023/" TargetMode="External"/><Relationship Id="rId124" Type="http://schemas.openxmlformats.org/officeDocument/2006/relationships/hyperlink" Target="https://u4ssc.itu.int/u4ssc-management-team/" TargetMode="External"/><Relationship Id="rId70" Type="http://schemas.openxmlformats.org/officeDocument/2006/relationships/hyperlink" Target="https://ituint-my.sharepoint.com/personal/neil_macdonald_itu_int/Documents/Documents/ITU%20work/@@@Annual%20Report%202023/www.itu.int/genderdashboard" TargetMode="External"/><Relationship Id="rId91" Type="http://schemas.openxmlformats.org/officeDocument/2006/relationships/hyperlink" Target="https://www.itu.int/ru/ITU-T/publications/Pages/recs.aspx" TargetMode="External"/><Relationship Id="rId145" Type="http://schemas.openxmlformats.org/officeDocument/2006/relationships/hyperlink" Target="http://www.wsis.org/forum" TargetMode="External"/><Relationship Id="rId166" Type="http://schemas.openxmlformats.org/officeDocument/2006/relationships/hyperlink" Target="https://www.itu.int/en/journal/j-fet/Pages/default.aspx" TargetMode="External"/><Relationship Id="rId1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dometo\AppData\Roaming\Microsoft\Templates\POOL%20R%20-%20ITU\GS\PR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D020-6A15-4B44-B219-6808490B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PR_Council23.dotx</Template>
  <TotalTime>1</TotalTime>
  <Pages>48</Pages>
  <Words>18121</Words>
  <Characters>137668</Characters>
  <Application>Microsoft Office Word</Application>
  <DocSecurity>0</DocSecurity>
  <Lines>1147</Lines>
  <Paragraphs>310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General Secretariat - Pool</Manager>
  <Company>International Telecommunication Union (ITU)</Company>
  <LinksUpToDate>false</LinksUpToDate>
  <CharactersWithSpaces>155479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on the implementation of the strategic plan and the activities of the Union for 2023-2024</dc:title>
  <dc:subject>ITU Council 2024</dc:subject>
  <dc:creator>AA</dc:creator>
  <cp:keywords>C2024, C24, Council-24</cp:keywords>
  <dc:description/>
  <cp:lastModifiedBy>Brouard, Ricarda</cp:lastModifiedBy>
  <cp:revision>2</cp:revision>
  <cp:lastPrinted>2006-03-28T16:12:00Z</cp:lastPrinted>
  <dcterms:created xsi:type="dcterms:W3CDTF">2024-05-31T10:39:00Z</dcterms:created>
  <dcterms:modified xsi:type="dcterms:W3CDTF">2024-05-31T10:39:00Z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