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24AFB9A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FB27E17" w14:textId="0E43B2EF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414F9D" w:rsidRPr="00414F9D">
              <w:rPr>
                <w:b/>
                <w:sz w:val="24"/>
              </w:rPr>
              <w:t xml:space="preserve"> </w:t>
            </w:r>
            <w:r w:rsidR="00414F9D" w:rsidRPr="00414F9D">
              <w:rPr>
                <w:b/>
              </w:rPr>
              <w:t>PL 2</w:t>
            </w:r>
          </w:p>
        </w:tc>
        <w:tc>
          <w:tcPr>
            <w:tcW w:w="5245" w:type="dxa"/>
          </w:tcPr>
          <w:p w14:paraId="3D9BFFC3" w14:textId="52A77806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414F9D">
              <w:rPr>
                <w:b/>
                <w:lang w:val="ru-RU"/>
              </w:rPr>
              <w:t>31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68C252BE" w14:textId="77777777" w:rsidTr="00E31DCE">
        <w:trPr>
          <w:cantSplit/>
        </w:trPr>
        <w:tc>
          <w:tcPr>
            <w:tcW w:w="3969" w:type="dxa"/>
            <w:vMerge/>
          </w:tcPr>
          <w:p w14:paraId="0471FF08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45194B3" w14:textId="2672CF48" w:rsidR="00796BD3" w:rsidRPr="00414F9D" w:rsidRDefault="00414F9D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796BD3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апреля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796BD3" w:rsidRPr="00813E5E" w14:paraId="0B4AEE6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1ED3A50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4E2C923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57ECDF0A" w14:textId="77777777" w:rsidTr="00E31DCE">
        <w:trPr>
          <w:cantSplit/>
          <w:trHeight w:val="23"/>
        </w:trPr>
        <w:tc>
          <w:tcPr>
            <w:tcW w:w="3969" w:type="dxa"/>
          </w:tcPr>
          <w:p w14:paraId="54A9AA9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C028675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5CB32DE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53566BD" w14:textId="77777777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E43C72" w14:paraId="38087DB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0F527E6" w14:textId="2A28A4A0" w:rsidR="00796BD3" w:rsidRPr="00414F9D" w:rsidRDefault="00414F9D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lt_pId009"/>
            <w:bookmarkStart w:id="7" w:name="_Hlk160631909"/>
            <w:bookmarkStart w:id="8" w:name="dtitle1" w:colFirst="0" w:colLast="0"/>
            <w:bookmarkEnd w:id="5"/>
            <w:r w:rsidRPr="00414F9D">
              <w:rPr>
                <w:rFonts w:cstheme="minorHAnsi"/>
                <w:sz w:val="32"/>
                <w:szCs w:val="32"/>
                <w:lang w:val="ru-RU"/>
              </w:rPr>
              <w:t xml:space="preserve">ПРИВЛЕЧЕНИЕ МОЛОДЕЖИ И МОЛОДЕЖНЫЕ </w:t>
            </w:r>
            <w:r>
              <w:rPr>
                <w:rFonts w:cstheme="minorHAnsi"/>
                <w:sz w:val="32"/>
                <w:szCs w:val="32"/>
                <w:lang w:val="ru-RU"/>
              </w:rPr>
              <w:br/>
            </w:r>
            <w:r w:rsidRPr="00414F9D">
              <w:rPr>
                <w:rFonts w:cstheme="minorHAnsi"/>
                <w:sz w:val="32"/>
                <w:szCs w:val="32"/>
                <w:lang w:val="ru-RU"/>
              </w:rPr>
              <w:t>ИНИЦИАТИВЫ В МСЭ</w:t>
            </w:r>
            <w:bookmarkEnd w:id="6"/>
            <w:bookmarkEnd w:id="7"/>
          </w:p>
        </w:tc>
      </w:tr>
      <w:tr w:rsidR="00796BD3" w:rsidRPr="00E43C72" w14:paraId="75F834A8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8CCBE09" w14:textId="5C5971C5" w:rsidR="00796BD3" w:rsidRPr="00414F9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14F9D">
              <w:rPr>
                <w:b/>
                <w:bCs/>
                <w:sz w:val="24"/>
                <w:szCs w:val="24"/>
                <w:lang w:val="ru-RU"/>
              </w:rPr>
              <w:t xml:space="preserve">Назначение </w:t>
            </w:r>
          </w:p>
          <w:p w14:paraId="21A33B35" w14:textId="5CBCBBE4" w:rsidR="00796BD3" w:rsidRPr="00414F9D" w:rsidRDefault="00414F9D" w:rsidP="00E31DCE">
            <w:pPr>
              <w:rPr>
                <w:lang w:val="ru-RU"/>
              </w:rPr>
            </w:pPr>
            <w:bookmarkStart w:id="9" w:name="lt_pId011"/>
            <w:r w:rsidRPr="00414F9D">
              <w:rPr>
                <w:lang w:val="ru-RU"/>
              </w:rPr>
              <w:t xml:space="preserve">Цель настоящего документа </w:t>
            </w:r>
            <w:r>
              <w:rPr>
                <w:lang w:val="ru-RU"/>
              </w:rPr>
              <w:t>−</w:t>
            </w:r>
            <w:r w:rsidRPr="00414F9D">
              <w:rPr>
                <w:lang w:val="ru-RU"/>
              </w:rPr>
              <w:t xml:space="preserve"> информировать Совет МСЭ об участии молодежи в ряде инициатив и существующих программ МСЭ.</w:t>
            </w:r>
            <w:bookmarkEnd w:id="9"/>
          </w:p>
          <w:p w14:paraId="0E23353A" w14:textId="77777777" w:rsidR="00796BD3" w:rsidRPr="00414F9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14F9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7BDA4CB" w14:textId="42589E3A" w:rsidR="00796BD3" w:rsidRPr="00414F9D" w:rsidRDefault="00414F9D" w:rsidP="00E31DCE">
            <w:pPr>
              <w:rPr>
                <w:lang w:val="ru-RU"/>
              </w:rPr>
            </w:pPr>
            <w:bookmarkStart w:id="10" w:name="lt_pId013"/>
            <w:r w:rsidRPr="00414F9D">
              <w:rPr>
                <w:lang w:val="ru-RU"/>
              </w:rPr>
              <w:t xml:space="preserve">Совету предлагается </w:t>
            </w:r>
            <w:r w:rsidRPr="00414F9D">
              <w:rPr>
                <w:b/>
                <w:bCs/>
                <w:lang w:val="ru-RU"/>
              </w:rPr>
              <w:t>принять к сведению</w:t>
            </w:r>
            <w:r w:rsidRPr="00414F9D">
              <w:rPr>
                <w:lang w:val="ru-RU"/>
              </w:rPr>
              <w:t xml:space="preserve"> настоящий отчет и создание Фонда молодежи МСЭ. Государствам-Членам предлагается внести вклад в этот фонд для поддержки программы "Молодые специалисты" (</w:t>
            </w:r>
            <w:r w:rsidRPr="00414F9D">
              <w:t>YPP</w:t>
            </w:r>
            <w:r w:rsidRPr="00414F9D">
              <w:rPr>
                <w:lang w:val="ru-RU"/>
              </w:rPr>
              <w:t>).</w:t>
            </w:r>
            <w:bookmarkEnd w:id="10"/>
          </w:p>
          <w:p w14:paraId="4167FED3" w14:textId="77777777" w:rsidR="00796BD3" w:rsidRPr="00414F9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14F9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DA7C0E3" w14:textId="477127CD" w:rsidR="00796BD3" w:rsidRPr="00414F9D" w:rsidRDefault="00414F9D" w:rsidP="00E31DCE">
            <w:pPr>
              <w:rPr>
                <w:lang w:val="ru-RU"/>
              </w:rPr>
            </w:pPr>
            <w:r w:rsidRPr="00414F9D">
              <w:rPr>
                <w:lang w:val="ru-RU"/>
              </w:rPr>
              <w:t>Разнообразие и интеграция; развитие людских ресурсов и организационные инновации.</w:t>
            </w:r>
          </w:p>
          <w:p w14:paraId="379FB54F" w14:textId="58A54C50" w:rsidR="00796BD3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14F9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C61BC9E" w14:textId="769A176E" w:rsidR="00414F9D" w:rsidRPr="00414F9D" w:rsidRDefault="00414F9D" w:rsidP="00414F9D">
            <w:pPr>
              <w:rPr>
                <w:lang w:val="ru-RU"/>
              </w:rPr>
            </w:pPr>
            <w:r w:rsidRPr="00414F9D">
              <w:rPr>
                <w:lang w:val="ru-RU"/>
              </w:rPr>
              <w:t>Данная деятельность осуществляется в рамках выделенного бюджета на 2024</w:t>
            </w:r>
            <w:r>
              <w:rPr>
                <w:lang w:val="ru-RU"/>
              </w:rPr>
              <w:t>−</w:t>
            </w:r>
            <w:r w:rsidRPr="00414F9D">
              <w:rPr>
                <w:lang w:val="ru-RU"/>
              </w:rPr>
              <w:t xml:space="preserve">2025 годы. Предлагается выделить 300 000 швейцарских франков из сбережений предыдущих лет в фонд программы МСЭ "Молодые специалисты", как указано в Документе </w:t>
            </w:r>
            <w:hyperlink r:id="rId7" w:history="1">
              <w:r w:rsidRPr="00414F9D">
                <w:rPr>
                  <w:rStyle w:val="Hyperlink"/>
                  <w:lang w:val="ru-RU"/>
                </w:rPr>
                <w:t>C24/19</w:t>
              </w:r>
            </w:hyperlink>
            <w:r w:rsidRPr="00414F9D">
              <w:rPr>
                <w:lang w:val="ru-RU"/>
              </w:rPr>
              <w:t>.</w:t>
            </w:r>
          </w:p>
          <w:p w14:paraId="04FB604F" w14:textId="77777777" w:rsidR="00796BD3" w:rsidRPr="00414F9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414F9D">
              <w:rPr>
                <w:sz w:val="20"/>
                <w:szCs w:val="18"/>
                <w:lang w:val="ru-RU"/>
              </w:rPr>
              <w:t>__________________</w:t>
            </w:r>
          </w:p>
          <w:p w14:paraId="3AAA6A8D" w14:textId="77777777" w:rsidR="00796BD3" w:rsidRPr="00414F9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14F9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11" w:name="lt_pId022"/>
          <w:p w14:paraId="36C67160" w14:textId="61272BE4" w:rsidR="00796BD3" w:rsidRPr="00E43C72" w:rsidRDefault="00414F9D" w:rsidP="00E31DCE">
            <w:pPr>
              <w:spacing w:after="160"/>
              <w:rPr>
                <w:lang w:val="ru-RU"/>
              </w:rPr>
            </w:pPr>
            <w:r w:rsidRPr="00414F9D">
              <w:fldChar w:fldCharType="begin"/>
            </w:r>
            <w:r>
              <w:instrText>HYPERLINK</w:instrText>
            </w:r>
            <w:r w:rsidRPr="00E43C7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43C72">
              <w:rPr>
                <w:lang w:val="ru-RU"/>
              </w:rPr>
              <w:instrText>://</w:instrText>
            </w:r>
            <w:r>
              <w:instrText>www</w:instrText>
            </w:r>
            <w:r w:rsidRPr="00E43C72">
              <w:rPr>
                <w:lang w:val="ru-RU"/>
              </w:rPr>
              <w:instrText>.</w:instrText>
            </w:r>
            <w:r>
              <w:instrText>itu</w:instrText>
            </w:r>
            <w:r w:rsidRPr="00E43C72">
              <w:rPr>
                <w:lang w:val="ru-RU"/>
              </w:rPr>
              <w:instrText>.</w:instrText>
            </w:r>
            <w:r>
              <w:instrText>int</w:instrText>
            </w:r>
            <w:r w:rsidRPr="00E43C72">
              <w:rPr>
                <w:lang w:val="ru-RU"/>
              </w:rPr>
              <w:instrText>/</w:instrText>
            </w:r>
            <w:r>
              <w:instrText>en</w:instrText>
            </w:r>
            <w:r w:rsidRPr="00E43C72">
              <w:rPr>
                <w:lang w:val="ru-RU"/>
              </w:rPr>
              <w:instrText>/</w:instrText>
            </w:r>
            <w:r>
              <w:instrText>council</w:instrText>
            </w:r>
            <w:r w:rsidRPr="00E43C72">
              <w:rPr>
                <w:lang w:val="ru-RU"/>
              </w:rPr>
              <w:instrText>/</w:instrText>
            </w:r>
            <w:r>
              <w:instrText>Documents</w:instrText>
            </w:r>
            <w:r w:rsidRPr="00E43C72">
              <w:rPr>
                <w:lang w:val="ru-RU"/>
              </w:rPr>
              <w:instrText>/</w:instrText>
            </w:r>
            <w:r>
              <w:instrText>basic</w:instrText>
            </w:r>
            <w:r w:rsidRPr="00E43C72">
              <w:rPr>
                <w:lang w:val="ru-RU"/>
              </w:rPr>
              <w:instrText>-</w:instrText>
            </w:r>
            <w:r>
              <w:instrText>texts</w:instrText>
            </w:r>
            <w:r w:rsidRPr="00E43C72">
              <w:rPr>
                <w:lang w:val="ru-RU"/>
              </w:rPr>
              <w:instrText>-2023/</w:instrText>
            </w:r>
            <w:r>
              <w:instrText>RES</w:instrText>
            </w:r>
            <w:r w:rsidRPr="00E43C72">
              <w:rPr>
                <w:lang w:val="ru-RU"/>
              </w:rPr>
              <w:instrText>-198-</w:instrText>
            </w:r>
            <w:r>
              <w:instrText>R</w:instrText>
            </w:r>
            <w:r w:rsidRPr="00E43C72">
              <w:rPr>
                <w:lang w:val="ru-RU"/>
              </w:rPr>
              <w:instrText>.</w:instrText>
            </w:r>
            <w:r>
              <w:instrText>pdf</w:instrText>
            </w:r>
            <w:r w:rsidRPr="00E43C72">
              <w:rPr>
                <w:lang w:val="ru-RU"/>
              </w:rPr>
              <w:instrText>"</w:instrText>
            </w:r>
            <w:r w:rsidRPr="00414F9D">
              <w:fldChar w:fldCharType="separate"/>
            </w:r>
            <w:r w:rsidRPr="00414F9D">
              <w:rPr>
                <w:rStyle w:val="Hyperlink"/>
                <w:i/>
                <w:iCs/>
                <w:lang w:val="ru-RU"/>
              </w:rPr>
              <w:t>Резолюция 198</w:t>
            </w:r>
            <w:r w:rsidRPr="00414F9D">
              <w:fldChar w:fldCharType="end"/>
            </w:r>
            <w:r w:rsidRPr="00414F9D">
              <w:rPr>
                <w:i/>
                <w:iCs/>
                <w:lang w:val="ru-RU"/>
              </w:rPr>
              <w:t xml:space="preserve"> (Пересм. Бухарест, 2022 г.) </w:t>
            </w:r>
            <w:bookmarkEnd w:id="11"/>
            <w:r w:rsidRPr="00414F9D">
              <w:rPr>
                <w:i/>
                <w:iCs/>
                <w:lang w:val="ru-RU"/>
              </w:rPr>
              <w:t>Полномочной конференции</w:t>
            </w:r>
          </w:p>
        </w:tc>
      </w:tr>
      <w:bookmarkEnd w:id="2"/>
      <w:bookmarkEnd w:id="8"/>
    </w:tbl>
    <w:p w14:paraId="4E09077E" w14:textId="77777777" w:rsidR="00796BD3" w:rsidRPr="00E43C72" w:rsidRDefault="00796BD3" w:rsidP="00796BD3">
      <w:pPr>
        <w:rPr>
          <w:lang w:val="ru-RU"/>
        </w:rPr>
      </w:pPr>
    </w:p>
    <w:p w14:paraId="4B714D5B" w14:textId="77777777" w:rsidR="00165D06" w:rsidRPr="00E43C7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43C72">
        <w:rPr>
          <w:lang w:val="ru-RU"/>
        </w:rPr>
        <w:br w:type="page"/>
      </w:r>
    </w:p>
    <w:p w14:paraId="3D7DC1C3" w14:textId="716732D4" w:rsidR="00414F9D" w:rsidRPr="00414F9D" w:rsidRDefault="00414F9D" w:rsidP="00414F9D">
      <w:pPr>
        <w:pStyle w:val="Heading1"/>
        <w:rPr>
          <w:lang w:val="ru-RU"/>
        </w:rPr>
      </w:pPr>
      <w:r w:rsidRPr="00E43C72">
        <w:rPr>
          <w:lang w:val="ru-RU"/>
        </w:rPr>
        <w:lastRenderedPageBreak/>
        <w:t>1</w:t>
      </w:r>
      <w:r w:rsidRPr="00E43C72">
        <w:rPr>
          <w:lang w:val="ru-RU"/>
        </w:rPr>
        <w:tab/>
      </w:r>
      <w:bookmarkStart w:id="12" w:name="lt_pId024"/>
      <w:r w:rsidRPr="00414F9D">
        <w:rPr>
          <w:lang w:val="ru-RU"/>
        </w:rPr>
        <w:t>Базовая информация</w:t>
      </w:r>
      <w:bookmarkEnd w:id="12"/>
    </w:p>
    <w:p w14:paraId="1C7F2A96" w14:textId="27928893" w:rsidR="00414F9D" w:rsidRPr="00E43C72" w:rsidRDefault="00414F9D" w:rsidP="00414F9D">
      <w:pPr>
        <w:rPr>
          <w:lang w:val="ru-RU"/>
        </w:rPr>
      </w:pPr>
      <w:bookmarkStart w:id="13" w:name="_Hlk136977297"/>
      <w:bookmarkStart w:id="14" w:name="lt_pId025"/>
      <w:r w:rsidRPr="00414F9D">
        <w:rPr>
          <w:lang w:val="ru-RU"/>
        </w:rPr>
        <w:t>Полномочная конференция в своей Резолюции 198 (Пересм. Бухарест, 2022 г.) о расширении прав и возможностей молодежи посредством электросвязи/‎информационно-коммуникационных технологий поручает Генеральному секретарю продолжать обеспечивать включение молодежной проблематики в рабочие программы, методы управления и деятельность МСЭ по развитию людских ресурсов и представлять Совету МСЭ ежегодный письменный отчет о достигнутых результатах.</w:t>
      </w:r>
    </w:p>
    <w:bookmarkEnd w:id="13"/>
    <w:bookmarkEnd w:id="14"/>
    <w:p w14:paraId="559180AD" w14:textId="2426283E" w:rsidR="00414F9D" w:rsidRPr="00414F9D" w:rsidRDefault="00414F9D" w:rsidP="00414F9D">
      <w:pPr>
        <w:pStyle w:val="Heading1"/>
        <w:rPr>
          <w:lang w:val="ru-RU"/>
        </w:rPr>
      </w:pPr>
      <w:r w:rsidRPr="00414F9D">
        <w:rPr>
          <w:lang w:val="ru-RU"/>
        </w:rPr>
        <w:t>2</w:t>
      </w:r>
      <w:r w:rsidRPr="00414F9D">
        <w:rPr>
          <w:lang w:val="ru-RU"/>
        </w:rPr>
        <w:tab/>
      </w:r>
      <w:bookmarkStart w:id="15" w:name="lt_pId027"/>
      <w:r w:rsidRPr="00414F9D">
        <w:rPr>
          <w:lang w:val="ru-RU"/>
        </w:rPr>
        <w:t>Отчет о ходе выполнения Резолюции 198 (Пересм. Бухарест, 2022 г.)</w:t>
      </w:r>
      <w:bookmarkEnd w:id="15"/>
    </w:p>
    <w:p w14:paraId="4A0251ED" w14:textId="77777777" w:rsidR="00414F9D" w:rsidRPr="0052436A" w:rsidRDefault="00414F9D" w:rsidP="0052436A">
      <w:pPr>
        <w:pStyle w:val="Headingb"/>
        <w:rPr>
          <w:u w:val="single"/>
          <w:lang w:val="ru-RU"/>
        </w:rPr>
      </w:pPr>
      <w:bookmarkStart w:id="16" w:name="lt_pId028"/>
      <w:r w:rsidRPr="0052436A">
        <w:rPr>
          <w:u w:val="single"/>
        </w:rPr>
        <w:t>A</w:t>
      </w:r>
      <w:r w:rsidRPr="0052436A">
        <w:rPr>
          <w:u w:val="single"/>
          <w:lang w:val="ru-RU"/>
        </w:rPr>
        <w:t>.</w:t>
      </w:r>
      <w:bookmarkEnd w:id="16"/>
      <w:r w:rsidRPr="0052436A">
        <w:rPr>
          <w:u w:val="single"/>
          <w:lang w:val="ru-RU"/>
        </w:rPr>
        <w:t xml:space="preserve"> </w:t>
      </w:r>
      <w:bookmarkStart w:id="17" w:name="lt_pId029"/>
      <w:r w:rsidRPr="0052436A">
        <w:rPr>
          <w:u w:val="single"/>
          <w:lang w:val="ru-RU"/>
        </w:rPr>
        <w:t>Содействие расширению прав и возможностей молодежи и ее профессиональному развитию в МСЭ</w:t>
      </w:r>
      <w:bookmarkEnd w:id="17"/>
    </w:p>
    <w:p w14:paraId="560DCC36" w14:textId="77777777" w:rsidR="00414F9D" w:rsidRPr="0052436A" w:rsidRDefault="00414F9D" w:rsidP="0052436A">
      <w:pPr>
        <w:pStyle w:val="Headingb"/>
        <w:rPr>
          <w:u w:val="single"/>
          <w:lang w:val="ru-RU"/>
        </w:rPr>
      </w:pPr>
      <w:bookmarkStart w:id="18" w:name="lt_pId030"/>
      <w:r w:rsidRPr="0052436A">
        <w:rPr>
          <w:u w:val="single"/>
          <w:lang w:val="ru-RU"/>
        </w:rPr>
        <w:t>Анализ кадрового состава МСЭ: сотрудники, принадлежащие к группам моложе 35 лет (≤ 35) и моложе 30 лет (≤ 30)</w:t>
      </w:r>
      <w:bookmarkEnd w:id="18"/>
    </w:p>
    <w:p w14:paraId="6A6008A9" w14:textId="37074B0F" w:rsidR="00414F9D" w:rsidRPr="00414F9D" w:rsidRDefault="00414F9D" w:rsidP="00414F9D">
      <w:pPr>
        <w:rPr>
          <w:lang w:val="ru-RU"/>
        </w:rPr>
      </w:pPr>
      <w:bookmarkStart w:id="19" w:name="lt_pId031"/>
      <w:r w:rsidRPr="00414F9D">
        <w:rPr>
          <w:lang w:val="ru-RU"/>
        </w:rPr>
        <w:t xml:space="preserve">По состоянию на февраль 2024 года к группе моложе 35 лет (≤ 35 лет) относится </w:t>
      </w:r>
      <w:r w:rsidRPr="00414F9D">
        <w:rPr>
          <w:b/>
          <w:bCs/>
          <w:lang w:val="ru-RU"/>
        </w:rPr>
        <w:t>12,2 процента сотрудников МСЭ</w:t>
      </w:r>
      <w:r w:rsidRPr="00414F9D">
        <w:rPr>
          <w:lang w:val="ru-RU"/>
        </w:rPr>
        <w:t>, имеющих постоянные/длящиеся/срочные/краткосрочные контракты.</w:t>
      </w:r>
    </w:p>
    <w:bookmarkEnd w:id="19"/>
    <w:p w14:paraId="01391B75" w14:textId="77777777" w:rsidR="00414F9D" w:rsidRPr="00414F9D" w:rsidRDefault="00414F9D" w:rsidP="00414F9D">
      <w:pPr>
        <w:rPr>
          <w:lang w:val="ru-RU"/>
        </w:rPr>
      </w:pPr>
      <w:r w:rsidRPr="00414F9D">
        <w:rPr>
          <w:lang w:val="ru-RU"/>
        </w:rPr>
        <w:t xml:space="preserve">К группе моложе 30 лет (≤ 30 лет) относится </w:t>
      </w:r>
      <w:r w:rsidRPr="00414F9D">
        <w:rPr>
          <w:b/>
          <w:bCs/>
          <w:lang w:val="ru-RU"/>
        </w:rPr>
        <w:t>1,8 процента</w:t>
      </w:r>
      <w:r w:rsidRPr="00414F9D">
        <w:rPr>
          <w:lang w:val="ru-RU"/>
        </w:rPr>
        <w:t xml:space="preserve"> </w:t>
      </w:r>
      <w:r w:rsidRPr="00414F9D">
        <w:rPr>
          <w:b/>
          <w:bCs/>
          <w:lang w:val="ru-RU"/>
        </w:rPr>
        <w:t>сотрудников МСЭ</w:t>
      </w:r>
      <w:r w:rsidRPr="00414F9D">
        <w:rPr>
          <w:lang w:val="ru-RU"/>
        </w:rPr>
        <w:t>, имеющих постоянные/длящиеся/срочные контракты.</w:t>
      </w:r>
    </w:p>
    <w:p w14:paraId="06DF05BD" w14:textId="77777777" w:rsidR="00414F9D" w:rsidRPr="00414F9D" w:rsidRDefault="00414F9D" w:rsidP="00414F9D">
      <w:pPr>
        <w:rPr>
          <w:lang w:val="ru-RU"/>
        </w:rPr>
      </w:pPr>
      <w:r w:rsidRPr="00414F9D">
        <w:rPr>
          <w:lang w:val="ru-RU"/>
        </w:rPr>
        <w:t>Был принят ряд мер для расширения прав и возможностей молодежи в МСЭ и привлечения в МСЭ новых перспективных кадров.</w:t>
      </w:r>
    </w:p>
    <w:p w14:paraId="34EBD9E9" w14:textId="37CAB2EB" w:rsidR="00414F9D" w:rsidRPr="00414F9D" w:rsidRDefault="00414F9D" w:rsidP="00414F9D">
      <w:pPr>
        <w:rPr>
          <w:lang w:val="ru-RU"/>
        </w:rPr>
      </w:pPr>
      <w:r w:rsidRPr="00414F9D">
        <w:rPr>
          <w:b/>
          <w:bCs/>
          <w:u w:val="single"/>
          <w:lang w:val="ru-RU"/>
        </w:rPr>
        <w:t>Расширение прав и возможностей сотрудников МСЭ</w:t>
      </w:r>
      <w:r w:rsidRPr="00414F9D">
        <w:rPr>
          <w:lang w:val="ru-RU"/>
        </w:rPr>
        <w:t xml:space="preserve"> посредством работы Молодежной целевой группы. Молодежная целевая группа была создана в 2023 году как механизм для консультирования молодых людей в МСЭ и обеспечения того, чтобы мнения молодежи были надлежащим образом отражены и представлены. Молодежная целевая группа </w:t>
      </w:r>
      <w:r w:rsidR="0052436A" w:rsidRPr="0052436A">
        <w:rPr>
          <w:lang w:val="ru-RU"/>
        </w:rPr>
        <w:t>−</w:t>
      </w:r>
      <w:r w:rsidRPr="00414F9D">
        <w:rPr>
          <w:lang w:val="ru-RU"/>
        </w:rPr>
        <w:t xml:space="preserve"> это новая инициатива сотрудников, в которой принимает участие около 20 сотрудников из всех Секторов и Генерального секретариата (ГС). Собрания целевой группы проводятся регулярно (не реже одного раза в месяц), а отчеты представляются в Канцелярию каждые два месяца. Результаты работы Молодежной целевой группы также доводятся до сведения Межсекторальной группы. Помимо этого, целевая группа занимается повышением уровня представленности молодых сотрудников, в том числе на собраниях МСЭ и на стратегически важных обсуждениях (например, на выездном совещании старших руководителей).</w:t>
      </w:r>
    </w:p>
    <w:p w14:paraId="5713921A" w14:textId="77777777" w:rsidR="00414F9D" w:rsidRPr="00414F9D" w:rsidRDefault="00414F9D" w:rsidP="00414F9D">
      <w:pPr>
        <w:pStyle w:val="Headingb"/>
        <w:rPr>
          <w:u w:val="single"/>
          <w:lang w:val="ru-RU"/>
        </w:rPr>
      </w:pPr>
      <w:bookmarkStart w:id="20" w:name="lt_pId040"/>
      <w:r w:rsidRPr="00414F9D">
        <w:rPr>
          <w:u w:val="single"/>
          <w:lang w:val="ru-RU"/>
        </w:rPr>
        <w:t>Привлечение новых перспективных кадров в МСЭ</w:t>
      </w:r>
      <w:bookmarkEnd w:id="20"/>
    </w:p>
    <w:p w14:paraId="24D8D876" w14:textId="77777777" w:rsidR="00414F9D" w:rsidRPr="00414F9D" w:rsidRDefault="00414F9D" w:rsidP="00414F9D">
      <w:pPr>
        <w:rPr>
          <w:lang w:val="ru-RU"/>
        </w:rPr>
      </w:pPr>
      <w:bookmarkStart w:id="21" w:name="lt_pId041"/>
      <w:r w:rsidRPr="00414F9D">
        <w:rPr>
          <w:b/>
          <w:u w:val="single"/>
          <w:lang w:val="ru-RU"/>
        </w:rPr>
        <w:t>Программа стажировок</w:t>
      </w:r>
      <w:r w:rsidRPr="00414F9D">
        <w:rPr>
          <w:bCs/>
          <w:lang w:val="ru-RU"/>
        </w:rPr>
        <w:t>.</w:t>
      </w:r>
      <w:r w:rsidRPr="00414F9D">
        <w:rPr>
          <w:b/>
          <w:lang w:val="ru-RU"/>
        </w:rPr>
        <w:t xml:space="preserve"> </w:t>
      </w:r>
      <w:r w:rsidRPr="00414F9D">
        <w:rPr>
          <w:bCs/>
          <w:lang w:val="ru-RU"/>
        </w:rPr>
        <w:t xml:space="preserve">В 2023 году в МСЭ прошли стажировку 142 человека из </w:t>
      </w:r>
      <w:r w:rsidRPr="00414F9D">
        <w:rPr>
          <w:lang w:val="ru-RU"/>
        </w:rPr>
        <w:t>44 </w:t>
      </w:r>
      <w:r w:rsidRPr="00414F9D">
        <w:rPr>
          <w:bCs/>
          <w:lang w:val="ru-RU"/>
        </w:rPr>
        <w:t>стран. МСЭ хотел бы поблагодарить Германию (Программа Карло Шмида) и Китай (Китайский стипендиальный совет) за спонсирование программ стажировок.</w:t>
      </w:r>
      <w:bookmarkEnd w:id="21"/>
    </w:p>
    <w:p w14:paraId="2DF4DCF8" w14:textId="77777777" w:rsidR="00414F9D" w:rsidRPr="00414F9D" w:rsidRDefault="00414F9D" w:rsidP="00414F9D">
      <w:pPr>
        <w:rPr>
          <w:lang w:val="ru-RU"/>
        </w:rPr>
      </w:pPr>
      <w:bookmarkStart w:id="22" w:name="lt_pId044"/>
      <w:r w:rsidRPr="00414F9D">
        <w:rPr>
          <w:b/>
          <w:bCs/>
          <w:u w:val="single"/>
          <w:lang w:val="ru-RU"/>
        </w:rPr>
        <w:t>Младшие сотрудники категории специалистов (JPO)</w:t>
      </w:r>
      <w:r w:rsidRPr="00414F9D">
        <w:rPr>
          <w:lang w:val="ru-RU"/>
        </w:rPr>
        <w:t>.</w:t>
      </w:r>
      <w:bookmarkEnd w:id="22"/>
      <w:r w:rsidRPr="00414F9D">
        <w:rPr>
          <w:lang w:val="ru-RU"/>
        </w:rPr>
        <w:t xml:space="preserve"> </w:t>
      </w:r>
      <w:bookmarkStart w:id="23" w:name="lt_pId045"/>
      <w:r w:rsidRPr="00414F9D">
        <w:rPr>
          <w:lang w:val="ru-RU"/>
        </w:rPr>
        <w:t>Работает Программа для младших сотрудников категории специалистов (</w:t>
      </w:r>
      <w:r w:rsidRPr="00414F9D">
        <w:rPr>
          <w:lang w:val="en-US"/>
        </w:rPr>
        <w:t>JPO</w:t>
      </w:r>
      <w:r w:rsidRPr="00414F9D">
        <w:rPr>
          <w:lang w:val="ru-RU"/>
        </w:rPr>
        <w:t xml:space="preserve">), ориентированная на должности младшего уровня. Младшие сотрудники категории специалистов набираются на должности уровня P2, для которых требуется три года опыта работы. По данным за февраль 2024 года, в МСЭ работает восемь таких сотрудников. Государство-Член полностью финансирует работу молодого специалиста в штаб-квартире МСЭ или в отделении МСЭ на местах в течение двухлетнего срока. </w:t>
      </w:r>
      <w:bookmarkStart w:id="24" w:name="lt_pId049"/>
      <w:bookmarkEnd w:id="23"/>
      <w:r w:rsidRPr="00414F9D">
        <w:rPr>
          <w:lang w:val="ru-RU"/>
        </w:rPr>
        <w:t xml:space="preserve">Секретариат МСЭ хотел бы поблагодарить администрации Австралии, Китая, Германии, Японии, Испании, Соединенного Королевства и Соединенных Штатов Америки за поддержку программы </w:t>
      </w:r>
      <w:r w:rsidRPr="00414F9D">
        <w:rPr>
          <w:lang w:val="en-US"/>
        </w:rPr>
        <w:t>JPO</w:t>
      </w:r>
      <w:r w:rsidRPr="00414F9D">
        <w:rPr>
          <w:lang w:val="ru-RU"/>
        </w:rPr>
        <w:t>. Эта программа полезна всем Секторам и Генеральному секретариату МСЭ.</w:t>
      </w:r>
      <w:bookmarkEnd w:id="24"/>
    </w:p>
    <w:p w14:paraId="25CDCF1E" w14:textId="74FDF485" w:rsidR="00414F9D" w:rsidRPr="00414F9D" w:rsidRDefault="00414F9D" w:rsidP="00414F9D">
      <w:pPr>
        <w:rPr>
          <w:lang w:val="ru-RU"/>
        </w:rPr>
      </w:pPr>
      <w:bookmarkStart w:id="25" w:name="lt_pId051"/>
      <w:r w:rsidRPr="00414F9D">
        <w:rPr>
          <w:b/>
          <w:bCs/>
          <w:u w:val="single"/>
          <w:lang w:val="ru-RU"/>
        </w:rPr>
        <w:t>Увеличение числа сотрудников уровня Р1 в Организации</w:t>
      </w:r>
      <w:r w:rsidRPr="00414F9D">
        <w:rPr>
          <w:lang w:val="ru-RU"/>
        </w:rPr>
        <w:t xml:space="preserve">. В настоящее время по срочным контрактам работает всего пять сотрудников уровня </w:t>
      </w:r>
      <w:r w:rsidRPr="00414F9D">
        <w:t>P</w:t>
      </w:r>
      <w:r w:rsidRPr="00414F9D">
        <w:rPr>
          <w:lang w:val="ru-RU"/>
        </w:rPr>
        <w:t>1.</w:t>
      </w:r>
      <w:bookmarkEnd w:id="25"/>
      <w:r w:rsidRPr="00414F9D">
        <w:rPr>
          <w:lang w:val="ru-RU"/>
        </w:rPr>
        <w:t xml:space="preserve"> Полномочная конференция в своей </w:t>
      </w:r>
      <w:r w:rsidRPr="00414F9D">
        <w:rPr>
          <w:lang w:val="ru-RU"/>
        </w:rPr>
        <w:lastRenderedPageBreak/>
        <w:t>Резолюции 198 (Пересм. Бухарест, 2022 г.) о расширении прав и возможностей молодежи посредством электросвязи/‎информационно-коммуникационных технологий решила придавать первостепенное значение включению молодых специалистов в людские ресурсы и в повседневную работу МСЭ. В соответствии с этой Резолюцией в МСЭ была начата программа "Молодые специалисты" (</w:t>
      </w:r>
      <w:r w:rsidRPr="00414F9D">
        <w:rPr>
          <w:lang w:val="en-US"/>
        </w:rPr>
        <w:t>YPP</w:t>
      </w:r>
      <w:r w:rsidRPr="00414F9D">
        <w:rPr>
          <w:lang w:val="ru-RU"/>
        </w:rPr>
        <w:t xml:space="preserve">). МСЭ получил более 3500 заявок на участие в программе, поскольку инициатива вызвала большой интерес со стороны молодых специалистов из разных регионов мира. </w:t>
      </w:r>
      <w:bookmarkStart w:id="26" w:name="lt_pId056"/>
      <w:r w:rsidRPr="00414F9D">
        <w:rPr>
          <w:lang w:val="ru-RU"/>
        </w:rPr>
        <w:t>Программа YPP в МСЭ работает как инициатива по набору нового поколения экспертов и лидеров в области ИКТ глобального уровня, цель которой </w:t>
      </w:r>
      <w:r w:rsidR="0052436A" w:rsidRPr="0052436A">
        <w:rPr>
          <w:lang w:val="ru-RU"/>
        </w:rPr>
        <w:t>−</w:t>
      </w:r>
      <w:r w:rsidRPr="00414F9D">
        <w:rPr>
          <w:lang w:val="ru-RU"/>
        </w:rPr>
        <w:t xml:space="preserve"> помочь сформировать будущее технологического сектора и внести вклад в усиление МСЭ, в том числе путем привлечения в Организацию новых мнений, навыков и опыта. Основное внимание уделяется странам, которые не представлены или недостаточно представлены среди сотрудников МСЭ, особенно наименее развитым странам. В течение этой двухлетней программы талантливые и квалифицированные люди получат возможность углубить понимание технических, нормативно-правовых и политических вопросов, приобрести практические знания о том, как ведется работа по этим вопросам, и профессиональный опыт на международном уровне. </w:t>
      </w:r>
      <w:bookmarkEnd w:id="26"/>
      <w:r w:rsidRPr="00414F9D">
        <w:rPr>
          <w:lang w:val="ru-RU"/>
        </w:rPr>
        <w:t xml:space="preserve">Программа YPP в МСЭ будет поддерживать молодых специалистов, которые будут работать в трех Секторах и Генеральном секретариате МСЭ в штаб-квартире и на местах. Более подробную информацию об инициативе можно найти </w:t>
      </w:r>
      <w:hyperlink r:id="rId8" w:history="1">
        <w:r w:rsidRPr="00414F9D">
          <w:rPr>
            <w:rStyle w:val="Hyperlink"/>
            <w:lang w:val="ru-RU"/>
          </w:rPr>
          <w:t>зде</w:t>
        </w:r>
        <w:r w:rsidRPr="00414F9D">
          <w:rPr>
            <w:rStyle w:val="Hyperlink"/>
            <w:lang w:val="ru-RU"/>
          </w:rPr>
          <w:t>с</w:t>
        </w:r>
        <w:r w:rsidRPr="00414F9D">
          <w:rPr>
            <w:rStyle w:val="Hyperlink"/>
            <w:lang w:val="ru-RU"/>
          </w:rPr>
          <w:t>ь</w:t>
        </w:r>
      </w:hyperlink>
      <w:r w:rsidRPr="00414F9D">
        <w:rPr>
          <w:lang w:val="ru-RU"/>
        </w:rPr>
        <w:t>. Секретариат МСЭ хотел бы поблагодарить администрации Японии и Сент-Винсента и Гренадин за их поддержку программы YPP в МСЭ.</w:t>
      </w:r>
    </w:p>
    <w:p w14:paraId="638F6E24" w14:textId="77777777" w:rsidR="00414F9D" w:rsidRPr="0052436A" w:rsidRDefault="00414F9D" w:rsidP="00414F9D">
      <w:pPr>
        <w:pStyle w:val="Headingb"/>
        <w:rPr>
          <w:u w:val="single"/>
          <w:lang w:val="ru-RU"/>
        </w:rPr>
      </w:pPr>
      <w:bookmarkStart w:id="27" w:name="lt_pId062"/>
      <w:r w:rsidRPr="0052436A">
        <w:rPr>
          <w:u w:val="single"/>
        </w:rPr>
        <w:t>B</w:t>
      </w:r>
      <w:r w:rsidRPr="0052436A">
        <w:rPr>
          <w:u w:val="single"/>
          <w:lang w:val="ru-RU"/>
        </w:rPr>
        <w:t>.</w:t>
      </w:r>
      <w:bookmarkEnd w:id="27"/>
      <w:r w:rsidRPr="0052436A">
        <w:rPr>
          <w:u w:val="single"/>
          <w:lang w:val="ru-RU"/>
        </w:rPr>
        <w:t xml:space="preserve"> </w:t>
      </w:r>
      <w:bookmarkStart w:id="28" w:name="lt_pId063"/>
      <w:r w:rsidRPr="0052436A">
        <w:rPr>
          <w:u w:val="single"/>
          <w:lang w:val="ru-RU"/>
        </w:rPr>
        <w:t>Информационно-пропагандистская деятельность и стратегическое взаимодействие</w:t>
      </w:r>
      <w:bookmarkEnd w:id="28"/>
    </w:p>
    <w:p w14:paraId="1081366B" w14:textId="77777777" w:rsidR="00414F9D" w:rsidRPr="00414F9D" w:rsidRDefault="00414F9D" w:rsidP="00414F9D">
      <w:pPr>
        <w:rPr>
          <w:lang w:val="ru-RU"/>
        </w:rPr>
      </w:pPr>
      <w:bookmarkStart w:id="29" w:name="lt_pId064"/>
      <w:r w:rsidRPr="00414F9D">
        <w:rPr>
          <w:b/>
          <w:bCs/>
          <w:u w:val="single"/>
          <w:lang w:val="ru-RU"/>
        </w:rPr>
        <w:t>Молодежный консультативный комитет при Генеральном секретаре МСЭ</w:t>
      </w:r>
      <w:r w:rsidRPr="00414F9D">
        <w:rPr>
          <w:lang w:val="ru-RU"/>
        </w:rPr>
        <w:t xml:space="preserve"> был создан как динамичная и перспективная инициатива, которая расширяет права и возможности молодых людей по формированию будущего глобальной связи. </w:t>
      </w:r>
      <w:bookmarkStart w:id="30" w:name="lt_pId065"/>
      <w:bookmarkEnd w:id="29"/>
      <w:r w:rsidRPr="00414F9D">
        <w:rPr>
          <w:lang w:val="ru-RU"/>
        </w:rPr>
        <w:t xml:space="preserve">Этот консультативный орган будет направлять Генеральному секретарю МСЭ практические советы и давать конкретные рекомендации по укреплению международного сотрудничества в преодолении цифрового разрыва, "соединяя тех, кто лишен соединения", и приведению программ МСЭ в соответствие с Целями в области устойчивого развития (ЦУР). </w:t>
      </w:r>
      <w:bookmarkEnd w:id="30"/>
      <w:r w:rsidRPr="00414F9D">
        <w:rPr>
          <w:lang w:val="ru-RU"/>
        </w:rPr>
        <w:t>Эта инициатива строится на идее о том, что необходимо предоставить молодым людям возможность напрямую участвовать в деятельности МСЭ, высказывая свои мнения и предлагая свежие, новаторские и всеобъемлющие решения.</w:t>
      </w:r>
    </w:p>
    <w:p w14:paraId="48116A75" w14:textId="1627AC8B" w:rsidR="00414F9D" w:rsidRPr="00414F9D" w:rsidRDefault="00414F9D" w:rsidP="00414F9D">
      <w:pPr>
        <w:rPr>
          <w:lang w:val="ru-RU"/>
        </w:rPr>
      </w:pPr>
      <w:bookmarkStart w:id="31" w:name="lt_pId067"/>
      <w:r w:rsidRPr="00414F9D">
        <w:rPr>
          <w:lang w:val="ru-RU"/>
        </w:rPr>
        <w:t xml:space="preserve">МСЭ заключил партнерское соглашение с компанией Huawei Technologies Co. Ltd. о реализации трехлетнего проекта по осуществлению </w:t>
      </w:r>
      <w:r w:rsidRPr="00414F9D">
        <w:rPr>
          <w:b/>
          <w:bCs/>
          <w:u w:val="single"/>
          <w:lang w:val="ru-RU"/>
        </w:rPr>
        <w:t>программы молодых лидеров "Поколение подключений" (GCYLP)</w:t>
      </w:r>
      <w:r w:rsidRPr="00414F9D">
        <w:rPr>
          <w:lang w:val="ru-RU"/>
        </w:rPr>
        <w:t xml:space="preserve">. GCYLP </w:t>
      </w:r>
      <w:r w:rsidR="0052436A" w:rsidRPr="0052436A">
        <w:rPr>
          <w:lang w:val="ru-RU"/>
        </w:rPr>
        <w:t>−</w:t>
      </w:r>
      <w:r w:rsidRPr="00414F9D">
        <w:rPr>
          <w:lang w:val="ru-RU"/>
        </w:rPr>
        <w:t xml:space="preserve"> это насыщенная программа для лидеров, призванная расширить права и возможности и вдохновить молодых проводников цифровых перемен. Ежегодно в рамках GCYLP 30 молодым стипендиатам будут предоставляться консультации, обучение и финансовая поддержка, что позволит им реализовать на практике собственные проекты в области цифрового развития в разнообразных сообществах по всему миру, к которым они принадлежат.</w:t>
      </w:r>
    </w:p>
    <w:bookmarkEnd w:id="31"/>
    <w:p w14:paraId="5F2DDE32" w14:textId="77777777" w:rsidR="00414F9D" w:rsidRPr="00414F9D" w:rsidRDefault="00414F9D" w:rsidP="00414F9D">
      <w:pPr>
        <w:rPr>
          <w:lang w:val="ru-RU"/>
        </w:rPr>
      </w:pPr>
      <w:r w:rsidRPr="00414F9D">
        <w:rPr>
          <w:b/>
          <w:bCs/>
          <w:u w:val="single"/>
          <w:lang w:val="ru-RU"/>
        </w:rPr>
        <w:t>Инициативы "Поколение подключений" и деятельность в ее рамках</w:t>
      </w:r>
      <w:r w:rsidRPr="00414F9D">
        <w:rPr>
          <w:lang w:val="ru-RU"/>
        </w:rPr>
        <w:t>. В 2023 и 2024 годах МСЭ увеличил участие молодежи в мероприятиях и инициативах МСЭ, таких как саммит "ИИ во благо", региональные форумы по вопросам развития, сессии исследовательских комиссий, вручение наград "РАВНЫЕ в технологиях", День "Девушки в ИКТ" и другие.</w:t>
      </w:r>
    </w:p>
    <w:p w14:paraId="7DB2203E" w14:textId="73BFF6CC" w:rsidR="00414F9D" w:rsidRPr="00414F9D" w:rsidRDefault="00414F9D" w:rsidP="00414F9D">
      <w:pPr>
        <w:rPr>
          <w:lang w:val="ru-RU"/>
        </w:rPr>
      </w:pPr>
      <w:r w:rsidRPr="00414F9D">
        <w:rPr>
          <w:lang w:val="ru-RU"/>
        </w:rPr>
        <w:t>В рамках инициативы "Поколение подключений" Бюро развития электросвязи (БРЭ) в сотрудничестве с Государствами-Членами сформировало новую группу посланников молодежи "Поколение подключений" для расширения взаимодействия с Государствами </w:t>
      </w:r>
      <w:r w:rsidR="0052436A" w:rsidRPr="0052436A">
        <w:rPr>
          <w:lang w:val="ru-RU"/>
        </w:rPr>
        <w:t>−</w:t>
      </w:r>
      <w:r w:rsidRPr="00414F9D">
        <w:rPr>
          <w:lang w:val="ru-RU"/>
        </w:rPr>
        <w:t xml:space="preserve"> Членами МСЭ.</w:t>
      </w:r>
    </w:p>
    <w:p w14:paraId="358BE2EF" w14:textId="163F7B31" w:rsidR="00414F9D" w:rsidRPr="00414F9D" w:rsidRDefault="00414F9D" w:rsidP="00414F9D">
      <w:pPr>
        <w:rPr>
          <w:lang w:val="ru-RU"/>
        </w:rPr>
      </w:pPr>
      <w:bookmarkStart w:id="32" w:name="lt_pId074"/>
      <w:r w:rsidRPr="00414F9D">
        <w:rPr>
          <w:lang w:val="ru-RU"/>
        </w:rPr>
        <w:t xml:space="preserve">БРЭ участвует в разработке проекта и возглавляет подготовку Глобального молодежного саммита МСЭ 2024 года, который станет площадкой для глобальный обсуждений, которые позволят молодежи, Государствам </w:t>
      </w:r>
      <w:r w:rsidR="0052436A" w:rsidRPr="0052436A">
        <w:rPr>
          <w:lang w:val="ru-RU"/>
        </w:rPr>
        <w:t>−</w:t>
      </w:r>
      <w:r w:rsidRPr="00414F9D">
        <w:rPr>
          <w:lang w:val="ru-RU"/>
        </w:rPr>
        <w:t xml:space="preserve"> Членам МСЭ, компаниям частного сектора, </w:t>
      </w:r>
      <w:r w:rsidRPr="00414F9D">
        <w:rPr>
          <w:lang w:val="ru-RU"/>
        </w:rPr>
        <w:lastRenderedPageBreak/>
        <w:t>академическим организациям, учреждениям системы Организации Объединенных Наций (ООН) и директивным органам, представляющим других участников и заинтересованные стороны, сделать, ориентируясь на сформулированные молодежью потребности и надежды в области ИКТ, эффективные практические шаги к построению более инклюзивного цифрового общества для нынешнего и будущих поколений на национальном, региональном и глобальном уровнях. Более подробную информацию о подготовке к Глобальному молодежному саммиту МСЭ можно найти в Документе </w:t>
      </w:r>
      <w:hyperlink r:id="rId9" w:history="1">
        <w:r w:rsidRPr="00414F9D">
          <w:rPr>
            <w:rStyle w:val="Hyperlink"/>
            <w:lang w:val="ru-RU"/>
          </w:rPr>
          <w:t>C24/32</w:t>
        </w:r>
      </w:hyperlink>
      <w:r w:rsidRPr="00414F9D">
        <w:rPr>
          <w:lang w:val="ru-RU"/>
        </w:rPr>
        <w:t>.</w:t>
      </w:r>
    </w:p>
    <w:p w14:paraId="528DC0C4" w14:textId="77777777" w:rsidR="00414F9D" w:rsidRPr="00414F9D" w:rsidRDefault="00414F9D" w:rsidP="00414F9D">
      <w:pPr>
        <w:rPr>
          <w:lang w:val="ru-RU"/>
        </w:rPr>
      </w:pPr>
      <w:bookmarkStart w:id="33" w:name="lt_pId076"/>
      <w:bookmarkEnd w:id="32"/>
      <w:r w:rsidRPr="00414F9D">
        <w:rPr>
          <w:lang w:val="ru-RU"/>
        </w:rPr>
        <w:t>БРЭ продолжает руководить подготовкой выпусков подкаста "Поколение подключений", чтобы усилить голоса молодежи в глобальном диалоге по вопросам, касающимся цифрового развития и его связи с ЦУР.</w:t>
      </w:r>
    </w:p>
    <w:bookmarkEnd w:id="33"/>
    <w:p w14:paraId="23290628" w14:textId="77777777" w:rsidR="00414F9D" w:rsidRPr="00414F9D" w:rsidRDefault="00414F9D" w:rsidP="00414F9D">
      <w:pPr>
        <w:rPr>
          <w:lang w:val="ru-RU"/>
        </w:rPr>
      </w:pPr>
      <w:r w:rsidRPr="00414F9D">
        <w:rPr>
          <w:lang w:val="ru-RU"/>
        </w:rPr>
        <w:t>БРЭ и Бюро стандартизации электросвязи (БСЭ) работали над активным участием молодежи и совместным творческим процессом на основе межсекционного подхода в рамках системы Организации Объединенных Наций посредством организации под совместным руководством МСЭ и Структуры "ООН-женщины" сессии по ИИ на Молодежном форуме Экономического и Социального Совета (ЭКОСОС) в апреле 2024 года и координировали свои действия с Канцелярией Посланника ООН по делам молодежи для участия в консультациях ООН, таких как неофициальные консультации с заинтересованными сторонами по глобальному цифровому договору в феврале 2024 года. Ключевые результаты включают следующее:</w:t>
      </w:r>
    </w:p>
    <w:p w14:paraId="77DDF608" w14:textId="06969CBC" w:rsidR="00414F9D" w:rsidRPr="00414F9D" w:rsidRDefault="00414F9D" w:rsidP="00414F9D">
      <w:pPr>
        <w:pStyle w:val="enumlev1"/>
        <w:rPr>
          <w:lang w:val="ru-RU"/>
        </w:rPr>
      </w:pPr>
      <w:bookmarkStart w:id="34" w:name="lt_pId079"/>
      <w:r w:rsidRPr="0052436A">
        <w:rPr>
          <w:lang w:val="ru-RU"/>
        </w:rPr>
        <w:t>•</w:t>
      </w:r>
      <w:r w:rsidRPr="0052436A">
        <w:rPr>
          <w:lang w:val="ru-RU"/>
        </w:rPr>
        <w:tab/>
      </w:r>
      <w:r w:rsidRPr="00414F9D">
        <w:rPr>
          <w:lang w:val="ru-RU"/>
        </w:rPr>
        <w:t xml:space="preserve">создана совместная консультативная группа "ИИ во благо" </w:t>
      </w:r>
      <w:r w:rsidR="0052436A" w:rsidRPr="0052436A">
        <w:rPr>
          <w:lang w:val="ru-RU"/>
        </w:rPr>
        <w:t>−</w:t>
      </w:r>
      <w:r w:rsidRPr="00414F9D">
        <w:rPr>
          <w:lang w:val="ru-RU"/>
        </w:rPr>
        <w:t xml:space="preserve"> "Поколение подключений"; </w:t>
      </w:r>
      <w:bookmarkEnd w:id="34"/>
    </w:p>
    <w:p w14:paraId="19349861" w14:textId="4BF457D1" w:rsidR="00414F9D" w:rsidRPr="00414F9D" w:rsidRDefault="00414F9D" w:rsidP="00414F9D">
      <w:pPr>
        <w:pStyle w:val="enumlev1"/>
        <w:rPr>
          <w:lang w:val="ru-RU"/>
        </w:rPr>
      </w:pPr>
      <w:bookmarkStart w:id="35" w:name="lt_pId080"/>
      <w:r w:rsidRPr="00414F9D">
        <w:rPr>
          <w:lang w:val="ru-RU"/>
        </w:rPr>
        <w:t>•</w:t>
      </w:r>
      <w:r w:rsidRPr="00414F9D">
        <w:rPr>
          <w:lang w:val="ru-RU"/>
        </w:rPr>
        <w:tab/>
        <w:t xml:space="preserve">совместно организован вебинар по нейронным сетям </w:t>
      </w:r>
      <w:hyperlink r:id="rId10" w:history="1">
        <w:r w:rsidRPr="00414F9D">
          <w:rPr>
            <w:rStyle w:val="Hyperlink"/>
            <w:lang w:val="ru-RU"/>
          </w:rPr>
          <w:t xml:space="preserve">"Как </w:t>
        </w:r>
        <w:r w:rsidRPr="00414F9D">
          <w:rPr>
            <w:rStyle w:val="Hyperlink"/>
            <w:lang w:val="en-US"/>
          </w:rPr>
          <w:t>ChatGPT</w:t>
        </w:r>
        <w:r w:rsidRPr="00414F9D">
          <w:rPr>
            <w:rStyle w:val="Hyperlink"/>
            <w:lang w:val="ru-RU"/>
          </w:rPr>
          <w:t xml:space="preserve"> изменит занятия в классе </w:t>
        </w:r>
        <w:r w:rsidR="0052436A" w:rsidRPr="0052436A">
          <w:rPr>
            <w:rStyle w:val="Hyperlink"/>
            <w:lang w:val="ru-RU"/>
          </w:rPr>
          <w:t>−</w:t>
        </w:r>
        <w:r w:rsidRPr="00414F9D">
          <w:rPr>
            <w:rStyle w:val="Hyperlink"/>
            <w:lang w:val="ru-RU"/>
          </w:rPr>
          <w:t xml:space="preserve"> обсуждают преподаватели и ученики, 2023 год"</w:t>
        </w:r>
      </w:hyperlink>
      <w:r w:rsidRPr="00414F9D">
        <w:rPr>
          <w:lang w:val="ru-RU"/>
        </w:rPr>
        <w:t xml:space="preserve">; </w:t>
      </w:r>
      <w:bookmarkEnd w:id="35"/>
    </w:p>
    <w:p w14:paraId="11C6844D" w14:textId="20B9C872" w:rsidR="00414F9D" w:rsidRPr="00414F9D" w:rsidRDefault="00414F9D" w:rsidP="00414F9D">
      <w:pPr>
        <w:pStyle w:val="enumlev1"/>
        <w:rPr>
          <w:lang w:val="ru-RU"/>
        </w:rPr>
      </w:pPr>
      <w:bookmarkStart w:id="36" w:name="lt_pId081"/>
      <w:r w:rsidRPr="00414F9D">
        <w:rPr>
          <w:lang w:val="ru-RU"/>
        </w:rPr>
        <w:t>•</w:t>
      </w:r>
      <w:r w:rsidRPr="00414F9D">
        <w:rPr>
          <w:lang w:val="ru-RU"/>
        </w:rPr>
        <w:tab/>
        <w:t xml:space="preserve">в настоящее время проводится </w:t>
      </w:r>
      <w:hyperlink r:id="rId11" w:history="1">
        <w:r w:rsidRPr="00414F9D">
          <w:rPr>
            <w:rStyle w:val="Hyperlink"/>
            <w:lang w:val="ru-RU"/>
          </w:rPr>
          <w:t xml:space="preserve">глобальное </w:t>
        </w:r>
        <w:r w:rsidRPr="00414F9D">
          <w:rPr>
            <w:rStyle w:val="Hyperlink"/>
            <w:lang w:val="ru-RU"/>
          </w:rPr>
          <w:t>о</w:t>
        </w:r>
        <w:r w:rsidRPr="00414F9D">
          <w:rPr>
            <w:rStyle w:val="Hyperlink"/>
            <w:lang w:val="ru-RU"/>
          </w:rPr>
          <w:t>бследование, посвященное вопросам ИИ и молодежи</w:t>
        </w:r>
      </w:hyperlink>
      <w:r w:rsidRPr="00414F9D">
        <w:rPr>
          <w:lang w:val="ru-RU"/>
        </w:rPr>
        <w:t>, которое было подготовлено в рамках инициатив "ИИ во благо" и "Поколение подключений";</w:t>
      </w:r>
      <w:bookmarkEnd w:id="36"/>
    </w:p>
    <w:p w14:paraId="07CE4742" w14:textId="124B7C5B" w:rsidR="00414F9D" w:rsidRPr="00414F9D" w:rsidRDefault="00414F9D" w:rsidP="00414F9D">
      <w:pPr>
        <w:pStyle w:val="enumlev1"/>
        <w:rPr>
          <w:lang w:val="ru-RU"/>
        </w:rPr>
      </w:pPr>
      <w:bookmarkStart w:id="37" w:name="lt_pId082"/>
      <w:r w:rsidRPr="00414F9D">
        <w:rPr>
          <w:lang w:val="ru-RU"/>
        </w:rPr>
        <w:t>•</w:t>
      </w:r>
      <w:r w:rsidRPr="00414F9D">
        <w:rPr>
          <w:lang w:val="ru-RU"/>
        </w:rPr>
        <w:tab/>
        <w:t xml:space="preserve">совместно организована сессия на тему </w:t>
      </w:r>
      <w:hyperlink r:id="rId12" w:history="1">
        <w:r w:rsidRPr="00414F9D">
          <w:rPr>
            <w:rStyle w:val="Hyperlink"/>
            <w:lang w:val="ru-RU"/>
          </w:rPr>
          <w:t>"Влияние ИИ на м</w:t>
        </w:r>
        <w:r w:rsidRPr="00414F9D">
          <w:rPr>
            <w:rStyle w:val="Hyperlink"/>
            <w:lang w:val="ru-RU"/>
          </w:rPr>
          <w:t>о</w:t>
        </w:r>
        <w:r w:rsidRPr="00414F9D">
          <w:rPr>
            <w:rStyle w:val="Hyperlink"/>
            <w:lang w:val="ru-RU"/>
          </w:rPr>
          <w:t>лодежь: проблемы и перспективы"</w:t>
        </w:r>
      </w:hyperlink>
      <w:r w:rsidRPr="00414F9D">
        <w:rPr>
          <w:lang w:val="ru-RU"/>
        </w:rPr>
        <w:t xml:space="preserve"> на Всемирном саммите "ИИ во благо" в 2023 году;</w:t>
      </w:r>
      <w:bookmarkEnd w:id="37"/>
    </w:p>
    <w:p w14:paraId="0F9054D2" w14:textId="74EE78B6" w:rsidR="00414F9D" w:rsidRPr="00414F9D" w:rsidRDefault="00414F9D" w:rsidP="00414F9D">
      <w:pPr>
        <w:pStyle w:val="enumlev1"/>
        <w:rPr>
          <w:lang w:val="ru-RU"/>
        </w:rPr>
      </w:pPr>
      <w:bookmarkStart w:id="38" w:name="lt_pId083"/>
      <w:r w:rsidRPr="00414F9D">
        <w:rPr>
          <w:lang w:val="ru-RU"/>
        </w:rPr>
        <w:t>•</w:t>
      </w:r>
      <w:r w:rsidRPr="00414F9D">
        <w:rPr>
          <w:lang w:val="ru-RU"/>
        </w:rPr>
        <w:tab/>
        <w:t xml:space="preserve">организована совместная сессия "ИИ во благо" и "Поколение подключений", посвященная теме "«ИИ во благо» и инженерия подсказок", которая состоялась на Глобальном форуме </w:t>
      </w:r>
      <w:r w:rsidRPr="00414F9D">
        <w:rPr>
          <w:lang w:val="en-US"/>
        </w:rPr>
        <w:t>Misk</w:t>
      </w:r>
      <w:r w:rsidRPr="00414F9D">
        <w:rPr>
          <w:lang w:val="ru-RU"/>
        </w:rPr>
        <w:t>-2023 в Эр-Рияде, Саудовская Аравия.</w:t>
      </w:r>
      <w:bookmarkEnd w:id="38"/>
    </w:p>
    <w:p w14:paraId="2F12A55A" w14:textId="77777777" w:rsidR="00414F9D" w:rsidRPr="00414F9D" w:rsidRDefault="00414F9D" w:rsidP="00414F9D">
      <w:pPr>
        <w:rPr>
          <w:lang w:val="ru-RU"/>
        </w:rPr>
      </w:pPr>
      <w:bookmarkStart w:id="39" w:name="lt_pId084"/>
      <w:r w:rsidRPr="00414F9D">
        <w:rPr>
          <w:lang w:val="ru-RU"/>
        </w:rPr>
        <w:t xml:space="preserve">БСЭ продолжает расширять возможности студентов в рамках специальных мероприятий, таких как конкурс "Открытый исходный код в ИИ/МО" и организация работы платформы Build-a-thon Оперативной группы по автономным сетям (ОГ-AN). </w:t>
      </w:r>
      <w:bookmarkEnd w:id="39"/>
    </w:p>
    <w:p w14:paraId="795E35D9" w14:textId="77777777" w:rsidR="00414F9D" w:rsidRPr="00414F9D" w:rsidRDefault="00414F9D" w:rsidP="00414F9D">
      <w:pPr>
        <w:rPr>
          <w:lang w:val="ru-RU"/>
        </w:rPr>
      </w:pPr>
      <w:bookmarkStart w:id="40" w:name="lt_pId085"/>
      <w:r w:rsidRPr="00414F9D">
        <w:rPr>
          <w:lang w:val="ru-RU"/>
        </w:rPr>
        <w:t xml:space="preserve">Секретариат МСЭ также работает над укреплением отношений с академическими организациями, поддерживая проведение исследований и увеличивая вовлеченность студентов. </w:t>
      </w:r>
      <w:bookmarkEnd w:id="40"/>
    </w:p>
    <w:p w14:paraId="2E44C2F7" w14:textId="17967BAE" w:rsidR="00414F9D" w:rsidRPr="00E43C72" w:rsidRDefault="00414F9D" w:rsidP="00414F9D">
      <w:pPr>
        <w:pStyle w:val="Heading1"/>
        <w:rPr>
          <w:lang w:val="ru-RU"/>
        </w:rPr>
      </w:pPr>
      <w:r w:rsidRPr="00414F9D">
        <w:rPr>
          <w:lang w:val="ru-RU"/>
        </w:rPr>
        <w:t>3</w:t>
      </w:r>
      <w:r w:rsidRPr="00414F9D">
        <w:rPr>
          <w:lang w:val="ru-RU"/>
        </w:rPr>
        <w:tab/>
      </w:r>
      <w:bookmarkStart w:id="41" w:name="lt_pId087"/>
      <w:r w:rsidRPr="00414F9D">
        <w:rPr>
          <w:lang w:val="ru-RU"/>
        </w:rPr>
        <w:t>Создание фонда программы "Молодые специалисты"</w:t>
      </w:r>
      <w:bookmarkEnd w:id="41"/>
    </w:p>
    <w:p w14:paraId="1EF83E65" w14:textId="77777777" w:rsidR="00414F9D" w:rsidRPr="00414F9D" w:rsidRDefault="00414F9D" w:rsidP="00414F9D">
      <w:pPr>
        <w:rPr>
          <w:lang w:val="ru-RU"/>
        </w:rPr>
      </w:pPr>
      <w:bookmarkStart w:id="42" w:name="lt_pId088"/>
      <w:r w:rsidRPr="00414F9D">
        <w:rPr>
          <w:lang w:val="ru-RU"/>
        </w:rPr>
        <w:t>Фонд YPP был учрежден для финансовой поддержки программы МСЭ "Молодые специалисты", что отражает стремление Организации содействовать многообразию, интеграции и развитию молодых квалифицированных специалистов, способных внести значительный вклад в миссию МСЭ.</w:t>
      </w:r>
    </w:p>
    <w:bookmarkEnd w:id="42"/>
    <w:p w14:paraId="347E792A" w14:textId="77777777" w:rsidR="00414F9D" w:rsidRPr="00414F9D" w:rsidRDefault="00414F9D" w:rsidP="00414F9D">
      <w:pPr>
        <w:rPr>
          <w:lang w:val="ru-RU"/>
        </w:rPr>
      </w:pPr>
      <w:r w:rsidRPr="00414F9D">
        <w:rPr>
          <w:lang w:val="ru-RU"/>
        </w:rPr>
        <w:t>Совету предлагается принять учреждение фонда YPP к сведению.</w:t>
      </w:r>
    </w:p>
    <w:p w14:paraId="72FB1D3E" w14:textId="77777777" w:rsidR="00414F9D" w:rsidRPr="00414F9D" w:rsidRDefault="00414F9D" w:rsidP="002D3760">
      <w:pPr>
        <w:rPr>
          <w:lang w:val="ru-RU"/>
        </w:rPr>
      </w:pPr>
      <w:r w:rsidRPr="00414F9D">
        <w:rPr>
          <w:lang w:val="ru-RU"/>
        </w:rPr>
        <w:t>Финансирование будет основываться на добровольных взносах, а также на ассигнованиях, которые Генеральный секретарь выделит в рамках исполнения бюджета. Исходный план финансирования включает взносы, указанные в таблице ниже.</w:t>
      </w:r>
    </w:p>
    <w:tbl>
      <w:tblPr>
        <w:tblStyle w:val="ListTable2-Accent1"/>
        <w:tblW w:w="5157" w:type="pct"/>
        <w:tblLook w:val="04A0" w:firstRow="1" w:lastRow="0" w:firstColumn="1" w:lastColumn="0" w:noHBand="0" w:noVBand="1"/>
      </w:tblPr>
      <w:tblGrid>
        <w:gridCol w:w="2977"/>
        <w:gridCol w:w="2126"/>
        <w:gridCol w:w="2081"/>
        <w:gridCol w:w="2172"/>
      </w:tblGrid>
      <w:tr w:rsidR="002D3760" w:rsidRPr="00414F9D" w14:paraId="2DC2744C" w14:textId="77777777" w:rsidTr="00E43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pct"/>
          </w:tcPr>
          <w:p w14:paraId="269DBD53" w14:textId="77777777" w:rsidR="00414F9D" w:rsidRPr="00414F9D" w:rsidRDefault="00414F9D" w:rsidP="000460E5">
            <w:pPr>
              <w:pStyle w:val="Tablehead"/>
              <w:rPr>
                <w:b/>
                <w:lang w:val="ru-RU"/>
              </w:rPr>
            </w:pPr>
            <w:r w:rsidRPr="00414F9D">
              <w:rPr>
                <w:b/>
                <w:lang w:val="ru-RU"/>
              </w:rPr>
              <w:lastRenderedPageBreak/>
              <w:t>Источник финансирования</w:t>
            </w:r>
          </w:p>
        </w:tc>
        <w:tc>
          <w:tcPr>
            <w:tcW w:w="1136" w:type="pct"/>
          </w:tcPr>
          <w:p w14:paraId="0C74DEEA" w14:textId="77777777" w:rsidR="00414F9D" w:rsidRPr="00414F9D" w:rsidRDefault="00414F9D" w:rsidP="000460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bookmarkStart w:id="43" w:name="lt_pId093"/>
            <w:r w:rsidRPr="00414F9D">
              <w:rPr>
                <w:b/>
                <w:lang w:val="ru-RU"/>
              </w:rPr>
              <w:t>Сумма в 2024</w:t>
            </w:r>
            <w:bookmarkEnd w:id="43"/>
            <w:r w:rsidRPr="00414F9D">
              <w:rPr>
                <w:b/>
                <w:lang w:val="ru-RU"/>
              </w:rPr>
              <w:t> году</w:t>
            </w:r>
          </w:p>
        </w:tc>
        <w:tc>
          <w:tcPr>
            <w:tcW w:w="1112" w:type="pct"/>
          </w:tcPr>
          <w:p w14:paraId="7A986E9A" w14:textId="19CCD76C" w:rsidR="00414F9D" w:rsidRPr="00414F9D" w:rsidRDefault="00414F9D" w:rsidP="000460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414F9D">
              <w:rPr>
                <w:b/>
                <w:lang w:val="ru-RU"/>
              </w:rPr>
              <w:t>Сумма в 2025 году</w:t>
            </w:r>
          </w:p>
        </w:tc>
        <w:tc>
          <w:tcPr>
            <w:tcW w:w="1161" w:type="pct"/>
          </w:tcPr>
          <w:p w14:paraId="44D8019B" w14:textId="77777777" w:rsidR="00414F9D" w:rsidRPr="00414F9D" w:rsidRDefault="00414F9D" w:rsidP="000460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414F9D">
              <w:rPr>
                <w:b/>
                <w:lang w:val="ru-RU"/>
              </w:rPr>
              <w:t>Всего</w:t>
            </w:r>
          </w:p>
        </w:tc>
      </w:tr>
      <w:tr w:rsidR="002D3760" w:rsidRPr="00414F9D" w14:paraId="74119741" w14:textId="77777777" w:rsidTr="00E4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pct"/>
          </w:tcPr>
          <w:p w14:paraId="17F44B0C" w14:textId="77777777" w:rsidR="00414F9D" w:rsidRPr="00414F9D" w:rsidRDefault="00414F9D" w:rsidP="000460E5">
            <w:pPr>
              <w:pStyle w:val="Tabletext"/>
              <w:rPr>
                <w:lang w:val="ru-RU"/>
              </w:rPr>
            </w:pPr>
            <w:bookmarkStart w:id="44" w:name="lt_pId096"/>
            <w:r w:rsidRPr="00414F9D">
              <w:rPr>
                <w:lang w:val="ru-RU"/>
              </w:rPr>
              <w:t xml:space="preserve">Экономия при исполнении бюджета МСЭ </w:t>
            </w:r>
            <w:bookmarkEnd w:id="44"/>
          </w:p>
        </w:tc>
        <w:tc>
          <w:tcPr>
            <w:tcW w:w="1136" w:type="pct"/>
          </w:tcPr>
          <w:p w14:paraId="11EFD11F" w14:textId="77777777" w:rsidR="00414F9D" w:rsidRPr="00414F9D" w:rsidRDefault="00414F9D" w:rsidP="000460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45" w:name="lt_pId097"/>
            <w:r w:rsidRPr="00414F9D">
              <w:rPr>
                <w:lang w:val="ru-RU"/>
              </w:rPr>
              <w:t xml:space="preserve">250 000 </w:t>
            </w:r>
            <w:bookmarkEnd w:id="45"/>
            <w:r w:rsidRPr="00414F9D">
              <w:rPr>
                <w:lang w:val="ru-RU"/>
              </w:rPr>
              <w:t>шв. франков</w:t>
            </w:r>
          </w:p>
        </w:tc>
        <w:tc>
          <w:tcPr>
            <w:tcW w:w="1112" w:type="pct"/>
          </w:tcPr>
          <w:p w14:paraId="383649DC" w14:textId="77777777" w:rsidR="00414F9D" w:rsidRPr="00414F9D" w:rsidRDefault="00414F9D" w:rsidP="000460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46" w:name="lt_pId098"/>
            <w:r w:rsidRPr="00414F9D">
              <w:rPr>
                <w:lang w:val="ru-RU"/>
              </w:rPr>
              <w:t>450 000 шв. франков</w:t>
            </w:r>
            <w:bookmarkEnd w:id="46"/>
          </w:p>
        </w:tc>
        <w:tc>
          <w:tcPr>
            <w:tcW w:w="1161" w:type="pct"/>
          </w:tcPr>
          <w:p w14:paraId="15BC4E39" w14:textId="77777777" w:rsidR="00414F9D" w:rsidRPr="002D3760" w:rsidRDefault="00414F9D" w:rsidP="000460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bookmarkStart w:id="47" w:name="lt_pId099"/>
            <w:r w:rsidRPr="002D3760">
              <w:rPr>
                <w:b/>
                <w:bCs/>
                <w:lang w:val="ru-RU"/>
              </w:rPr>
              <w:t>700 000 шв. франков</w:t>
            </w:r>
            <w:bookmarkEnd w:id="47"/>
          </w:p>
        </w:tc>
      </w:tr>
      <w:tr w:rsidR="002D3760" w:rsidRPr="00414F9D" w14:paraId="7D13AFE1" w14:textId="77777777" w:rsidTr="00E43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pct"/>
          </w:tcPr>
          <w:p w14:paraId="61E47B71" w14:textId="4EDA48C9" w:rsidR="00414F9D" w:rsidRPr="00414F9D" w:rsidRDefault="00414F9D" w:rsidP="000460E5">
            <w:pPr>
              <w:pStyle w:val="Tabletext"/>
              <w:rPr>
                <w:lang w:val="ru-RU"/>
              </w:rPr>
            </w:pPr>
            <w:bookmarkStart w:id="48" w:name="lt_pId100"/>
            <w:r w:rsidRPr="00414F9D">
              <w:rPr>
                <w:lang w:val="ru-RU"/>
              </w:rPr>
              <w:t>Предлагаемое распределение сбережений предыдущих лет* (основание</w:t>
            </w:r>
            <w:r w:rsidR="00E43C72">
              <w:rPr>
                <w:lang w:val="en-US"/>
              </w:rPr>
              <w:t> </w:t>
            </w:r>
            <w:r w:rsidR="002D3760" w:rsidRPr="002D3760">
              <w:rPr>
                <w:lang w:val="ru-RU"/>
              </w:rPr>
              <w:t>−</w:t>
            </w:r>
            <w:r w:rsidRPr="00414F9D">
              <w:rPr>
                <w:lang w:val="ru-RU"/>
              </w:rPr>
              <w:t xml:space="preserve"> Документ </w:t>
            </w:r>
            <w:r w:rsidRPr="00414F9D">
              <w:t>C</w:t>
            </w:r>
            <w:r w:rsidRPr="00414F9D">
              <w:rPr>
                <w:lang w:val="ru-RU"/>
              </w:rPr>
              <w:t>24/19)</w:t>
            </w:r>
            <w:bookmarkEnd w:id="48"/>
          </w:p>
        </w:tc>
        <w:tc>
          <w:tcPr>
            <w:tcW w:w="1136" w:type="pct"/>
          </w:tcPr>
          <w:p w14:paraId="15608E5F" w14:textId="2E33566F" w:rsidR="00414F9D" w:rsidRPr="00414F9D" w:rsidRDefault="00414F9D" w:rsidP="000460E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49" w:name="lt_pId101"/>
            <w:r w:rsidRPr="00414F9D">
              <w:rPr>
                <w:lang w:val="ru-RU"/>
              </w:rPr>
              <w:t>150 000 шв. франков*</w:t>
            </w:r>
            <w:bookmarkEnd w:id="49"/>
          </w:p>
        </w:tc>
        <w:tc>
          <w:tcPr>
            <w:tcW w:w="1112" w:type="pct"/>
          </w:tcPr>
          <w:p w14:paraId="344290B4" w14:textId="1A9A581F" w:rsidR="00414F9D" w:rsidRPr="00414F9D" w:rsidRDefault="00414F9D" w:rsidP="000460E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50" w:name="lt_pId102"/>
            <w:r w:rsidRPr="00414F9D">
              <w:rPr>
                <w:lang w:val="ru-RU"/>
              </w:rPr>
              <w:t>150 000 шв. франков*</w:t>
            </w:r>
            <w:bookmarkEnd w:id="50"/>
          </w:p>
        </w:tc>
        <w:tc>
          <w:tcPr>
            <w:tcW w:w="1161" w:type="pct"/>
          </w:tcPr>
          <w:p w14:paraId="78B61A16" w14:textId="0743C2BA" w:rsidR="00414F9D" w:rsidRPr="002D3760" w:rsidRDefault="00414F9D" w:rsidP="000460E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bookmarkStart w:id="51" w:name="lt_pId103"/>
            <w:r w:rsidRPr="002D3760">
              <w:rPr>
                <w:b/>
                <w:bCs/>
                <w:lang w:val="ru-RU"/>
              </w:rPr>
              <w:t>300 000 шв. франков</w:t>
            </w:r>
            <w:r w:rsidRPr="002D3760">
              <w:rPr>
                <w:lang w:val="ru-RU"/>
              </w:rPr>
              <w:t>*</w:t>
            </w:r>
            <w:bookmarkEnd w:id="51"/>
          </w:p>
        </w:tc>
      </w:tr>
      <w:tr w:rsidR="002D3760" w:rsidRPr="00414F9D" w14:paraId="0D929043" w14:textId="77777777" w:rsidTr="00E4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pct"/>
          </w:tcPr>
          <w:p w14:paraId="774F4E89" w14:textId="77777777" w:rsidR="00414F9D" w:rsidRPr="00414F9D" w:rsidRDefault="00414F9D" w:rsidP="000460E5">
            <w:pPr>
              <w:pStyle w:val="Tabletext"/>
              <w:rPr>
                <w:lang w:val="ru-RU"/>
              </w:rPr>
            </w:pPr>
            <w:bookmarkStart w:id="52" w:name="lt_pId104"/>
            <w:r w:rsidRPr="00414F9D">
              <w:rPr>
                <w:lang w:val="ru-RU"/>
              </w:rPr>
              <w:t>Взнос</w:t>
            </w:r>
            <w:r w:rsidRPr="00414F9D">
              <w:rPr>
                <w:lang w:val="en-US"/>
              </w:rPr>
              <w:t xml:space="preserve"> </w:t>
            </w:r>
            <w:r w:rsidRPr="00414F9D">
              <w:rPr>
                <w:lang w:val="ru-RU"/>
              </w:rPr>
              <w:t>Японии</w:t>
            </w:r>
            <w:bookmarkEnd w:id="52"/>
          </w:p>
        </w:tc>
        <w:tc>
          <w:tcPr>
            <w:tcW w:w="1136" w:type="pct"/>
          </w:tcPr>
          <w:p w14:paraId="3884CB17" w14:textId="77777777" w:rsidR="00414F9D" w:rsidRPr="00414F9D" w:rsidRDefault="00414F9D" w:rsidP="000460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3" w:name="lt_pId105"/>
            <w:r w:rsidRPr="00414F9D">
              <w:t>150</w:t>
            </w:r>
            <w:r w:rsidRPr="00414F9D">
              <w:rPr>
                <w:lang w:val="ru-RU"/>
              </w:rPr>
              <w:t> </w:t>
            </w:r>
            <w:r w:rsidRPr="00414F9D">
              <w:t>000 шв. франков</w:t>
            </w:r>
            <w:bookmarkEnd w:id="53"/>
          </w:p>
        </w:tc>
        <w:tc>
          <w:tcPr>
            <w:tcW w:w="1112" w:type="pct"/>
          </w:tcPr>
          <w:p w14:paraId="59700BCB" w14:textId="77777777" w:rsidR="00414F9D" w:rsidRPr="00414F9D" w:rsidRDefault="00414F9D" w:rsidP="000460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4" w:name="lt_pId106"/>
            <w:r w:rsidRPr="00414F9D">
              <w:t>150</w:t>
            </w:r>
            <w:r w:rsidRPr="00414F9D">
              <w:rPr>
                <w:lang w:val="ru-RU"/>
              </w:rPr>
              <w:t> </w:t>
            </w:r>
            <w:r w:rsidRPr="00414F9D">
              <w:t xml:space="preserve">000 </w:t>
            </w:r>
            <w:bookmarkEnd w:id="54"/>
            <w:r w:rsidRPr="00414F9D">
              <w:t>шв. франков</w:t>
            </w:r>
          </w:p>
        </w:tc>
        <w:tc>
          <w:tcPr>
            <w:tcW w:w="1161" w:type="pct"/>
          </w:tcPr>
          <w:p w14:paraId="3A814DCD" w14:textId="77777777" w:rsidR="00414F9D" w:rsidRPr="002D3760" w:rsidRDefault="00414F9D" w:rsidP="000460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bookmarkStart w:id="55" w:name="lt_pId107"/>
            <w:r w:rsidRPr="002D3760">
              <w:rPr>
                <w:b/>
                <w:bCs/>
              </w:rPr>
              <w:t>300</w:t>
            </w:r>
            <w:r w:rsidRPr="002D3760">
              <w:rPr>
                <w:b/>
                <w:bCs/>
                <w:lang w:val="ru-RU"/>
              </w:rPr>
              <w:t> </w:t>
            </w:r>
            <w:r w:rsidRPr="002D3760">
              <w:rPr>
                <w:b/>
                <w:bCs/>
              </w:rPr>
              <w:t>000 шв. франков</w:t>
            </w:r>
            <w:bookmarkEnd w:id="55"/>
          </w:p>
        </w:tc>
      </w:tr>
    </w:tbl>
    <w:p w14:paraId="4AB50533" w14:textId="19DA7FBF" w:rsidR="00414F9D" w:rsidRPr="00414F9D" w:rsidRDefault="00414F9D" w:rsidP="000460E5">
      <w:pPr>
        <w:pStyle w:val="Tablelegend"/>
        <w:rPr>
          <w:lang w:val="ru-RU"/>
        </w:rPr>
      </w:pPr>
      <w:bookmarkStart w:id="56" w:name="lt_pId108"/>
      <w:r w:rsidRPr="00414F9D">
        <w:rPr>
          <w:lang w:val="ru-RU"/>
        </w:rPr>
        <w:t>*</w:t>
      </w:r>
      <w:r w:rsidR="000460E5" w:rsidRPr="000460E5">
        <w:rPr>
          <w:lang w:val="ru-RU"/>
        </w:rPr>
        <w:tab/>
      </w:r>
      <w:r w:rsidRPr="00414F9D">
        <w:rPr>
          <w:lang w:val="ru-RU"/>
        </w:rPr>
        <w:t>Передача в фонд производится только по решению Совета.</w:t>
      </w:r>
      <w:bookmarkEnd w:id="56"/>
    </w:p>
    <w:p w14:paraId="1D954B79" w14:textId="77777777" w:rsidR="00414F9D" w:rsidRPr="00414F9D" w:rsidRDefault="00414F9D" w:rsidP="00414F9D">
      <w:pPr>
        <w:rPr>
          <w:lang w:val="ru-RU"/>
        </w:rPr>
      </w:pPr>
      <w:bookmarkStart w:id="57" w:name="lt_pId109"/>
      <w:r w:rsidRPr="00414F9D">
        <w:rPr>
          <w:lang w:val="ru-RU"/>
        </w:rPr>
        <w:t>В связи с этим Государствам-Членам любезно предлагается вносить взносы в этот фонд.</w:t>
      </w:r>
      <w:bookmarkEnd w:id="57"/>
    </w:p>
    <w:p w14:paraId="4E830C7D" w14:textId="77777777" w:rsidR="000460E5" w:rsidRPr="00EA3C31" w:rsidRDefault="000460E5" w:rsidP="000460E5">
      <w:pPr>
        <w:spacing w:before="720"/>
        <w:jc w:val="center"/>
        <w:rPr>
          <w:bCs/>
          <w:iCs/>
          <w:lang w:val="ru-RU"/>
        </w:rPr>
      </w:pPr>
      <w:r w:rsidRPr="00EA3C31">
        <w:rPr>
          <w:lang w:val="ru-RU"/>
        </w:rPr>
        <w:t>______________</w:t>
      </w:r>
    </w:p>
    <w:sectPr w:rsidR="000460E5" w:rsidRPr="00EA3C31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365D" w14:textId="77777777" w:rsidR="00414F9D" w:rsidRDefault="00414F9D">
      <w:r>
        <w:separator/>
      </w:r>
    </w:p>
  </w:endnote>
  <w:endnote w:type="continuationSeparator" w:id="0">
    <w:p w14:paraId="551FEA1F" w14:textId="77777777" w:rsidR="00414F9D" w:rsidRDefault="0041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3CD00F6" w14:textId="77777777" w:rsidTr="00E31DCE">
      <w:trPr>
        <w:jc w:val="center"/>
      </w:trPr>
      <w:tc>
        <w:tcPr>
          <w:tcW w:w="1803" w:type="dxa"/>
          <w:vAlign w:val="center"/>
        </w:tcPr>
        <w:p w14:paraId="07BCF59A" w14:textId="43627741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726BA7B" w14:textId="6810F89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414F9D">
            <w:rPr>
              <w:bCs/>
            </w:rPr>
            <w:t>31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AAAB60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D4DD7EF" w14:textId="77777777" w:rsidTr="00E31DCE">
      <w:trPr>
        <w:jc w:val="center"/>
      </w:trPr>
      <w:tc>
        <w:tcPr>
          <w:tcW w:w="1803" w:type="dxa"/>
          <w:vAlign w:val="center"/>
        </w:tcPr>
        <w:p w14:paraId="168B79F3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7FD22E79" w14:textId="7C1BA24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414F9D">
            <w:rPr>
              <w:bCs/>
            </w:rPr>
            <w:t>31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61CEF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76EB" w14:textId="77777777" w:rsidR="00414F9D" w:rsidRDefault="00414F9D">
      <w:r>
        <w:t>____________________</w:t>
      </w:r>
    </w:p>
  </w:footnote>
  <w:footnote w:type="continuationSeparator" w:id="0">
    <w:p w14:paraId="34BF25EF" w14:textId="77777777" w:rsidR="00414F9D" w:rsidRDefault="0041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2496F9F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444E83D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8" w:name="_Hlk133422111"/>
          <w:r>
            <w:rPr>
              <w:noProof/>
            </w:rPr>
            <w:drawing>
              <wp:inline distT="0" distB="0" distL="0" distR="0" wp14:anchorId="5C9D80CE" wp14:editId="21633A07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28E346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7CBE1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944E9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8"/>
  <w:p w14:paraId="4EFFC0FC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5D430" wp14:editId="389A37B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D90F5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BC4CF"/>
    <w:multiLevelType w:val="hybridMultilevel"/>
    <w:tmpl w:val="FFFFFFFF"/>
    <w:lvl w:ilvl="0" w:tplc="78DC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E7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BA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04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0D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C29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6B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EE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0A2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22230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5126"/>
    <w:rsid w:val="000460E5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3760"/>
    <w:rsid w:val="002D48C5"/>
    <w:rsid w:val="0033025A"/>
    <w:rsid w:val="003F099E"/>
    <w:rsid w:val="003F235E"/>
    <w:rsid w:val="004023E0"/>
    <w:rsid w:val="00403DD8"/>
    <w:rsid w:val="00414F9D"/>
    <w:rsid w:val="00442515"/>
    <w:rsid w:val="0045686C"/>
    <w:rsid w:val="004918C4"/>
    <w:rsid w:val="00497703"/>
    <w:rsid w:val="004A0374"/>
    <w:rsid w:val="004A45B5"/>
    <w:rsid w:val="004D0129"/>
    <w:rsid w:val="0052436A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71812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47E05"/>
    <w:rsid w:val="008B62B4"/>
    <w:rsid w:val="008D2D7B"/>
    <w:rsid w:val="008E0737"/>
    <w:rsid w:val="008F7C2C"/>
    <w:rsid w:val="00940E96"/>
    <w:rsid w:val="009B0BAE"/>
    <w:rsid w:val="009B2078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43C72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53372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414F9D"/>
    <w:rPr>
      <w:color w:val="605E5C"/>
      <w:shd w:val="clear" w:color="auto" w:fill="E1DFDD"/>
    </w:rPr>
  </w:style>
  <w:style w:type="table" w:styleId="ListTable2-Accent1">
    <w:name w:val="List Table 2 Accent 1"/>
    <w:basedOn w:val="TableNormal"/>
    <w:uiPriority w:val="47"/>
    <w:rsid w:val="00414F9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u/action/youth/Pages/YPP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19/en" TargetMode="External"/><Relationship Id="rId12" Type="http://schemas.openxmlformats.org/officeDocument/2006/relationships/hyperlink" Target="https://aiforgood.itu.int/event/replay-the-impact-of-ai-on-youth-opportunities-and-challeng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mailchi.mp%2Faiforgood%2Fjoin-the-global-dialogue-on-ai-and-youth-take-the-survey&amp;data=05%7C02%7CRegina.Valiullina%40itu.int%7Ca7fc921605564aa1a39108dc39facd96%7C23e464d704e64b87913c24bd89219fd3%7C0%7C0%7C638448996546030370%7CUnknown%7CTWFpbGZsb3d8eyJWIjoiMC4wLjAwMDAiLCJQIjoiV2luMzIiLCJBTiI6Ik1haWwiLCJXVCI6Mn0%3D%7C0%7C%7C%7C&amp;sdata=4HovNRJl7HwKI%2FZYsfWY%2F8yd9WAHQTtyu6T4EbGkWjw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iforgood.itu.int/event/how-chatgpt-will-change-the-classroom-teachers-and-students-discu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032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12</TotalTime>
  <Pages>5</Pages>
  <Words>1517</Words>
  <Characters>11226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Elena Fedosova</cp:lastModifiedBy>
  <cp:revision>6</cp:revision>
  <cp:lastPrinted>2006-03-28T16:12:00Z</cp:lastPrinted>
  <dcterms:created xsi:type="dcterms:W3CDTF">2024-05-24T08:40:00Z</dcterms:created>
  <dcterms:modified xsi:type="dcterms:W3CDTF">2024-05-24T09:03:00Z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