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F21D7" w14:paraId="6DC5CFBE" w14:textId="77777777" w:rsidTr="00D72F49">
        <w:trPr>
          <w:cantSplit/>
          <w:trHeight w:val="23"/>
        </w:trPr>
        <w:tc>
          <w:tcPr>
            <w:tcW w:w="3969" w:type="dxa"/>
            <w:vMerge w:val="restart"/>
            <w:tcMar>
              <w:left w:w="0" w:type="dxa"/>
            </w:tcMar>
          </w:tcPr>
          <w:p w14:paraId="4CA9496D" w14:textId="2E8AD9D5" w:rsidR="00D72F49" w:rsidRPr="001F21D7" w:rsidRDefault="00D72F49" w:rsidP="00D72F49">
            <w:pPr>
              <w:tabs>
                <w:tab w:val="left" w:pos="851"/>
              </w:tabs>
              <w:spacing w:before="0" w:line="240" w:lineRule="atLeast"/>
              <w:rPr>
                <w:b/>
              </w:rPr>
            </w:pPr>
            <w:r w:rsidRPr="001F21D7">
              <w:rPr>
                <w:b/>
              </w:rPr>
              <w:t>Point de l</w:t>
            </w:r>
            <w:r w:rsidR="006D554F" w:rsidRPr="001F21D7">
              <w:rPr>
                <w:b/>
              </w:rPr>
              <w:t>'</w:t>
            </w:r>
            <w:r w:rsidRPr="001F21D7">
              <w:rPr>
                <w:b/>
              </w:rPr>
              <w:t>ordre du jour:</w:t>
            </w:r>
            <w:r w:rsidR="007A070A" w:rsidRPr="001F21D7">
              <w:rPr>
                <w:b/>
              </w:rPr>
              <w:t xml:space="preserve"> PL 2</w:t>
            </w:r>
          </w:p>
        </w:tc>
        <w:tc>
          <w:tcPr>
            <w:tcW w:w="5245" w:type="dxa"/>
          </w:tcPr>
          <w:p w14:paraId="1572BCE8" w14:textId="324BBDEC" w:rsidR="00D72F49" w:rsidRPr="001F21D7" w:rsidRDefault="00D72F49" w:rsidP="00D72F49">
            <w:pPr>
              <w:tabs>
                <w:tab w:val="left" w:pos="851"/>
              </w:tabs>
              <w:spacing w:before="0" w:line="240" w:lineRule="atLeast"/>
              <w:jc w:val="right"/>
              <w:rPr>
                <w:b/>
              </w:rPr>
            </w:pPr>
            <w:r w:rsidRPr="001F21D7">
              <w:rPr>
                <w:b/>
              </w:rPr>
              <w:t>Document C2</w:t>
            </w:r>
            <w:r w:rsidR="0073275D" w:rsidRPr="001F21D7">
              <w:rPr>
                <w:b/>
              </w:rPr>
              <w:t>4</w:t>
            </w:r>
            <w:r w:rsidRPr="001F21D7">
              <w:rPr>
                <w:b/>
              </w:rPr>
              <w:t>/</w:t>
            </w:r>
            <w:r w:rsidR="007A070A" w:rsidRPr="001F21D7">
              <w:rPr>
                <w:b/>
              </w:rPr>
              <w:t>31</w:t>
            </w:r>
            <w:r w:rsidRPr="001F21D7">
              <w:rPr>
                <w:b/>
              </w:rPr>
              <w:t>-F</w:t>
            </w:r>
          </w:p>
        </w:tc>
      </w:tr>
      <w:tr w:rsidR="00D72F49" w:rsidRPr="001F21D7" w14:paraId="7C977E92" w14:textId="77777777" w:rsidTr="00D72F49">
        <w:trPr>
          <w:cantSplit/>
        </w:trPr>
        <w:tc>
          <w:tcPr>
            <w:tcW w:w="3969" w:type="dxa"/>
            <w:vMerge/>
          </w:tcPr>
          <w:p w14:paraId="58BFA675" w14:textId="77777777" w:rsidR="00D72F49" w:rsidRPr="001F21D7" w:rsidRDefault="00D72F49" w:rsidP="00D72F49">
            <w:pPr>
              <w:tabs>
                <w:tab w:val="left" w:pos="851"/>
              </w:tabs>
              <w:spacing w:line="240" w:lineRule="atLeast"/>
              <w:rPr>
                <w:b/>
              </w:rPr>
            </w:pPr>
          </w:p>
        </w:tc>
        <w:tc>
          <w:tcPr>
            <w:tcW w:w="5245" w:type="dxa"/>
          </w:tcPr>
          <w:p w14:paraId="4B61A8DA" w14:textId="10B92412" w:rsidR="00D72F49" w:rsidRPr="001F21D7" w:rsidRDefault="007A070A" w:rsidP="00D72F49">
            <w:pPr>
              <w:tabs>
                <w:tab w:val="left" w:pos="851"/>
              </w:tabs>
              <w:spacing w:before="0"/>
              <w:jc w:val="right"/>
              <w:rPr>
                <w:b/>
              </w:rPr>
            </w:pPr>
            <w:r w:rsidRPr="001F21D7">
              <w:rPr>
                <w:b/>
              </w:rPr>
              <w:t>9 avril</w:t>
            </w:r>
            <w:r w:rsidR="00D72F49" w:rsidRPr="001F21D7">
              <w:rPr>
                <w:b/>
              </w:rPr>
              <w:t xml:space="preserve"> 202</w:t>
            </w:r>
            <w:r w:rsidR="0073275D" w:rsidRPr="001F21D7">
              <w:rPr>
                <w:b/>
              </w:rPr>
              <w:t>4</w:t>
            </w:r>
          </w:p>
        </w:tc>
      </w:tr>
      <w:tr w:rsidR="00D72F49" w:rsidRPr="001F21D7" w14:paraId="59376D83" w14:textId="77777777" w:rsidTr="00D72F49">
        <w:trPr>
          <w:cantSplit/>
          <w:trHeight w:val="23"/>
        </w:trPr>
        <w:tc>
          <w:tcPr>
            <w:tcW w:w="3969" w:type="dxa"/>
            <w:vMerge/>
          </w:tcPr>
          <w:p w14:paraId="5ADF9CE6" w14:textId="77777777" w:rsidR="00D72F49" w:rsidRPr="001F21D7" w:rsidRDefault="00D72F49" w:rsidP="00D72F49">
            <w:pPr>
              <w:tabs>
                <w:tab w:val="left" w:pos="851"/>
              </w:tabs>
              <w:spacing w:line="240" w:lineRule="atLeast"/>
              <w:rPr>
                <w:b/>
              </w:rPr>
            </w:pPr>
          </w:p>
        </w:tc>
        <w:tc>
          <w:tcPr>
            <w:tcW w:w="5245" w:type="dxa"/>
          </w:tcPr>
          <w:p w14:paraId="4F93191E" w14:textId="77777777" w:rsidR="00D72F49" w:rsidRPr="001F21D7" w:rsidRDefault="00D72F49" w:rsidP="00D72F49">
            <w:pPr>
              <w:tabs>
                <w:tab w:val="left" w:pos="851"/>
              </w:tabs>
              <w:spacing w:before="0" w:line="240" w:lineRule="atLeast"/>
              <w:jc w:val="right"/>
              <w:rPr>
                <w:b/>
              </w:rPr>
            </w:pPr>
            <w:r w:rsidRPr="001F21D7">
              <w:rPr>
                <w:b/>
              </w:rPr>
              <w:t>Original: anglais</w:t>
            </w:r>
          </w:p>
        </w:tc>
      </w:tr>
      <w:tr w:rsidR="00D72F49" w:rsidRPr="001F21D7" w14:paraId="26E017AF" w14:textId="77777777" w:rsidTr="00D72F49">
        <w:trPr>
          <w:cantSplit/>
          <w:trHeight w:val="23"/>
        </w:trPr>
        <w:tc>
          <w:tcPr>
            <w:tcW w:w="3969" w:type="dxa"/>
          </w:tcPr>
          <w:p w14:paraId="3E711DB8" w14:textId="77777777" w:rsidR="00D72F49" w:rsidRPr="001F21D7" w:rsidRDefault="00D72F49" w:rsidP="00D72F49">
            <w:pPr>
              <w:tabs>
                <w:tab w:val="left" w:pos="851"/>
              </w:tabs>
              <w:spacing w:line="240" w:lineRule="atLeast"/>
              <w:rPr>
                <w:b/>
              </w:rPr>
            </w:pPr>
          </w:p>
        </w:tc>
        <w:tc>
          <w:tcPr>
            <w:tcW w:w="5245" w:type="dxa"/>
          </w:tcPr>
          <w:p w14:paraId="148E0199" w14:textId="77777777" w:rsidR="00D72F49" w:rsidRPr="001F21D7" w:rsidRDefault="00D72F49" w:rsidP="00D72F49">
            <w:pPr>
              <w:tabs>
                <w:tab w:val="left" w:pos="851"/>
              </w:tabs>
              <w:spacing w:before="0" w:line="240" w:lineRule="atLeast"/>
              <w:jc w:val="right"/>
              <w:rPr>
                <w:b/>
              </w:rPr>
            </w:pPr>
          </w:p>
        </w:tc>
      </w:tr>
      <w:tr w:rsidR="00D72F49" w:rsidRPr="001F21D7" w14:paraId="64869042" w14:textId="77777777" w:rsidTr="00D72F49">
        <w:trPr>
          <w:cantSplit/>
        </w:trPr>
        <w:tc>
          <w:tcPr>
            <w:tcW w:w="9214" w:type="dxa"/>
            <w:gridSpan w:val="2"/>
            <w:tcMar>
              <w:left w:w="0" w:type="dxa"/>
            </w:tcMar>
          </w:tcPr>
          <w:p w14:paraId="7DF96AE3" w14:textId="77777777" w:rsidR="00D72F49" w:rsidRPr="001F21D7" w:rsidRDefault="00D72F49" w:rsidP="00D72F49">
            <w:pPr>
              <w:pStyle w:val="Source"/>
              <w:jc w:val="left"/>
              <w:rPr>
                <w:sz w:val="34"/>
                <w:szCs w:val="34"/>
              </w:rPr>
            </w:pPr>
            <w:r w:rsidRPr="001F21D7">
              <w:rPr>
                <w:rFonts w:cstheme="minorHAnsi"/>
                <w:color w:val="000000"/>
                <w:sz w:val="34"/>
                <w:szCs w:val="34"/>
              </w:rPr>
              <w:t xml:space="preserve">Rapport </w:t>
            </w:r>
            <w:r w:rsidR="00E95647" w:rsidRPr="001F21D7">
              <w:rPr>
                <w:rFonts w:cstheme="minorHAnsi"/>
                <w:color w:val="000000"/>
                <w:sz w:val="34"/>
                <w:szCs w:val="34"/>
              </w:rPr>
              <w:t xml:space="preserve">de la </w:t>
            </w:r>
            <w:r w:rsidRPr="001F21D7">
              <w:rPr>
                <w:rFonts w:cstheme="minorHAnsi"/>
                <w:color w:val="000000"/>
                <w:sz w:val="34"/>
                <w:szCs w:val="34"/>
              </w:rPr>
              <w:t>Secrétaire général</w:t>
            </w:r>
            <w:r w:rsidR="00E95647" w:rsidRPr="001F21D7">
              <w:rPr>
                <w:rFonts w:cstheme="minorHAnsi"/>
                <w:color w:val="000000"/>
                <w:sz w:val="34"/>
                <w:szCs w:val="34"/>
              </w:rPr>
              <w:t>e</w:t>
            </w:r>
          </w:p>
        </w:tc>
      </w:tr>
      <w:tr w:rsidR="00D72F49" w:rsidRPr="001F21D7" w14:paraId="08AD5A04" w14:textId="77777777" w:rsidTr="00D72F49">
        <w:trPr>
          <w:cantSplit/>
        </w:trPr>
        <w:tc>
          <w:tcPr>
            <w:tcW w:w="9214" w:type="dxa"/>
            <w:gridSpan w:val="2"/>
            <w:tcMar>
              <w:left w:w="0" w:type="dxa"/>
            </w:tcMar>
          </w:tcPr>
          <w:p w14:paraId="19590F51" w14:textId="3B9A1C41" w:rsidR="00D72F49" w:rsidRPr="001F21D7" w:rsidRDefault="007A070A" w:rsidP="00D72F49">
            <w:pPr>
              <w:pStyle w:val="Subtitle"/>
              <w:framePr w:hSpace="0" w:wrap="auto" w:hAnchor="text" w:xAlign="left" w:yAlign="inline"/>
              <w:rPr>
                <w:lang w:val="fr-FR"/>
              </w:rPr>
            </w:pPr>
            <w:r w:rsidRPr="001F21D7">
              <w:rPr>
                <w:rFonts w:cstheme="minorHAnsi"/>
                <w:lang w:val="fr-FR"/>
              </w:rPr>
              <w:t>PARTICIPATION DES JEUNES ET INITIATIVES POUR LA JEUNESSE À</w:t>
            </w:r>
            <w:r w:rsidR="00944B1F" w:rsidRPr="001F21D7">
              <w:rPr>
                <w:rFonts w:cstheme="minorHAnsi"/>
                <w:lang w:val="fr-FR"/>
              </w:rPr>
              <w:t> </w:t>
            </w:r>
            <w:r w:rsidRPr="001F21D7">
              <w:rPr>
                <w:rFonts w:cstheme="minorHAnsi"/>
                <w:lang w:val="fr-FR"/>
              </w:rPr>
              <w:t>L</w:t>
            </w:r>
            <w:r w:rsidR="006D554F" w:rsidRPr="001F21D7">
              <w:rPr>
                <w:rFonts w:cstheme="minorHAnsi"/>
                <w:lang w:val="fr-FR"/>
              </w:rPr>
              <w:t>'</w:t>
            </w:r>
            <w:r w:rsidRPr="001F21D7">
              <w:rPr>
                <w:rFonts w:cstheme="minorHAnsi"/>
                <w:lang w:val="fr-FR"/>
              </w:rPr>
              <w:t>UIT</w:t>
            </w:r>
          </w:p>
        </w:tc>
      </w:tr>
      <w:tr w:rsidR="00D72F49" w:rsidRPr="001F21D7" w14:paraId="1E49E9BC" w14:textId="77777777" w:rsidTr="00D72F49">
        <w:trPr>
          <w:cantSplit/>
        </w:trPr>
        <w:tc>
          <w:tcPr>
            <w:tcW w:w="9214" w:type="dxa"/>
            <w:gridSpan w:val="2"/>
            <w:tcBorders>
              <w:top w:val="single" w:sz="4" w:space="0" w:color="auto"/>
              <w:bottom w:val="single" w:sz="4" w:space="0" w:color="auto"/>
            </w:tcBorders>
            <w:tcMar>
              <w:left w:w="0" w:type="dxa"/>
            </w:tcMar>
          </w:tcPr>
          <w:p w14:paraId="7D62F8C8" w14:textId="77777777" w:rsidR="00D72F49" w:rsidRPr="001F21D7" w:rsidRDefault="00F37FE5" w:rsidP="00D72F49">
            <w:pPr>
              <w:spacing w:before="160"/>
              <w:rPr>
                <w:b/>
                <w:bCs/>
                <w:sz w:val="26"/>
                <w:szCs w:val="26"/>
              </w:rPr>
            </w:pPr>
            <w:r w:rsidRPr="001F21D7">
              <w:rPr>
                <w:b/>
                <w:bCs/>
                <w:sz w:val="26"/>
                <w:szCs w:val="26"/>
              </w:rPr>
              <w:t>Objet</w:t>
            </w:r>
          </w:p>
          <w:p w14:paraId="58EF0CBC" w14:textId="39DD07AE" w:rsidR="00D72F49" w:rsidRPr="001F21D7" w:rsidRDefault="007A070A" w:rsidP="00D72F49">
            <w:r w:rsidRPr="001F21D7">
              <w:t>L</w:t>
            </w:r>
            <w:r w:rsidR="006D554F" w:rsidRPr="001F21D7">
              <w:t>'</w:t>
            </w:r>
            <w:r w:rsidRPr="001F21D7">
              <w:t>objectif du présent document est de rendre compte au Conseil de l</w:t>
            </w:r>
            <w:r w:rsidR="006D554F" w:rsidRPr="001F21D7">
              <w:t>'</w:t>
            </w:r>
            <w:r w:rsidRPr="001F21D7">
              <w:t>UIT sur la participation des jeunes à plusieurs initiatives et programmes actuels de l</w:t>
            </w:r>
            <w:r w:rsidR="006D554F" w:rsidRPr="001F21D7">
              <w:t>'</w:t>
            </w:r>
            <w:r w:rsidRPr="001F21D7">
              <w:t>UIT.</w:t>
            </w:r>
          </w:p>
          <w:p w14:paraId="65C880B4" w14:textId="77777777" w:rsidR="00D72F49" w:rsidRPr="001F21D7" w:rsidRDefault="00D72F49" w:rsidP="00D72F49">
            <w:pPr>
              <w:spacing w:before="160"/>
              <w:rPr>
                <w:b/>
                <w:bCs/>
                <w:sz w:val="26"/>
                <w:szCs w:val="26"/>
              </w:rPr>
            </w:pPr>
            <w:r w:rsidRPr="001F21D7">
              <w:rPr>
                <w:b/>
                <w:bCs/>
                <w:sz w:val="26"/>
                <w:szCs w:val="26"/>
              </w:rPr>
              <w:t>Suite à donner par le Conseil</w:t>
            </w:r>
          </w:p>
          <w:p w14:paraId="57FE759F" w14:textId="16836BF9" w:rsidR="00D72F49" w:rsidRPr="001F21D7" w:rsidRDefault="007A070A" w:rsidP="00D72F49">
            <w:r w:rsidRPr="001F21D7">
              <w:t xml:space="preserve">Le Conseil est invité à </w:t>
            </w:r>
            <w:r w:rsidRPr="001F21D7">
              <w:rPr>
                <w:b/>
                <w:bCs/>
              </w:rPr>
              <w:t>prendre note</w:t>
            </w:r>
            <w:r w:rsidRPr="001F21D7">
              <w:t xml:space="preserve"> du rapport et de la création du Fonds UIT pour la jeunesse. Les États Membres sont invités à contribuer à ce fonds pour soutenir le Programme à l</w:t>
            </w:r>
            <w:r w:rsidR="006D554F" w:rsidRPr="001F21D7">
              <w:t>'</w:t>
            </w:r>
            <w:r w:rsidRPr="001F21D7">
              <w:t>intention des jeunes professionnels (YPP).</w:t>
            </w:r>
          </w:p>
          <w:p w14:paraId="57F334BE" w14:textId="77777777" w:rsidR="00D72F49" w:rsidRPr="001F21D7" w:rsidRDefault="00D72F49" w:rsidP="00D72F49">
            <w:pPr>
              <w:spacing w:before="160"/>
              <w:rPr>
                <w:b/>
                <w:bCs/>
                <w:sz w:val="26"/>
                <w:szCs w:val="26"/>
              </w:rPr>
            </w:pPr>
            <w:r w:rsidRPr="001F21D7">
              <w:rPr>
                <w:b/>
                <w:bCs/>
                <w:sz w:val="26"/>
                <w:szCs w:val="26"/>
              </w:rPr>
              <w:t xml:space="preserve">Lien(s) pertinent(s) avec le </w:t>
            </w:r>
            <w:r w:rsidR="00F37FE5" w:rsidRPr="001F21D7">
              <w:rPr>
                <w:b/>
                <w:bCs/>
                <w:sz w:val="26"/>
                <w:szCs w:val="26"/>
              </w:rPr>
              <w:t>p</w:t>
            </w:r>
            <w:r w:rsidRPr="001F21D7">
              <w:rPr>
                <w:b/>
                <w:bCs/>
                <w:sz w:val="26"/>
                <w:szCs w:val="26"/>
              </w:rPr>
              <w:t>lan stratégique</w:t>
            </w:r>
          </w:p>
          <w:p w14:paraId="283B5104" w14:textId="72FB6579" w:rsidR="00D72F49" w:rsidRPr="001F21D7" w:rsidRDefault="007A070A" w:rsidP="00D72F49">
            <w:r w:rsidRPr="001F21D7">
              <w:t>Diversité et inclusion; excellence en matière de ressources humaines et d</w:t>
            </w:r>
            <w:r w:rsidR="006D554F" w:rsidRPr="001F21D7">
              <w:t>'</w:t>
            </w:r>
            <w:r w:rsidRPr="001F21D7">
              <w:t>innovation institutionnelle.</w:t>
            </w:r>
          </w:p>
          <w:p w14:paraId="069FC0D3" w14:textId="77777777" w:rsidR="00E95647" w:rsidRPr="001F21D7" w:rsidRDefault="00D72F49" w:rsidP="00D72F49">
            <w:pPr>
              <w:spacing w:before="160"/>
              <w:rPr>
                <w:b/>
                <w:bCs/>
                <w:sz w:val="26"/>
                <w:szCs w:val="26"/>
              </w:rPr>
            </w:pPr>
            <w:r w:rsidRPr="001F21D7">
              <w:rPr>
                <w:b/>
                <w:bCs/>
                <w:sz w:val="26"/>
                <w:szCs w:val="26"/>
              </w:rPr>
              <w:t>Incidences financières:</w:t>
            </w:r>
          </w:p>
          <w:p w14:paraId="39B5253C" w14:textId="207F8EFE" w:rsidR="00D72F49" w:rsidRPr="001F21D7" w:rsidRDefault="007A070A" w:rsidP="00D72F49">
            <w:pPr>
              <w:spacing w:before="160"/>
              <w:rPr>
                <w:sz w:val="26"/>
                <w:szCs w:val="26"/>
              </w:rPr>
            </w:pPr>
            <w:r w:rsidRPr="001F21D7">
              <w:rPr>
                <w:szCs w:val="24"/>
              </w:rPr>
              <w:t>Les activités en cours sont mises en œuvre dans les limites du budget alloué pour 2024-2025. Il est proposé d</w:t>
            </w:r>
            <w:r w:rsidR="006D554F" w:rsidRPr="001F21D7">
              <w:rPr>
                <w:szCs w:val="24"/>
              </w:rPr>
              <w:t>'</w:t>
            </w:r>
            <w:r w:rsidRPr="001F21D7">
              <w:rPr>
                <w:szCs w:val="24"/>
              </w:rPr>
              <w:t>affecter 300 000 CHF provenant des économies réalisées au cours des années précédentes au Fonds YPP de l</w:t>
            </w:r>
            <w:r w:rsidR="006D554F" w:rsidRPr="001F21D7">
              <w:rPr>
                <w:szCs w:val="24"/>
              </w:rPr>
              <w:t>'</w:t>
            </w:r>
            <w:r w:rsidRPr="001F21D7">
              <w:rPr>
                <w:szCs w:val="24"/>
              </w:rPr>
              <w:t xml:space="preserve">UIT, comme indiqué dans le Document </w:t>
            </w:r>
            <w:hyperlink r:id="rId7" w:history="1">
              <w:r w:rsidRPr="001F21D7">
                <w:rPr>
                  <w:rStyle w:val="Hyperlink"/>
                  <w:szCs w:val="24"/>
                </w:rPr>
                <w:t>C24/19</w:t>
              </w:r>
            </w:hyperlink>
            <w:r w:rsidRPr="001F21D7">
              <w:rPr>
                <w:szCs w:val="24"/>
              </w:rPr>
              <w:t>.</w:t>
            </w:r>
          </w:p>
          <w:p w14:paraId="75624CAE" w14:textId="77777777" w:rsidR="00D72F49" w:rsidRPr="001F21D7" w:rsidRDefault="00D72F49" w:rsidP="00D72F49">
            <w:pPr>
              <w:spacing w:before="160"/>
              <w:rPr>
                <w:caps/>
                <w:sz w:val="22"/>
              </w:rPr>
            </w:pPr>
            <w:r w:rsidRPr="001F21D7">
              <w:rPr>
                <w:sz w:val="22"/>
              </w:rPr>
              <w:t>__________________</w:t>
            </w:r>
          </w:p>
          <w:p w14:paraId="57249FE7" w14:textId="77777777" w:rsidR="00D72F49" w:rsidRPr="001F21D7" w:rsidRDefault="00D72F49" w:rsidP="00D72F49">
            <w:pPr>
              <w:spacing w:before="160"/>
              <w:rPr>
                <w:b/>
                <w:bCs/>
                <w:sz w:val="26"/>
                <w:szCs w:val="26"/>
              </w:rPr>
            </w:pPr>
            <w:r w:rsidRPr="001F21D7">
              <w:rPr>
                <w:b/>
                <w:bCs/>
                <w:sz w:val="26"/>
                <w:szCs w:val="26"/>
              </w:rPr>
              <w:t>Références</w:t>
            </w:r>
          </w:p>
          <w:p w14:paraId="331741F4" w14:textId="0AE7FFE2" w:rsidR="00D72F49" w:rsidRPr="001F21D7" w:rsidRDefault="00541F29" w:rsidP="00D72F49">
            <w:pPr>
              <w:spacing w:after="160"/>
              <w:rPr>
                <w:i/>
                <w:iCs/>
              </w:rPr>
            </w:pPr>
            <w:hyperlink r:id="rId8" w:history="1">
              <w:r w:rsidR="007A070A" w:rsidRPr="001F21D7">
                <w:rPr>
                  <w:rStyle w:val="Hyperlink"/>
                  <w:i/>
                  <w:iCs/>
                </w:rPr>
                <w:t>Résolution 198</w:t>
              </w:r>
            </w:hyperlink>
            <w:r w:rsidR="007A070A" w:rsidRPr="001F21D7">
              <w:rPr>
                <w:i/>
                <w:iCs/>
              </w:rPr>
              <w:t xml:space="preserve"> (Rév. Bucarest, 2022) de la Conférence de plénipotentiaires</w:t>
            </w:r>
          </w:p>
        </w:tc>
      </w:tr>
    </w:tbl>
    <w:p w14:paraId="3E0D04DB" w14:textId="77777777" w:rsidR="00A51849" w:rsidRPr="001F21D7" w:rsidRDefault="00A51849">
      <w:pPr>
        <w:tabs>
          <w:tab w:val="clear" w:pos="567"/>
          <w:tab w:val="clear" w:pos="1134"/>
          <w:tab w:val="clear" w:pos="1701"/>
          <w:tab w:val="clear" w:pos="2268"/>
          <w:tab w:val="clear" w:pos="2835"/>
        </w:tabs>
        <w:overflowPunct/>
        <w:autoSpaceDE/>
        <w:autoSpaceDN/>
        <w:adjustRightInd/>
        <w:spacing w:before="0"/>
        <w:textAlignment w:val="auto"/>
      </w:pPr>
      <w:r w:rsidRPr="001F21D7">
        <w:br w:type="page"/>
      </w:r>
    </w:p>
    <w:p w14:paraId="2E2AB663" w14:textId="52965F27" w:rsidR="00D57125" w:rsidRPr="001F21D7" w:rsidRDefault="00D57125" w:rsidP="00D57125">
      <w:pPr>
        <w:pStyle w:val="Heading1"/>
        <w:rPr>
          <w:sz w:val="26"/>
          <w:szCs w:val="26"/>
        </w:rPr>
      </w:pPr>
      <w:r w:rsidRPr="001F21D7">
        <w:lastRenderedPageBreak/>
        <w:t>1</w:t>
      </w:r>
      <w:r w:rsidRPr="001F21D7">
        <w:tab/>
        <w:t>Considérations générales</w:t>
      </w:r>
    </w:p>
    <w:p w14:paraId="37A3B5FA" w14:textId="075A4552" w:rsidR="00D57125" w:rsidRPr="001F21D7" w:rsidRDefault="00D57125" w:rsidP="00D57125">
      <w:pPr>
        <w:rPr>
          <w:rFonts w:asciiTheme="minorHAnsi" w:eastAsia="Calibri" w:hAnsiTheme="minorHAnsi" w:cstheme="minorHAnsi"/>
          <w:szCs w:val="24"/>
        </w:rPr>
      </w:pPr>
      <w:bookmarkStart w:id="0" w:name="_Hlk136977297"/>
      <w:r w:rsidRPr="001F21D7">
        <w:t>Dans sa Résolution 198 (Rév. Bucarest, 2022), intitulée "Autonomisation des jeunes au moyen des télécommunications et des technologies de l</w:t>
      </w:r>
      <w:r w:rsidR="006D554F" w:rsidRPr="001F21D7">
        <w:t>'</w:t>
      </w:r>
      <w:r w:rsidRPr="001F21D7">
        <w:t>information et de la communication", la Conférence de plénipotentiaires charge le Secrétaire général de continuer de faire en sorte que les préoccupations relatives aux jeunes soient prises en compte dans les programmes de travail, les méthodes de gestion et les activités de développement des ressources humaines de l</w:t>
      </w:r>
      <w:r w:rsidR="006D554F" w:rsidRPr="001F21D7">
        <w:t>'</w:t>
      </w:r>
      <w:r w:rsidRPr="001F21D7">
        <w:t>UIT, et de soumettre chaque année au Conseil de l</w:t>
      </w:r>
      <w:r w:rsidR="006D554F" w:rsidRPr="001F21D7">
        <w:t>'</w:t>
      </w:r>
      <w:r w:rsidRPr="001F21D7">
        <w:t>UIT un rapport écrit sur les progrès accomplis.</w:t>
      </w:r>
      <w:bookmarkEnd w:id="0"/>
    </w:p>
    <w:p w14:paraId="1E8912A3" w14:textId="4001251D" w:rsidR="00D57125" w:rsidRPr="001F21D7" w:rsidRDefault="00D57125" w:rsidP="00D57125">
      <w:pPr>
        <w:pStyle w:val="Heading1"/>
        <w:rPr>
          <w:rFonts w:asciiTheme="minorHAnsi" w:eastAsia="Calibri" w:hAnsiTheme="minorHAnsi" w:cstheme="minorHAnsi"/>
          <w:sz w:val="26"/>
          <w:szCs w:val="26"/>
        </w:rPr>
      </w:pPr>
      <w:r w:rsidRPr="001F21D7">
        <w:t>2</w:t>
      </w:r>
      <w:r w:rsidRPr="001F21D7">
        <w:tab/>
        <w:t>Rapport sur l</w:t>
      </w:r>
      <w:r w:rsidR="006D554F" w:rsidRPr="001F21D7">
        <w:t>'</w:t>
      </w:r>
      <w:r w:rsidRPr="001F21D7">
        <w:t>état d</w:t>
      </w:r>
      <w:r w:rsidR="006D554F" w:rsidRPr="001F21D7">
        <w:t>'</w:t>
      </w:r>
      <w:r w:rsidRPr="001F21D7">
        <w:t>avancement de la mise en œuvre de la Résolution 198 (Rév. Bucarest, 2022) de la PP</w:t>
      </w:r>
    </w:p>
    <w:p w14:paraId="0B9CB063" w14:textId="5933E85D" w:rsidR="00D57125" w:rsidRPr="0086475F" w:rsidRDefault="00D57125" w:rsidP="00D57125">
      <w:pPr>
        <w:pStyle w:val="Headingb"/>
        <w:rPr>
          <w:rFonts w:asciiTheme="minorHAnsi" w:eastAsia="Calibri" w:hAnsiTheme="minorHAnsi" w:cstheme="minorHAnsi"/>
          <w:szCs w:val="24"/>
          <w:u w:val="single"/>
        </w:rPr>
      </w:pPr>
      <w:r w:rsidRPr="001F21D7">
        <w:t>A)</w:t>
      </w:r>
      <w:r w:rsidRPr="001F21D7">
        <w:tab/>
      </w:r>
      <w:r w:rsidRPr="001F21D7">
        <w:rPr>
          <w:u w:val="single"/>
        </w:rPr>
        <w:t>Encourager l</w:t>
      </w:r>
      <w:r w:rsidR="006D554F" w:rsidRPr="001F21D7">
        <w:rPr>
          <w:u w:val="single"/>
        </w:rPr>
        <w:t>'</w:t>
      </w:r>
      <w:r w:rsidRPr="001F21D7">
        <w:rPr>
          <w:u w:val="single"/>
        </w:rPr>
        <w:t>autonomisation et la promotion des jeunes au s</w:t>
      </w:r>
      <w:r w:rsidRPr="0086475F">
        <w:rPr>
          <w:u w:val="single"/>
        </w:rPr>
        <w:t>ein de l</w:t>
      </w:r>
      <w:r w:rsidR="006D554F" w:rsidRPr="0086475F">
        <w:rPr>
          <w:u w:val="single"/>
        </w:rPr>
        <w:t>'</w:t>
      </w:r>
      <w:r w:rsidRPr="0086475F">
        <w:rPr>
          <w:u w:val="single"/>
        </w:rPr>
        <w:t>UIT</w:t>
      </w:r>
    </w:p>
    <w:p w14:paraId="15279026" w14:textId="39346D53" w:rsidR="00D57125" w:rsidRPr="001F21D7" w:rsidRDefault="00D57125" w:rsidP="00D57125">
      <w:pPr>
        <w:rPr>
          <w:rFonts w:asciiTheme="minorHAnsi" w:eastAsia="Calibri" w:hAnsiTheme="minorHAnsi" w:cstheme="minorHAnsi"/>
          <w:b/>
          <w:bCs/>
          <w:szCs w:val="24"/>
          <w:u w:val="single"/>
        </w:rPr>
      </w:pPr>
      <w:r w:rsidRPr="0086475F">
        <w:rPr>
          <w:b/>
          <w:bCs/>
          <w:u w:val="single"/>
        </w:rPr>
        <w:t>Vue d</w:t>
      </w:r>
      <w:r w:rsidR="006D554F" w:rsidRPr="0086475F">
        <w:rPr>
          <w:b/>
          <w:bCs/>
          <w:u w:val="single"/>
        </w:rPr>
        <w:t>'</w:t>
      </w:r>
      <w:r w:rsidRPr="0086475F">
        <w:rPr>
          <w:b/>
          <w:bCs/>
          <w:u w:val="single"/>
        </w:rPr>
        <w:t>ensemble du personnel de l</w:t>
      </w:r>
      <w:r w:rsidR="006D554F" w:rsidRPr="0086475F">
        <w:rPr>
          <w:b/>
          <w:bCs/>
          <w:u w:val="single"/>
        </w:rPr>
        <w:t>'</w:t>
      </w:r>
      <w:r w:rsidRPr="0086475F">
        <w:rPr>
          <w:b/>
          <w:bCs/>
          <w:u w:val="single"/>
        </w:rPr>
        <w:t>UIT appartenant à la tranche d</w:t>
      </w:r>
      <w:r w:rsidR="006D554F" w:rsidRPr="0086475F">
        <w:rPr>
          <w:b/>
          <w:bCs/>
          <w:u w:val="single"/>
        </w:rPr>
        <w:t>'</w:t>
      </w:r>
      <w:r w:rsidRPr="0086475F">
        <w:rPr>
          <w:b/>
          <w:bCs/>
          <w:u w:val="single"/>
        </w:rPr>
        <w:t>âge des 35 ans (</w:t>
      </w:r>
      <w:r w:rsidR="0086475F" w:rsidRPr="0086475F">
        <w:rPr>
          <w:rFonts w:cs="Calibri"/>
          <w:b/>
          <w:bCs/>
          <w:u w:val="single"/>
        </w:rPr>
        <w:t>≤</w:t>
      </w:r>
      <w:r w:rsidR="0086475F" w:rsidRPr="0086475F">
        <w:rPr>
          <w:b/>
          <w:bCs/>
          <w:u w:val="single"/>
        </w:rPr>
        <w:t> </w:t>
      </w:r>
      <w:r w:rsidRPr="0086475F">
        <w:rPr>
          <w:b/>
          <w:bCs/>
          <w:u w:val="single"/>
        </w:rPr>
        <w:t>35) et</w:t>
      </w:r>
      <w:r w:rsidRPr="001F21D7">
        <w:rPr>
          <w:b/>
          <w:bCs/>
          <w:u w:val="single"/>
        </w:rPr>
        <w:t xml:space="preserve"> des moins de 30 </w:t>
      </w:r>
      <w:r w:rsidRPr="0086475F">
        <w:rPr>
          <w:b/>
          <w:bCs/>
          <w:u w:val="single"/>
        </w:rPr>
        <w:t>ans (</w:t>
      </w:r>
      <w:r w:rsidR="0086475F" w:rsidRPr="0086475F">
        <w:rPr>
          <w:rFonts w:cs="Calibri"/>
          <w:b/>
          <w:bCs/>
          <w:u w:val="single"/>
        </w:rPr>
        <w:t>≤</w:t>
      </w:r>
      <w:r w:rsidR="0086475F" w:rsidRPr="0086475F">
        <w:rPr>
          <w:b/>
          <w:bCs/>
          <w:u w:val="single"/>
        </w:rPr>
        <w:t> </w:t>
      </w:r>
      <w:r w:rsidRPr="0086475F">
        <w:rPr>
          <w:b/>
          <w:bCs/>
          <w:u w:val="single"/>
        </w:rPr>
        <w:t>30)</w:t>
      </w:r>
    </w:p>
    <w:p w14:paraId="29D1AE8A" w14:textId="2761F5D3" w:rsidR="00D57125" w:rsidRPr="0086475F" w:rsidRDefault="00D57125" w:rsidP="00D57125">
      <w:r w:rsidRPr="001F21D7">
        <w:t xml:space="preserve">En février 2024, </w:t>
      </w:r>
      <w:r w:rsidRPr="001F21D7">
        <w:rPr>
          <w:b/>
          <w:bCs/>
        </w:rPr>
        <w:t>12,2% des fonctionnaires de l</w:t>
      </w:r>
      <w:r w:rsidR="006D554F" w:rsidRPr="001F21D7">
        <w:rPr>
          <w:b/>
          <w:bCs/>
        </w:rPr>
        <w:t>'</w:t>
      </w:r>
      <w:r w:rsidRPr="001F21D7">
        <w:rPr>
          <w:b/>
          <w:bCs/>
        </w:rPr>
        <w:t>UIT</w:t>
      </w:r>
      <w:r w:rsidRPr="001F21D7">
        <w:t xml:space="preserve"> au bénéfice d</w:t>
      </w:r>
      <w:r w:rsidR="006D554F" w:rsidRPr="001F21D7">
        <w:t>'</w:t>
      </w:r>
      <w:r w:rsidRPr="001F21D7">
        <w:t>un engagement permanent, de caractère continu, de durée déterminée ou de courte durée avaient moins de </w:t>
      </w:r>
      <w:r w:rsidRPr="0086475F">
        <w:t>35 ans (</w:t>
      </w:r>
      <w:r w:rsidR="0086475F" w:rsidRPr="0086475F">
        <w:t>≤ </w:t>
      </w:r>
      <w:r w:rsidRPr="0086475F">
        <w:t>35 ans)</w:t>
      </w:r>
      <w:r w:rsidRPr="001F21D7">
        <w:t>.</w:t>
      </w:r>
    </w:p>
    <w:p w14:paraId="6C21A877" w14:textId="2C6B8B66" w:rsidR="00D57125" w:rsidRPr="0086475F" w:rsidRDefault="00D57125" w:rsidP="00D57125">
      <w:pPr>
        <w:rPr>
          <w:rFonts w:asciiTheme="minorHAnsi" w:eastAsia="Calibri" w:hAnsiTheme="minorHAnsi" w:cstheme="minorHAnsi"/>
          <w:szCs w:val="24"/>
        </w:rPr>
      </w:pPr>
      <w:r w:rsidRPr="001F21D7">
        <w:t xml:space="preserve">Un total de </w:t>
      </w:r>
      <w:r w:rsidRPr="001F21D7">
        <w:rPr>
          <w:b/>
          <w:bCs/>
        </w:rPr>
        <w:t>1,8% des fonctionnaires de l</w:t>
      </w:r>
      <w:r w:rsidR="006D554F" w:rsidRPr="001F21D7">
        <w:rPr>
          <w:b/>
          <w:bCs/>
        </w:rPr>
        <w:t>'</w:t>
      </w:r>
      <w:r w:rsidRPr="001F21D7">
        <w:rPr>
          <w:b/>
          <w:bCs/>
        </w:rPr>
        <w:t>UIT</w:t>
      </w:r>
      <w:r w:rsidRPr="001F21D7">
        <w:t xml:space="preserve"> au </w:t>
      </w:r>
      <w:r w:rsidRPr="0086475F">
        <w:t>bénéficie d</w:t>
      </w:r>
      <w:r w:rsidR="006D554F" w:rsidRPr="0086475F">
        <w:t>'</w:t>
      </w:r>
      <w:r w:rsidRPr="0086475F">
        <w:t>un engagement permanent, de caractère continu ou de durée déterminée étaient âgés de moins de 30 ans (</w:t>
      </w:r>
      <w:r w:rsidR="0086475F" w:rsidRPr="0086475F">
        <w:t>≤ </w:t>
      </w:r>
      <w:r w:rsidRPr="0086475F">
        <w:t>30).</w:t>
      </w:r>
    </w:p>
    <w:p w14:paraId="6248D03E" w14:textId="5A286A38" w:rsidR="00D57125" w:rsidRPr="001F21D7" w:rsidRDefault="00D57125" w:rsidP="00D57125">
      <w:pPr>
        <w:rPr>
          <w:rFonts w:asciiTheme="minorHAnsi" w:eastAsia="Calibri" w:hAnsiTheme="minorHAnsi" w:cstheme="minorBidi"/>
        </w:rPr>
      </w:pPr>
      <w:r w:rsidRPr="0086475F">
        <w:t>Plusieurs mesures d</w:t>
      </w:r>
      <w:r w:rsidR="006D554F" w:rsidRPr="0086475F">
        <w:t>'</w:t>
      </w:r>
      <w:r w:rsidRPr="0086475F">
        <w:t>incitation ont été prises dans le but d</w:t>
      </w:r>
      <w:r w:rsidR="006D554F" w:rsidRPr="0086475F">
        <w:t>'</w:t>
      </w:r>
      <w:r w:rsidRPr="0086475F">
        <w:t>autonomiser les jeunes au</w:t>
      </w:r>
      <w:r w:rsidRPr="001F21D7">
        <w:t xml:space="preserve"> sein de l</w:t>
      </w:r>
      <w:r w:rsidR="006D554F" w:rsidRPr="001F21D7">
        <w:t>'</w:t>
      </w:r>
      <w:r w:rsidRPr="001F21D7">
        <w:t>UIT et d</w:t>
      </w:r>
      <w:r w:rsidR="006D554F" w:rsidRPr="001F21D7">
        <w:t>'</w:t>
      </w:r>
      <w:r w:rsidRPr="001F21D7">
        <w:t>attirer de nouveaux talents vers l</w:t>
      </w:r>
      <w:r w:rsidR="006D554F" w:rsidRPr="001F21D7">
        <w:t>'</w:t>
      </w:r>
      <w:r w:rsidRPr="001F21D7">
        <w:t>organisation.</w:t>
      </w:r>
    </w:p>
    <w:p w14:paraId="1E69D3D6" w14:textId="628FF766" w:rsidR="00D57125" w:rsidRPr="001F21D7" w:rsidRDefault="00D57125" w:rsidP="00D57125">
      <w:r w:rsidRPr="001F21D7">
        <w:rPr>
          <w:b/>
          <w:bCs/>
        </w:rPr>
        <w:t>Autonomisation du personnel de l</w:t>
      </w:r>
      <w:r w:rsidR="006D554F" w:rsidRPr="001F21D7">
        <w:rPr>
          <w:b/>
          <w:bCs/>
        </w:rPr>
        <w:t>'</w:t>
      </w:r>
      <w:r w:rsidRPr="001F21D7">
        <w:rPr>
          <w:b/>
          <w:bCs/>
        </w:rPr>
        <w:t>UIT</w:t>
      </w:r>
      <w:r w:rsidRPr="001F21D7">
        <w:t xml:space="preserve"> par l</w:t>
      </w:r>
      <w:r w:rsidR="006D554F" w:rsidRPr="001F21D7">
        <w:t>'</w:t>
      </w:r>
      <w:r w:rsidRPr="001F21D7">
        <w:t>intermédiaire du Groupe de travail pour la jeunesse. Ce mécanisme a été créé en 2023 en vue de consulter les jeunes à l</w:t>
      </w:r>
      <w:r w:rsidR="006D554F" w:rsidRPr="001F21D7">
        <w:t>'</w:t>
      </w:r>
      <w:r w:rsidRPr="001F21D7">
        <w:t>UIT et de veiller à ce que leurs points de vue soient dûment pris en considération et représentés. Ce Groupe de travail est une initiative portée par les jeunes membres du personnel, qui rassemble une vingtaine de fonctionnaires de tous les Secteurs et du Secrétariat général. Il se réunit régulièrement (au moins une fois par mois) et fait rapport au Bureau exécutif tous les deux mois. Les résultats de ses travaux sont également transmis au groupe intersectoriel. Le Groupe de travail pour la jeunesse s</w:t>
      </w:r>
      <w:r w:rsidR="006D554F" w:rsidRPr="001F21D7">
        <w:t>'</w:t>
      </w:r>
      <w:r w:rsidRPr="001F21D7">
        <w:t>emploie également à améliorer la représentation des jeunes fonctionnaires, notamment lors des réunions et des débats stratégiques de l</w:t>
      </w:r>
      <w:r w:rsidR="006D554F" w:rsidRPr="001F21D7">
        <w:t>'</w:t>
      </w:r>
      <w:r w:rsidRPr="001F21D7">
        <w:t>UIT (par</w:t>
      </w:r>
      <w:r w:rsidR="006D554F" w:rsidRPr="001F21D7">
        <w:t> </w:t>
      </w:r>
      <w:r w:rsidRPr="001F21D7">
        <w:t>exemple, à l</w:t>
      </w:r>
      <w:r w:rsidR="006D554F" w:rsidRPr="001F21D7">
        <w:t>'</w:t>
      </w:r>
      <w:r w:rsidRPr="001F21D7">
        <w:t>occasion des retraites de la direction).</w:t>
      </w:r>
    </w:p>
    <w:p w14:paraId="5CF06F24" w14:textId="106A464E" w:rsidR="00D57125" w:rsidRPr="001F21D7" w:rsidRDefault="00D57125" w:rsidP="00D57125">
      <w:pPr>
        <w:rPr>
          <w:rFonts w:eastAsia="Calibri" w:cs="Calibri"/>
          <w:b/>
          <w:bCs/>
          <w:szCs w:val="24"/>
        </w:rPr>
      </w:pPr>
      <w:r w:rsidRPr="001F21D7">
        <w:rPr>
          <w:b/>
          <w:bCs/>
          <w:u w:val="single"/>
        </w:rPr>
        <w:t>Attirer de nouveaux talents à l</w:t>
      </w:r>
      <w:r w:rsidR="006D554F" w:rsidRPr="001F21D7">
        <w:rPr>
          <w:b/>
          <w:bCs/>
          <w:u w:val="single"/>
        </w:rPr>
        <w:t>'</w:t>
      </w:r>
      <w:r w:rsidRPr="001F21D7">
        <w:rPr>
          <w:b/>
          <w:bCs/>
          <w:u w:val="single"/>
        </w:rPr>
        <w:t>UIT</w:t>
      </w:r>
    </w:p>
    <w:p w14:paraId="0EE48CFA" w14:textId="23ED4104" w:rsidR="00D57125" w:rsidRPr="001F21D7" w:rsidRDefault="00D57125" w:rsidP="00D57125">
      <w:pPr>
        <w:rPr>
          <w:rFonts w:asciiTheme="minorHAnsi" w:eastAsia="Calibri" w:hAnsiTheme="minorHAnsi" w:cstheme="minorBidi"/>
        </w:rPr>
      </w:pPr>
      <w:r w:rsidRPr="001F21D7">
        <w:rPr>
          <w:b/>
          <w:bCs/>
        </w:rPr>
        <w:t>Programme de stages</w:t>
      </w:r>
      <w:r w:rsidRPr="001F21D7">
        <w:t>: en 2023, l</w:t>
      </w:r>
      <w:r w:rsidR="006D554F" w:rsidRPr="001F21D7">
        <w:t>'</w:t>
      </w:r>
      <w:r w:rsidRPr="001F21D7">
        <w:t>UIT a accueilli 142 stagiaires provenant de 44 pays différents. L</w:t>
      </w:r>
      <w:r w:rsidR="006D554F" w:rsidRPr="001F21D7">
        <w:t>'</w:t>
      </w:r>
      <w:r w:rsidRPr="001F21D7">
        <w:t>UIT tient à remercier l</w:t>
      </w:r>
      <w:r w:rsidR="006D554F" w:rsidRPr="001F21D7">
        <w:t>'</w:t>
      </w:r>
      <w:r w:rsidRPr="001F21D7">
        <w:t>Allemagne (Programme Carlo Schmid) et la Chine (China Scholarship Council) pour les programmes de stages qu</w:t>
      </w:r>
      <w:r w:rsidR="006D554F" w:rsidRPr="001F21D7">
        <w:t>'</w:t>
      </w:r>
      <w:r w:rsidRPr="001F21D7">
        <w:t>elles ont parrainés.</w:t>
      </w:r>
    </w:p>
    <w:p w14:paraId="7100FE93" w14:textId="46FFF683" w:rsidR="00D57125" w:rsidRPr="001F21D7" w:rsidRDefault="00D57125" w:rsidP="00944B1F">
      <w:pPr>
        <w:rPr>
          <w:rFonts w:asciiTheme="minorHAnsi" w:hAnsiTheme="minorHAnsi" w:cstheme="minorBidi"/>
        </w:rPr>
      </w:pPr>
      <w:r w:rsidRPr="001F21D7">
        <w:rPr>
          <w:b/>
          <w:bCs/>
        </w:rPr>
        <w:t>Administrateurs auxiliaires</w:t>
      </w:r>
      <w:r w:rsidRPr="001F21D7">
        <w:t>: le programme des administrateurs auxiliaires porte sur les postes s</w:t>
      </w:r>
      <w:r w:rsidR="006D554F" w:rsidRPr="001F21D7">
        <w:t>'</w:t>
      </w:r>
      <w:r w:rsidRPr="001F21D7">
        <w:t>adressant à des personnes peu expérimentées. Un administrateur auxiliaire est recruté à l</w:t>
      </w:r>
      <w:r w:rsidR="006D554F" w:rsidRPr="001F21D7">
        <w:t>'</w:t>
      </w:r>
      <w:r w:rsidRPr="001F21D7">
        <w:t xml:space="preserve">échelon P2, pour lequel </w:t>
      </w:r>
      <w:r w:rsidR="0030117B" w:rsidRPr="001F21D7">
        <w:t>trois</w:t>
      </w:r>
      <w:r w:rsidRPr="001F21D7">
        <w:t xml:space="preserve"> années d</w:t>
      </w:r>
      <w:r w:rsidR="006D554F" w:rsidRPr="001F21D7">
        <w:t>'</w:t>
      </w:r>
      <w:r w:rsidRPr="001F21D7">
        <w:t>expérience professionnelle sont requises. En</w:t>
      </w:r>
      <w:r w:rsidR="006D554F" w:rsidRPr="001F21D7">
        <w:t> </w:t>
      </w:r>
      <w:r w:rsidRPr="001F21D7">
        <w:t>février 2024, l</w:t>
      </w:r>
      <w:r w:rsidR="006D554F" w:rsidRPr="001F21D7">
        <w:t>'</w:t>
      </w:r>
      <w:r w:rsidRPr="001F21D7">
        <w:t xml:space="preserve">UIT comptait </w:t>
      </w:r>
      <w:r w:rsidR="0030117B" w:rsidRPr="001F21D7">
        <w:t>huit</w:t>
      </w:r>
      <w:r w:rsidRPr="001F21D7">
        <w:t xml:space="preserve"> administrateurs auxiliaires. Les postes d</w:t>
      </w:r>
      <w:r w:rsidR="006D554F" w:rsidRPr="001F21D7">
        <w:t>'</w:t>
      </w:r>
      <w:r w:rsidRPr="001F21D7">
        <w:t>administrateurs auxiliaires sont entièrement financés par un État Membre pour deux années d</w:t>
      </w:r>
      <w:r w:rsidR="006D554F" w:rsidRPr="001F21D7">
        <w:t>'</w:t>
      </w:r>
      <w:r w:rsidRPr="001F21D7">
        <w:t>affectation au siège ou dans un bureau hors siège de l</w:t>
      </w:r>
      <w:r w:rsidR="006D554F" w:rsidRPr="001F21D7">
        <w:t>'</w:t>
      </w:r>
      <w:r w:rsidRPr="001F21D7">
        <w:t>UIT. Le Secrétariat de l</w:t>
      </w:r>
      <w:r w:rsidR="006D554F" w:rsidRPr="001F21D7">
        <w:t>'</w:t>
      </w:r>
      <w:r w:rsidRPr="001F21D7">
        <w:t>UIT tient à remercier les Administrations de l</w:t>
      </w:r>
      <w:r w:rsidR="006D554F" w:rsidRPr="001F21D7">
        <w:t>'</w:t>
      </w:r>
      <w:r w:rsidRPr="001F21D7">
        <w:t>Allemagne, de l</w:t>
      </w:r>
      <w:r w:rsidR="006D554F" w:rsidRPr="001F21D7">
        <w:t>'</w:t>
      </w:r>
      <w:r w:rsidRPr="001F21D7">
        <w:t>Australie, de la Chine, de l</w:t>
      </w:r>
      <w:r w:rsidR="006D554F" w:rsidRPr="001F21D7">
        <w:t>'</w:t>
      </w:r>
      <w:r w:rsidRPr="001F21D7">
        <w:t>Espagne, des</w:t>
      </w:r>
      <w:r w:rsidR="006D554F" w:rsidRPr="001F21D7">
        <w:t xml:space="preserve"> É</w:t>
      </w:r>
      <w:r w:rsidRPr="001F21D7">
        <w:t xml:space="preserve">tats-Unis, </w:t>
      </w:r>
      <w:r w:rsidRPr="001F21D7">
        <w:lastRenderedPageBreak/>
        <w:t>du</w:t>
      </w:r>
      <w:r w:rsidR="00944B1F" w:rsidRPr="001F21D7">
        <w:t> </w:t>
      </w:r>
      <w:r w:rsidRPr="001F21D7">
        <w:t>Japon et du Royaume-Uni pour l</w:t>
      </w:r>
      <w:r w:rsidR="006D554F" w:rsidRPr="001F21D7">
        <w:t>'</w:t>
      </w:r>
      <w:r w:rsidRPr="001F21D7">
        <w:t>appui fourni dans le cadre du programme des administrateurs auxiliaires. Ce programme bénéficie à tous les Secteurs de l</w:t>
      </w:r>
      <w:r w:rsidR="006D554F" w:rsidRPr="001F21D7">
        <w:t>'</w:t>
      </w:r>
      <w:r w:rsidRPr="001F21D7">
        <w:t>UIT ainsi qu</w:t>
      </w:r>
      <w:r w:rsidR="006D554F" w:rsidRPr="001F21D7">
        <w:t>'</w:t>
      </w:r>
      <w:r w:rsidRPr="001F21D7">
        <w:t>au</w:t>
      </w:r>
      <w:r w:rsidR="00944B1F" w:rsidRPr="001F21D7">
        <w:t> </w:t>
      </w:r>
      <w:r w:rsidRPr="001F21D7">
        <w:t>Secrétariat général.</w:t>
      </w:r>
    </w:p>
    <w:p w14:paraId="4E33509A" w14:textId="7B303F40" w:rsidR="00D57125" w:rsidRPr="001F21D7" w:rsidRDefault="00D57125" w:rsidP="00D57125">
      <w:pPr>
        <w:rPr>
          <w:rFonts w:asciiTheme="minorHAnsi" w:eastAsia="Calibri" w:hAnsiTheme="minorHAnsi" w:cstheme="minorBidi"/>
        </w:rPr>
      </w:pPr>
      <w:r w:rsidRPr="001F21D7">
        <w:rPr>
          <w:b/>
          <w:bCs/>
        </w:rPr>
        <w:t>Augmenter le nombre de fonctionnaires P1 au sein de l</w:t>
      </w:r>
      <w:r w:rsidR="006D554F" w:rsidRPr="001F21D7">
        <w:rPr>
          <w:b/>
          <w:bCs/>
        </w:rPr>
        <w:t>'</w:t>
      </w:r>
      <w:r w:rsidRPr="001F21D7">
        <w:rPr>
          <w:b/>
          <w:bCs/>
        </w:rPr>
        <w:t>organisation</w:t>
      </w:r>
      <w:r w:rsidRPr="001F21D7">
        <w:t>: à l</w:t>
      </w:r>
      <w:r w:rsidR="006D554F" w:rsidRPr="001F21D7">
        <w:t>'</w:t>
      </w:r>
      <w:r w:rsidRPr="001F21D7">
        <w:t>heure actuelle, seuls cinq fonctionnaires à l</w:t>
      </w:r>
      <w:r w:rsidR="006D554F" w:rsidRPr="001F21D7">
        <w:t>'</w:t>
      </w:r>
      <w:r w:rsidRPr="001F21D7">
        <w:t>échelon P1 sont engagés au titre de contrats de durée déterminée. Dans sa Résolution 198 (Rév. Bucarest, 2022), intitulée "Autonomisation des jeunes au moyen des télécommunications et des technologies de l</w:t>
      </w:r>
      <w:r w:rsidR="006D554F" w:rsidRPr="001F21D7">
        <w:t>'</w:t>
      </w:r>
      <w:r w:rsidRPr="001F21D7">
        <w:t>information et de la communication", la Conférence de plénipotentiaires décide d</w:t>
      </w:r>
      <w:r w:rsidR="006D554F" w:rsidRPr="001F21D7">
        <w:t>'</w:t>
      </w:r>
      <w:r w:rsidRPr="001F21D7">
        <w:t>accorder un rang de priorité élevé à l</w:t>
      </w:r>
      <w:r w:rsidR="006D554F" w:rsidRPr="001F21D7">
        <w:t>'</w:t>
      </w:r>
      <w:r w:rsidRPr="001F21D7">
        <w:t>intégration des jeunes professionnels dans les ressources humaines et les activités de l</w:t>
      </w:r>
      <w:r w:rsidR="006D554F" w:rsidRPr="001F21D7">
        <w:t>'</w:t>
      </w:r>
      <w:r w:rsidRPr="001F21D7">
        <w:t>UIT. En application de cette Résolution, le Programme de l</w:t>
      </w:r>
      <w:r w:rsidR="006D554F" w:rsidRPr="001F21D7">
        <w:t>'</w:t>
      </w:r>
      <w:r w:rsidRPr="001F21D7">
        <w:t>UIT à l</w:t>
      </w:r>
      <w:r w:rsidR="006D554F" w:rsidRPr="001F21D7">
        <w:t>'</w:t>
      </w:r>
      <w:r w:rsidRPr="001F21D7">
        <w:t>intention des jeunes professionnels a été lancé (YPP). L</w:t>
      </w:r>
      <w:r w:rsidR="006D554F" w:rsidRPr="001F21D7">
        <w:t>'</w:t>
      </w:r>
      <w:r w:rsidRPr="001F21D7">
        <w:t>UIT a reçu plus de 3 500 candidatures, les jeunes experts du monde entier se montrant particulièrement intéressés. Le programme YPP de l</w:t>
      </w:r>
      <w:r w:rsidR="006D554F" w:rsidRPr="001F21D7">
        <w:t>'</w:t>
      </w:r>
      <w:r w:rsidRPr="001F21D7">
        <w:t>UIT est une initiative visant à recruter la prochaine génération d</w:t>
      </w:r>
      <w:r w:rsidR="006D554F" w:rsidRPr="001F21D7">
        <w:t>'</w:t>
      </w:r>
      <w:r w:rsidRPr="001F21D7">
        <w:t>experts et de dirigeants dans le domaine des TIC à l</w:t>
      </w:r>
      <w:r w:rsidR="006D554F" w:rsidRPr="001F21D7">
        <w:t>'</w:t>
      </w:r>
      <w:r w:rsidRPr="001F21D7">
        <w:t>échelle mondiale, pour contribuer à façonner l</w:t>
      </w:r>
      <w:r w:rsidR="006D554F" w:rsidRPr="001F21D7">
        <w:t>'</w:t>
      </w:r>
      <w:r w:rsidRPr="001F21D7">
        <w:t>avenir du secteur des technologies et à renforcer l</w:t>
      </w:r>
      <w:r w:rsidR="006D554F" w:rsidRPr="001F21D7">
        <w:t>'</w:t>
      </w:r>
      <w:r w:rsidRPr="001F21D7">
        <w:t>UIT en apportant notamment à l</w:t>
      </w:r>
      <w:r w:rsidR="006D554F" w:rsidRPr="001F21D7">
        <w:t>'</w:t>
      </w:r>
      <w:r w:rsidRPr="001F21D7">
        <w:t>organisation de nouvelles perspectives, de nouvelles compétences et de nouvelles expériences. Il s</w:t>
      </w:r>
      <w:r w:rsidR="006D554F" w:rsidRPr="001F21D7">
        <w:t>'</w:t>
      </w:r>
      <w:r w:rsidRPr="001F21D7">
        <w:t>adresse aux pays non représentés ou sous-représentés au sein du personnel de l</w:t>
      </w:r>
      <w:r w:rsidR="006D554F" w:rsidRPr="001F21D7">
        <w:t>'</w:t>
      </w:r>
      <w:r w:rsidRPr="001F21D7">
        <w:t>UIT, en particulier les pays les moins avancés. Au cours de ce programme de deux ans, des personnes talentueuses et qualifiées auront l</w:t>
      </w:r>
      <w:r w:rsidR="006D554F" w:rsidRPr="001F21D7">
        <w:t>'</w:t>
      </w:r>
      <w:r w:rsidRPr="001F21D7">
        <w:t>occasion d</w:t>
      </w:r>
      <w:r w:rsidR="006D554F" w:rsidRPr="001F21D7">
        <w:t>'</w:t>
      </w:r>
      <w:r w:rsidRPr="001F21D7">
        <w:t>approfondir leur compréhension de questions liées aux technologies, aux réglementations et aux politiques, d</w:t>
      </w:r>
      <w:r w:rsidR="006D554F" w:rsidRPr="001F21D7">
        <w:t>'</w:t>
      </w:r>
      <w:r w:rsidRPr="001F21D7">
        <w:t>acquérir des connaissances pratiques sur leur fonctionnement et de se forger une expérience professionnelle au niveau international. Le programme YPP de l</w:t>
      </w:r>
      <w:r w:rsidR="006D554F" w:rsidRPr="001F21D7">
        <w:t>'</w:t>
      </w:r>
      <w:r w:rsidRPr="001F21D7">
        <w:t>UIT permettra à de nouveaux talents de travailler au sein des trois Secteurs et du Secrétariat général de l</w:t>
      </w:r>
      <w:r w:rsidR="006D554F" w:rsidRPr="001F21D7">
        <w:t>'</w:t>
      </w:r>
      <w:r w:rsidRPr="001F21D7">
        <w:t xml:space="preserve">UIT, aussi bien au siège que sur le terrain. De plus amples informations sur cette initiative sont disponibles </w:t>
      </w:r>
      <w:hyperlink r:id="rId9" w:history="1">
        <w:r w:rsidRPr="001F21D7">
          <w:rPr>
            <w:rStyle w:val="Hyperlink"/>
          </w:rPr>
          <w:t>ici</w:t>
        </w:r>
      </w:hyperlink>
      <w:r w:rsidRPr="001F21D7">
        <w:t>. Le Secrétariat de</w:t>
      </w:r>
      <w:r w:rsidR="006D554F" w:rsidRPr="001F21D7">
        <w:t> </w:t>
      </w:r>
      <w:r w:rsidRPr="001F21D7">
        <w:t>l</w:t>
      </w:r>
      <w:r w:rsidR="006D554F" w:rsidRPr="001F21D7">
        <w:t>'</w:t>
      </w:r>
      <w:r w:rsidRPr="001F21D7">
        <w:t>UIT tient à remercier les Administrations du Japon et de Saint-Vincent-et-les-Grenadines pour leur appui au programme YPP de l</w:t>
      </w:r>
      <w:r w:rsidR="006D554F" w:rsidRPr="001F21D7">
        <w:t>'</w:t>
      </w:r>
      <w:r w:rsidRPr="001F21D7">
        <w:t>UIT.</w:t>
      </w:r>
    </w:p>
    <w:p w14:paraId="21A7FFE2" w14:textId="379EE2F6" w:rsidR="00D57125" w:rsidRPr="001F21D7" w:rsidRDefault="00D57125" w:rsidP="0017773C">
      <w:pPr>
        <w:pStyle w:val="Headingb"/>
        <w:rPr>
          <w:rFonts w:asciiTheme="minorHAnsi" w:eastAsia="Calibri" w:hAnsiTheme="minorHAnsi" w:cstheme="minorBidi"/>
          <w:u w:val="single"/>
        </w:rPr>
      </w:pPr>
      <w:r w:rsidRPr="001F21D7">
        <w:t>B</w:t>
      </w:r>
      <w:r w:rsidR="0017773C" w:rsidRPr="001F21D7">
        <w:t>)</w:t>
      </w:r>
      <w:r w:rsidR="0017773C" w:rsidRPr="001F21D7">
        <w:tab/>
      </w:r>
      <w:r w:rsidRPr="001F21D7">
        <w:rPr>
          <w:u w:val="single"/>
        </w:rPr>
        <w:t>Promotion et mobilisation stratégique</w:t>
      </w:r>
    </w:p>
    <w:p w14:paraId="45105612" w14:textId="251F1A67" w:rsidR="00D57125" w:rsidRPr="001F21D7" w:rsidRDefault="00D57125" w:rsidP="00D57125">
      <w:pPr>
        <w:rPr>
          <w:rFonts w:eastAsia="Calibri" w:cs="Calibri"/>
        </w:rPr>
      </w:pPr>
      <w:r w:rsidRPr="001F21D7">
        <w:rPr>
          <w:b/>
          <w:bCs/>
        </w:rPr>
        <w:t>Le Comité consultatif des jeunes de la Secrétaire générale de l</w:t>
      </w:r>
      <w:r w:rsidR="006D554F" w:rsidRPr="001F21D7">
        <w:rPr>
          <w:b/>
          <w:bCs/>
        </w:rPr>
        <w:t>'</w:t>
      </w:r>
      <w:r w:rsidRPr="001F21D7">
        <w:rPr>
          <w:b/>
          <w:bCs/>
        </w:rPr>
        <w:t>UIT</w:t>
      </w:r>
      <w:r w:rsidRPr="001F21D7">
        <w:t xml:space="preserve"> a été créé pour constituer une instance dynamique et tournée vers l</w:t>
      </w:r>
      <w:r w:rsidR="006D554F" w:rsidRPr="001F21D7">
        <w:t>'</w:t>
      </w:r>
      <w:r w:rsidRPr="001F21D7">
        <w:t>avenir, qui permette aux jeunes de participer à la construction de la connectivité mondiale de demain. Il fournira des avis pratiques à la Secrétaire générale de l</w:t>
      </w:r>
      <w:r w:rsidR="006D554F" w:rsidRPr="001F21D7">
        <w:t>'</w:t>
      </w:r>
      <w:r w:rsidRPr="001F21D7">
        <w:t>UIT et formulera des recommandations concrètes visant à renforcer la coopération mondiale en vue de réduire la fracture numérique, de "connecter ceux qui ne le sont pas" et d</w:t>
      </w:r>
      <w:r w:rsidR="006D554F" w:rsidRPr="001F21D7">
        <w:t>'</w:t>
      </w:r>
      <w:r w:rsidRPr="001F21D7">
        <w:t>aligner les programmes de l</w:t>
      </w:r>
      <w:r w:rsidR="006D554F" w:rsidRPr="001F21D7">
        <w:t>'</w:t>
      </w:r>
      <w:r w:rsidRPr="001F21D7">
        <w:t>UIT sur les Objectifs de développement durable (ODD). L</w:t>
      </w:r>
      <w:r w:rsidR="006D554F" w:rsidRPr="001F21D7">
        <w:t>'</w:t>
      </w:r>
      <w:r w:rsidRPr="001F21D7">
        <w:t>objectif principal de cette initiative est de donner aux jeunes la possibilité de s</w:t>
      </w:r>
      <w:r w:rsidR="006D554F" w:rsidRPr="001F21D7">
        <w:t>'</w:t>
      </w:r>
      <w:r w:rsidRPr="001F21D7">
        <w:t>exprimer directement au sein de l</w:t>
      </w:r>
      <w:r w:rsidR="006D554F" w:rsidRPr="001F21D7">
        <w:t>'</w:t>
      </w:r>
      <w:r w:rsidRPr="001F21D7">
        <w:t>UIT et d</w:t>
      </w:r>
      <w:r w:rsidR="006D554F" w:rsidRPr="001F21D7">
        <w:t>'</w:t>
      </w:r>
      <w:r w:rsidRPr="001F21D7">
        <w:t>apporter des perspectives nouvelles, novatrices et inclusives.</w:t>
      </w:r>
    </w:p>
    <w:p w14:paraId="1EC2C9A2" w14:textId="65ED999B" w:rsidR="00D57125" w:rsidRPr="001F21D7" w:rsidRDefault="00D57125" w:rsidP="00D57125">
      <w:r w:rsidRPr="001F21D7">
        <w:t>L</w:t>
      </w:r>
      <w:r w:rsidR="006D554F" w:rsidRPr="001F21D7">
        <w:t>'</w:t>
      </w:r>
      <w:r w:rsidRPr="001F21D7">
        <w:t>UIT s</w:t>
      </w:r>
      <w:r w:rsidR="006D554F" w:rsidRPr="001F21D7">
        <w:t>'</w:t>
      </w:r>
      <w:r w:rsidRPr="001F21D7">
        <w:t>est associée à Huawei Technologies Co. Ltd dans le cadre d</w:t>
      </w:r>
      <w:r w:rsidR="006D554F" w:rsidRPr="001F21D7">
        <w:t>'</w:t>
      </w:r>
      <w:r w:rsidRPr="001F21D7">
        <w:t xml:space="preserve">un projet de trois ans visant à mettre en </w:t>
      </w:r>
      <w:r w:rsidR="0017773C" w:rsidRPr="001F21D7">
        <w:t>œuvre</w:t>
      </w:r>
      <w:r w:rsidRPr="001F21D7">
        <w:t xml:space="preserve"> </w:t>
      </w:r>
      <w:r w:rsidRPr="001F21D7">
        <w:rPr>
          <w:b/>
          <w:bCs/>
        </w:rPr>
        <w:t>le Programme de l</w:t>
      </w:r>
      <w:r w:rsidR="006D554F" w:rsidRPr="001F21D7">
        <w:rPr>
          <w:b/>
          <w:bCs/>
        </w:rPr>
        <w:t>'</w:t>
      </w:r>
      <w:r w:rsidRPr="001F21D7">
        <w:rPr>
          <w:b/>
          <w:bCs/>
        </w:rPr>
        <w:t>initiative Generation Connect à l</w:t>
      </w:r>
      <w:r w:rsidR="006D554F" w:rsidRPr="001F21D7">
        <w:rPr>
          <w:b/>
          <w:bCs/>
        </w:rPr>
        <w:t>'</w:t>
      </w:r>
      <w:r w:rsidRPr="001F21D7">
        <w:rPr>
          <w:b/>
          <w:bCs/>
        </w:rPr>
        <w:t>intention des jeunes dirigeants (GCYLP)</w:t>
      </w:r>
      <w:r w:rsidRPr="001F21D7">
        <w:t>. Il s</w:t>
      </w:r>
      <w:r w:rsidR="006D554F" w:rsidRPr="001F21D7">
        <w:t>'</w:t>
      </w:r>
      <w:r w:rsidRPr="001F21D7">
        <w:t>agit d</w:t>
      </w:r>
      <w:r w:rsidR="006D554F" w:rsidRPr="001F21D7">
        <w:t>'</w:t>
      </w:r>
      <w:r w:rsidRPr="001F21D7">
        <w:t>un programme passionnant dans le domaine du leadership, conçu pour inspirer les jeunes acteurs du changement numérique et leur donner des moyens de réussir. Dans le cadre de ce programme, 30 jeunes sélectionnés bénéficieront chaque année de conseils, d</w:t>
      </w:r>
      <w:r w:rsidR="006D554F" w:rsidRPr="001F21D7">
        <w:t>'</w:t>
      </w:r>
      <w:r w:rsidRPr="001F21D7">
        <w:t>une formation et d</w:t>
      </w:r>
      <w:r w:rsidR="006D554F" w:rsidRPr="001F21D7">
        <w:t>'</w:t>
      </w:r>
      <w:r w:rsidRPr="001F21D7">
        <w:t>un soutien financier leur permettant de mettre en œuvre concrètement leurs propres projets de développement numérique dans leurs différentes communautés partout dans le monde.</w:t>
      </w:r>
    </w:p>
    <w:p w14:paraId="31BDFE34" w14:textId="01355C60" w:rsidR="00D57125" w:rsidRPr="001F21D7" w:rsidRDefault="00D57125" w:rsidP="00D57125">
      <w:pPr>
        <w:rPr>
          <w:rFonts w:eastAsia="Calibri" w:cs="Calibri"/>
          <w:szCs w:val="24"/>
        </w:rPr>
      </w:pPr>
      <w:r w:rsidRPr="001F21D7">
        <w:rPr>
          <w:b/>
          <w:bCs/>
        </w:rPr>
        <w:lastRenderedPageBreak/>
        <w:t>Initiative Generation Connect et activités connexes</w:t>
      </w:r>
      <w:r w:rsidR="0017773C" w:rsidRPr="001F21D7">
        <w:t>:</w:t>
      </w:r>
      <w:r w:rsidRPr="001F21D7">
        <w:t xml:space="preserve"> </w:t>
      </w:r>
      <w:r w:rsidR="0017773C" w:rsidRPr="001F21D7">
        <w:t>e</w:t>
      </w:r>
      <w:r w:rsidRPr="001F21D7">
        <w:t>n 2023 et 2024, l</w:t>
      </w:r>
      <w:r w:rsidR="006D554F" w:rsidRPr="001F21D7">
        <w:t>'</w:t>
      </w:r>
      <w:r w:rsidRPr="001F21D7">
        <w:t>UIT a renforcé la participation des jeunes à ses manifestations et initiatives, par exemple le Sommet sur l</w:t>
      </w:r>
      <w:r w:rsidR="006D554F" w:rsidRPr="001F21D7">
        <w:t>'</w:t>
      </w:r>
      <w:r w:rsidRPr="001F21D7">
        <w:t>intelligence artificielle au service du bien social, les Forums régionaux sur le développement, les réunions des commissions d</w:t>
      </w:r>
      <w:r w:rsidR="006D554F" w:rsidRPr="001F21D7">
        <w:t>'</w:t>
      </w:r>
      <w:r w:rsidRPr="001F21D7">
        <w:t>études, les prix EQUALS in Tech ou encore la Journée des jeunes filles dans le secteur des TIC.</w:t>
      </w:r>
    </w:p>
    <w:p w14:paraId="60CDED20" w14:textId="7C748C4A" w:rsidR="00D57125" w:rsidRPr="001F21D7" w:rsidRDefault="00D57125" w:rsidP="00D57125">
      <w:pPr>
        <w:rPr>
          <w:rFonts w:eastAsia="Calibri" w:cs="Calibri"/>
        </w:rPr>
      </w:pPr>
      <w:r w:rsidRPr="001F21D7">
        <w:t xml:space="preserve">Le Bureau de développement des télécommunications (BDT), en collaboration avec les </w:t>
      </w:r>
      <w:r w:rsidR="0017773C" w:rsidRPr="001F21D7">
        <w:t>États</w:t>
      </w:r>
      <w:r w:rsidR="006D554F" w:rsidRPr="001F21D7">
        <w:t> </w:t>
      </w:r>
      <w:r w:rsidRPr="001F21D7">
        <w:t>Membres, a accueilli une nouvelle cohorte de représentants des groupes pour la jeunesse de l</w:t>
      </w:r>
      <w:r w:rsidR="006D554F" w:rsidRPr="001F21D7">
        <w:t>'</w:t>
      </w:r>
      <w:r w:rsidRPr="001F21D7">
        <w:t xml:space="preserve">initiative Generation Connect afin de renforcer la participation des </w:t>
      </w:r>
      <w:r w:rsidR="0017773C" w:rsidRPr="001F21D7">
        <w:t>États</w:t>
      </w:r>
      <w:r w:rsidR="006D554F" w:rsidRPr="001F21D7">
        <w:t> </w:t>
      </w:r>
      <w:r w:rsidRPr="001F21D7">
        <w:t>Membres de l</w:t>
      </w:r>
      <w:r w:rsidR="006D554F" w:rsidRPr="001F21D7">
        <w:t>'</w:t>
      </w:r>
      <w:r w:rsidRPr="001F21D7">
        <w:t>Union à l</w:t>
      </w:r>
      <w:r w:rsidR="006D554F" w:rsidRPr="001F21D7">
        <w:t>'</w:t>
      </w:r>
      <w:r w:rsidRPr="001F21D7">
        <w:t>initiative Generation Connect.</w:t>
      </w:r>
    </w:p>
    <w:p w14:paraId="570ED577" w14:textId="5C490EF3" w:rsidR="00D57125" w:rsidRPr="001F21D7" w:rsidRDefault="00D57125" w:rsidP="00D57125">
      <w:pPr>
        <w:rPr>
          <w:rFonts w:eastAsia="Calibri" w:cs="Calibri"/>
        </w:rPr>
      </w:pPr>
      <w:r w:rsidRPr="001F21D7">
        <w:t>Le BDT participe à la conception et à l</w:t>
      </w:r>
      <w:r w:rsidR="006D554F" w:rsidRPr="001F21D7">
        <w:t>'</w:t>
      </w:r>
      <w:r w:rsidRPr="001F21D7">
        <w:t>organisation du Sommet mondial sur la jeunesse de l</w:t>
      </w:r>
      <w:r w:rsidR="006D554F" w:rsidRPr="001F21D7">
        <w:t>'</w:t>
      </w:r>
      <w:r w:rsidRPr="001F21D7">
        <w:t>UIT de 2024, qui offrira un cadre de dialogue international permettant aux jeunes, aux États</w:t>
      </w:r>
      <w:r w:rsidR="006D554F" w:rsidRPr="001F21D7">
        <w:t> </w:t>
      </w:r>
      <w:r w:rsidRPr="001F21D7">
        <w:t>Membres de l</w:t>
      </w:r>
      <w:r w:rsidR="006D554F" w:rsidRPr="001F21D7">
        <w:t>'</w:t>
      </w:r>
      <w:r w:rsidRPr="001F21D7">
        <w:t>UIT, au secteur privé, aux milieux universitaires, aux institutions des Nations Unies et aux décideurs d</w:t>
      </w:r>
      <w:r w:rsidR="006D554F" w:rsidRPr="001F21D7">
        <w:t>'</w:t>
      </w:r>
      <w:r w:rsidRPr="001F21D7">
        <w:t xml:space="preserve">autres parties prenantes et acteurs de transformer les besoins et les aspirations des jeunes en matière de </w:t>
      </w:r>
      <w:r w:rsidR="004E7E11" w:rsidRPr="001F21D7">
        <w:t xml:space="preserve">TIC </w:t>
      </w:r>
      <w:r w:rsidRPr="001F21D7">
        <w:t>en mesures concrètes et efficaces, en vue d</w:t>
      </w:r>
      <w:r w:rsidR="006D554F" w:rsidRPr="001F21D7">
        <w:t>'</w:t>
      </w:r>
      <w:r w:rsidRPr="001F21D7">
        <w:t>édifier une société numérique plus inclusive pour les générations actuelles et futures, aux niveaux national, régional et mondial. On trouvera davantage d</w:t>
      </w:r>
      <w:r w:rsidR="006D554F" w:rsidRPr="001F21D7">
        <w:t>'</w:t>
      </w:r>
      <w:r w:rsidRPr="001F21D7">
        <w:t>informations sur la préparation du Sommet mondial sur la jeunesse de l</w:t>
      </w:r>
      <w:r w:rsidR="006D554F" w:rsidRPr="001F21D7">
        <w:t>'</w:t>
      </w:r>
      <w:r w:rsidRPr="001F21D7">
        <w:t xml:space="preserve">UIT dans le Document </w:t>
      </w:r>
      <w:hyperlink r:id="rId10" w:history="1">
        <w:r w:rsidRPr="001F21D7">
          <w:rPr>
            <w:rStyle w:val="Hyperlink"/>
          </w:rPr>
          <w:t>C24/32</w:t>
        </w:r>
      </w:hyperlink>
      <w:r w:rsidRPr="001F21D7">
        <w:t>.</w:t>
      </w:r>
    </w:p>
    <w:p w14:paraId="6F202532" w14:textId="6FC9A95D" w:rsidR="00D57125" w:rsidRPr="001F21D7" w:rsidRDefault="00D57125" w:rsidP="00D57125">
      <w:pPr>
        <w:rPr>
          <w:rFonts w:eastAsia="Calibri" w:cs="Calibri"/>
          <w:szCs w:val="24"/>
        </w:rPr>
      </w:pPr>
      <w:r w:rsidRPr="001F21D7">
        <w:t>Le BDT continue de piloter la création d</w:t>
      </w:r>
      <w:r w:rsidR="006D554F" w:rsidRPr="001F21D7">
        <w:t>'</w:t>
      </w:r>
      <w:r w:rsidRPr="001F21D7">
        <w:t>épisodes du podcast Generation Connect destiné à</w:t>
      </w:r>
      <w:r w:rsidR="004E7E11" w:rsidRPr="001F21D7">
        <w:t> </w:t>
      </w:r>
      <w:r w:rsidRPr="001F21D7">
        <w:t>faire entendre la voix des jeunes sur les questions liées au dialogue mondial sur le développement numérique et à sa relation avec les ODD.</w:t>
      </w:r>
    </w:p>
    <w:p w14:paraId="3F3FEFBE" w14:textId="64ADB4C3" w:rsidR="00D57125" w:rsidRPr="001F21D7" w:rsidRDefault="00D57125" w:rsidP="004E7E11">
      <w:pPr>
        <w:rPr>
          <w:rFonts w:eastAsia="Calibri" w:cs="Calibri"/>
          <w:szCs w:val="24"/>
        </w:rPr>
      </w:pPr>
      <w:r w:rsidRPr="001F21D7">
        <w:t>Le BDT et le Bureau de la normalisation des télécommunications (TSB) ont œuvré en faveur d</w:t>
      </w:r>
      <w:r w:rsidR="006D554F" w:rsidRPr="001F21D7">
        <w:t>'</w:t>
      </w:r>
      <w:r w:rsidRPr="001F21D7">
        <w:t>une participation active des jeunes ainsi que d</w:t>
      </w:r>
      <w:r w:rsidR="006D554F" w:rsidRPr="001F21D7">
        <w:t>'</w:t>
      </w:r>
      <w:r w:rsidRPr="001F21D7">
        <w:t>un processus de création commune en s</w:t>
      </w:r>
      <w:r w:rsidR="006D554F" w:rsidRPr="001F21D7">
        <w:t>'</w:t>
      </w:r>
      <w:r w:rsidRPr="001F21D7">
        <w:t>appuyant sur une approche intersectionnelle au sein du système des Nations Unies, grâce à</w:t>
      </w:r>
      <w:r w:rsidR="004E7E11" w:rsidRPr="001F21D7">
        <w:t> </w:t>
      </w:r>
      <w:r w:rsidRPr="001F21D7">
        <w:t>l</w:t>
      </w:r>
      <w:r w:rsidR="006D554F" w:rsidRPr="001F21D7">
        <w:t>'</w:t>
      </w:r>
      <w:r w:rsidRPr="001F21D7">
        <w:t>organisation, menée conjointement par l</w:t>
      </w:r>
      <w:r w:rsidR="006D554F" w:rsidRPr="001F21D7">
        <w:t>'</w:t>
      </w:r>
      <w:r w:rsidRPr="001F21D7">
        <w:t>UIT et ONU</w:t>
      </w:r>
      <w:r w:rsidR="00DA6D52" w:rsidRPr="001F21D7">
        <w:t xml:space="preserve"> </w:t>
      </w:r>
      <w:r w:rsidRPr="001F21D7">
        <w:t>Femme</w:t>
      </w:r>
      <w:r w:rsidR="00404DF6" w:rsidRPr="001F21D7">
        <w:t>s</w:t>
      </w:r>
      <w:r w:rsidRPr="001F21D7">
        <w:t>, d</w:t>
      </w:r>
      <w:r w:rsidR="006D554F" w:rsidRPr="001F21D7">
        <w:t>'</w:t>
      </w:r>
      <w:r w:rsidRPr="001F21D7">
        <w:t>une session sur l</w:t>
      </w:r>
      <w:r w:rsidR="006D554F" w:rsidRPr="001F21D7">
        <w:t>'</w:t>
      </w:r>
      <w:r w:rsidRPr="001F21D7">
        <w:t>intelligence artificielle en marge du Forum de la jeunesse du Conseil économique et social (ECOSOC) d</w:t>
      </w:r>
      <w:r w:rsidR="006D554F" w:rsidRPr="001F21D7">
        <w:t>'</w:t>
      </w:r>
      <w:r w:rsidRPr="001F21D7">
        <w:t>avril 2024 et coordonnée avec le Bureau de l</w:t>
      </w:r>
      <w:r w:rsidR="006D554F" w:rsidRPr="001F21D7">
        <w:t>'</w:t>
      </w:r>
      <w:r w:rsidRPr="001F21D7">
        <w:t>Envoyée du Secrétaire général des Nations Unies pour la jeunesse afin de mener des interventions lors de consultations des Nations Unies, telles que les consultations informelles des parties prenantes pour le Pacte numérique mondial de février 2024. Les principaux résultats comprennent les éléments suivants:</w:t>
      </w:r>
    </w:p>
    <w:p w14:paraId="12DD1A2D" w14:textId="7261D09B" w:rsidR="00D57125" w:rsidRPr="001F21D7" w:rsidRDefault="00ED34BF" w:rsidP="00743B7B">
      <w:pPr>
        <w:pStyle w:val="enumlev1"/>
        <w:rPr>
          <w:rFonts w:asciiTheme="minorHAnsi" w:eastAsiaTheme="minorEastAsia" w:hAnsiTheme="minorHAnsi" w:cstheme="minorBidi"/>
        </w:rPr>
      </w:pPr>
      <w:r w:rsidRPr="001F21D7">
        <w:t>•</w:t>
      </w:r>
      <w:r w:rsidR="00743B7B" w:rsidRPr="001F21D7">
        <w:tab/>
      </w:r>
      <w:r w:rsidR="00D57125" w:rsidRPr="001F21D7">
        <w:t>création d</w:t>
      </w:r>
      <w:r w:rsidR="006D554F" w:rsidRPr="001F21D7">
        <w:t>'</w:t>
      </w:r>
      <w:r w:rsidR="00D57125" w:rsidRPr="001F21D7">
        <w:t>un groupe de consultation commun L</w:t>
      </w:r>
      <w:r w:rsidR="006D554F" w:rsidRPr="001F21D7">
        <w:t>'</w:t>
      </w:r>
      <w:r w:rsidR="00D57125" w:rsidRPr="001F21D7">
        <w:t>IA au service du bien social</w:t>
      </w:r>
      <w:r w:rsidR="0086475F">
        <w:t> – </w:t>
      </w:r>
      <w:r w:rsidR="00D57125" w:rsidRPr="001F21D7">
        <w:t>Generation Connect;</w:t>
      </w:r>
    </w:p>
    <w:p w14:paraId="4741F522" w14:textId="5817B6BD" w:rsidR="00D57125" w:rsidRPr="001F21D7" w:rsidRDefault="00743B7B" w:rsidP="00743B7B">
      <w:pPr>
        <w:pStyle w:val="enumlev1"/>
        <w:rPr>
          <w:rFonts w:asciiTheme="minorHAnsi" w:eastAsiaTheme="minorEastAsia" w:hAnsiTheme="minorHAnsi" w:cstheme="minorBidi"/>
          <w:szCs w:val="24"/>
        </w:rPr>
      </w:pPr>
      <w:r w:rsidRPr="001F21D7">
        <w:t>•</w:t>
      </w:r>
      <w:r w:rsidRPr="001F21D7">
        <w:tab/>
      </w:r>
      <w:r w:rsidR="00D57125" w:rsidRPr="001F21D7">
        <w:t>élaboration conjointe du webinaire du Réseau neuronal intitulé "</w:t>
      </w:r>
      <w:hyperlink r:id="rId11" w:history="1">
        <w:r w:rsidR="00D57125" w:rsidRPr="001F21D7">
          <w:rPr>
            <w:rStyle w:val="Hyperlink"/>
          </w:rPr>
          <w:t xml:space="preserve">How ChatGPT will change the classroom </w:t>
        </w:r>
        <w:r w:rsidR="006D554F" w:rsidRPr="001F21D7">
          <w:rPr>
            <w:rStyle w:val="Hyperlink"/>
          </w:rPr>
          <w:t>–</w:t>
        </w:r>
        <w:r w:rsidR="00D57125" w:rsidRPr="001F21D7">
          <w:rPr>
            <w:rStyle w:val="Hyperlink"/>
          </w:rPr>
          <w:t xml:space="preserve"> teachers and students discuss</w:t>
        </w:r>
      </w:hyperlink>
      <w:r w:rsidR="00D57125" w:rsidRPr="001F21D7">
        <w:t xml:space="preserve">" (Comment ChatGPT va-t-il transformer les salles de classe? </w:t>
      </w:r>
      <w:r w:rsidRPr="001F21D7">
        <w:t>Échanges</w:t>
      </w:r>
      <w:r w:rsidR="00D57125" w:rsidRPr="001F21D7">
        <w:t xml:space="preserve"> entre professeurs et élèves), 2023;</w:t>
      </w:r>
    </w:p>
    <w:p w14:paraId="4865E973" w14:textId="0D3655DB" w:rsidR="00D57125" w:rsidRPr="001F21D7" w:rsidRDefault="00743B7B" w:rsidP="00743B7B">
      <w:pPr>
        <w:pStyle w:val="enumlev1"/>
        <w:rPr>
          <w:rFonts w:asciiTheme="minorHAnsi" w:eastAsiaTheme="minorEastAsia" w:hAnsiTheme="minorHAnsi" w:cstheme="minorBidi"/>
        </w:rPr>
      </w:pPr>
      <w:r w:rsidRPr="001F21D7">
        <w:t>•</w:t>
      </w:r>
      <w:r w:rsidRPr="001F21D7">
        <w:tab/>
      </w:r>
      <w:r w:rsidR="00D57125" w:rsidRPr="001F21D7">
        <w:t xml:space="preserve">création conjointe par les initiatives </w:t>
      </w:r>
      <w:r w:rsidR="0086475F">
        <w:t>L'</w:t>
      </w:r>
      <w:r w:rsidR="00D57125" w:rsidRPr="001F21D7">
        <w:t>IA au service du bien social</w:t>
      </w:r>
      <w:r w:rsidR="00761D0D">
        <w:t xml:space="preserve"> et </w:t>
      </w:r>
      <w:r w:rsidR="00D57125" w:rsidRPr="001F21D7">
        <w:t>Generation Connect de l</w:t>
      </w:r>
      <w:r w:rsidR="006D554F" w:rsidRPr="001F21D7">
        <w:t>'</w:t>
      </w:r>
      <w:hyperlink r:id="rId12" w:history="1">
        <w:r w:rsidR="00D57125" w:rsidRPr="001F21D7">
          <w:rPr>
            <w:rStyle w:val="Hyperlink"/>
          </w:rPr>
          <w:t>enquête mondiale sur l</w:t>
        </w:r>
        <w:r w:rsidR="006D554F" w:rsidRPr="001F21D7">
          <w:rPr>
            <w:rStyle w:val="Hyperlink"/>
          </w:rPr>
          <w:t>'</w:t>
        </w:r>
        <w:r w:rsidR="00D57125" w:rsidRPr="001F21D7">
          <w:rPr>
            <w:rStyle w:val="Hyperlink"/>
          </w:rPr>
          <w:t>intelligence artificielle et les jeunes</w:t>
        </w:r>
      </w:hyperlink>
      <w:r w:rsidR="00D57125" w:rsidRPr="001F21D7">
        <w:t xml:space="preserve"> (en cours);</w:t>
      </w:r>
    </w:p>
    <w:p w14:paraId="08B9C14A" w14:textId="25EF2D89" w:rsidR="00D57125" w:rsidRPr="001F21D7" w:rsidRDefault="00743B7B" w:rsidP="00743B7B">
      <w:pPr>
        <w:pStyle w:val="enumlev1"/>
        <w:rPr>
          <w:rFonts w:asciiTheme="minorHAnsi" w:eastAsiaTheme="minorEastAsia" w:hAnsiTheme="minorHAnsi" w:cstheme="minorBidi"/>
        </w:rPr>
      </w:pPr>
      <w:r w:rsidRPr="001F21D7">
        <w:t>•</w:t>
      </w:r>
      <w:r w:rsidRPr="001F21D7">
        <w:tab/>
      </w:r>
      <w:r w:rsidR="00D57125" w:rsidRPr="001F21D7">
        <w:t>création conjointe de la session sur le thème "</w:t>
      </w:r>
      <w:hyperlink r:id="rId13" w:history="1">
        <w:r w:rsidR="00D57125" w:rsidRPr="001F21D7">
          <w:rPr>
            <w:rStyle w:val="Hyperlink"/>
          </w:rPr>
          <w:t>L</w:t>
        </w:r>
        <w:r w:rsidR="006D554F" w:rsidRPr="001F21D7">
          <w:rPr>
            <w:rStyle w:val="Hyperlink"/>
          </w:rPr>
          <w:t>'</w:t>
        </w:r>
        <w:r w:rsidR="00D57125" w:rsidRPr="001F21D7">
          <w:rPr>
            <w:rStyle w:val="Hyperlink"/>
          </w:rPr>
          <w:t>impact de l</w:t>
        </w:r>
        <w:r w:rsidR="006D554F" w:rsidRPr="001F21D7">
          <w:rPr>
            <w:rStyle w:val="Hyperlink"/>
          </w:rPr>
          <w:t>'</w:t>
        </w:r>
        <w:r w:rsidR="00D57125" w:rsidRPr="001F21D7">
          <w:rPr>
            <w:rStyle w:val="Hyperlink"/>
          </w:rPr>
          <w:t>IA sur les jeunes: enjeux et perspectives</w:t>
        </w:r>
      </w:hyperlink>
      <w:r w:rsidR="00D57125" w:rsidRPr="001F21D7">
        <w:t>", lors du Sommet mondial sur l</w:t>
      </w:r>
      <w:r w:rsidR="006D554F" w:rsidRPr="001F21D7">
        <w:t>'</w:t>
      </w:r>
      <w:r w:rsidR="00D57125" w:rsidRPr="001F21D7">
        <w:t>intelligence artificielle au service du bien social de 2023;</w:t>
      </w:r>
    </w:p>
    <w:p w14:paraId="5938E58F" w14:textId="770E3EAB" w:rsidR="00D57125" w:rsidRPr="001F21D7" w:rsidRDefault="00743B7B" w:rsidP="00743B7B">
      <w:pPr>
        <w:pStyle w:val="enumlev1"/>
        <w:rPr>
          <w:rFonts w:asciiTheme="minorHAnsi" w:eastAsiaTheme="minorEastAsia" w:hAnsiTheme="minorHAnsi" w:cstheme="minorBidi"/>
        </w:rPr>
      </w:pPr>
      <w:r w:rsidRPr="001F21D7">
        <w:t>•</w:t>
      </w:r>
      <w:r w:rsidRPr="001F21D7">
        <w:tab/>
      </w:r>
      <w:r w:rsidR="00D57125" w:rsidRPr="001F21D7">
        <w:t>organisation d</w:t>
      </w:r>
      <w:r w:rsidR="006D554F" w:rsidRPr="001F21D7">
        <w:t>'</w:t>
      </w:r>
      <w:r w:rsidR="00D57125" w:rsidRPr="001F21D7">
        <w:t xml:space="preserve">une séance conjointe </w:t>
      </w:r>
      <w:r w:rsidR="00761D0D">
        <w:t>L'</w:t>
      </w:r>
      <w:r w:rsidR="00D57125" w:rsidRPr="001F21D7">
        <w:t xml:space="preserve">IA au service du bien social/Generation Connect </w:t>
      </w:r>
      <w:r w:rsidR="00D57125" w:rsidRPr="0086475F">
        <w:t xml:space="preserve">sur </w:t>
      </w:r>
      <w:r w:rsidR="0086475F">
        <w:rPr>
          <w:i/>
          <w:iCs/>
        </w:rPr>
        <w:t>L</w:t>
      </w:r>
      <w:r w:rsidR="006D554F" w:rsidRPr="0086475F">
        <w:rPr>
          <w:i/>
          <w:iCs/>
        </w:rPr>
        <w:t>'</w:t>
      </w:r>
      <w:r w:rsidR="00D57125" w:rsidRPr="0086475F">
        <w:rPr>
          <w:i/>
          <w:iCs/>
        </w:rPr>
        <w:t>IA au service du bien social</w:t>
      </w:r>
      <w:r w:rsidR="00D57125" w:rsidRPr="001F21D7">
        <w:rPr>
          <w:i/>
          <w:iCs/>
        </w:rPr>
        <w:t xml:space="preserve"> et l</w:t>
      </w:r>
      <w:r w:rsidR="006D554F" w:rsidRPr="001F21D7">
        <w:rPr>
          <w:i/>
          <w:iCs/>
        </w:rPr>
        <w:t>'</w:t>
      </w:r>
      <w:r w:rsidR="00D57125" w:rsidRPr="001F21D7">
        <w:rPr>
          <w:i/>
          <w:iCs/>
        </w:rPr>
        <w:t>ingénierie de requêtes</w:t>
      </w:r>
      <w:r w:rsidR="00D57125" w:rsidRPr="001F21D7">
        <w:t xml:space="preserve"> à l</w:t>
      </w:r>
      <w:r w:rsidR="006D554F" w:rsidRPr="001F21D7">
        <w:t>'</w:t>
      </w:r>
      <w:r w:rsidR="00D57125" w:rsidRPr="001F21D7">
        <w:t>occasion du Misk Global Forum 2023, à Riyad (Arabie saoudite).</w:t>
      </w:r>
    </w:p>
    <w:p w14:paraId="76CB8932" w14:textId="1920AF7A" w:rsidR="00D57125" w:rsidRPr="001F21D7" w:rsidRDefault="00D57125" w:rsidP="00D57125">
      <w:pPr>
        <w:rPr>
          <w:rFonts w:eastAsia="Calibri" w:cs="Calibri"/>
        </w:rPr>
      </w:pPr>
      <w:r w:rsidRPr="001F21D7">
        <w:lastRenderedPageBreak/>
        <w:t>Le TSB continue de renforcer les capacités des étudiants dans le cadre de plusieurs activités, telles que le Concours sur les sources ouvertes dans l</w:t>
      </w:r>
      <w:r w:rsidR="006D554F" w:rsidRPr="001F21D7">
        <w:t>'</w:t>
      </w:r>
      <w:r w:rsidRPr="001F21D7">
        <w:t>intelligence artificielle et</w:t>
      </w:r>
      <w:r w:rsidR="0085097D" w:rsidRPr="001F21D7">
        <w:t xml:space="preserve"> </w:t>
      </w:r>
      <w:r w:rsidRPr="001F21D7">
        <w:t>l</w:t>
      </w:r>
      <w:r w:rsidR="006D554F" w:rsidRPr="001F21D7">
        <w:t>'</w:t>
      </w:r>
      <w:r w:rsidRPr="001F21D7">
        <w:t>apprentissage automatique, et d</w:t>
      </w:r>
      <w:r w:rsidR="006D554F" w:rsidRPr="001F21D7">
        <w:t>'</w:t>
      </w:r>
      <w:r w:rsidRPr="001F21D7">
        <w:t>un groupe spécialisé avec l</w:t>
      </w:r>
      <w:r w:rsidR="006D554F" w:rsidRPr="001F21D7">
        <w:t>'</w:t>
      </w:r>
      <w:r w:rsidRPr="001F21D7">
        <w:t>organisation d</w:t>
      </w:r>
      <w:r w:rsidR="006D554F" w:rsidRPr="001F21D7">
        <w:t>'</w:t>
      </w:r>
      <w:r w:rsidRPr="001F21D7">
        <w:t>un "build</w:t>
      </w:r>
      <w:r w:rsidR="00743B7B" w:rsidRPr="001F21D7">
        <w:noBreakHyphen/>
      </w:r>
      <w:r w:rsidRPr="001F21D7">
        <w:t>a</w:t>
      </w:r>
      <w:r w:rsidR="00743B7B" w:rsidRPr="001F21D7">
        <w:noBreakHyphen/>
      </w:r>
      <w:r w:rsidRPr="001F21D7">
        <w:t>thon".</w:t>
      </w:r>
    </w:p>
    <w:p w14:paraId="795B32BB" w14:textId="31D69CA2" w:rsidR="00D57125" w:rsidRPr="001F21D7" w:rsidRDefault="00D57125" w:rsidP="00D57125">
      <w:pPr>
        <w:rPr>
          <w:rFonts w:eastAsia="Calibri" w:cs="Calibri"/>
        </w:rPr>
      </w:pPr>
      <w:r w:rsidRPr="001F21D7">
        <w:t>Le Secrétariat de l</w:t>
      </w:r>
      <w:r w:rsidR="006D554F" w:rsidRPr="001F21D7">
        <w:t>'</w:t>
      </w:r>
      <w:r w:rsidRPr="001F21D7">
        <w:t>UIT œuvre également à renforcer les liens avec les établissements universitaires en ce qui concerne l</w:t>
      </w:r>
      <w:r w:rsidR="006D554F" w:rsidRPr="001F21D7">
        <w:t>'</w:t>
      </w:r>
      <w:r w:rsidRPr="001F21D7">
        <w:t>aide à la recherche et la participation des étudiants.</w:t>
      </w:r>
    </w:p>
    <w:p w14:paraId="3AB61B9B" w14:textId="7A9D7DB1" w:rsidR="00D57125" w:rsidRPr="001F21D7" w:rsidRDefault="00D57125" w:rsidP="00743B7B">
      <w:pPr>
        <w:pStyle w:val="Heading1"/>
        <w:rPr>
          <w:rFonts w:asciiTheme="minorHAnsi" w:eastAsia="Calibri" w:hAnsiTheme="minorHAnsi" w:cstheme="minorHAnsi"/>
          <w:sz w:val="26"/>
          <w:szCs w:val="26"/>
        </w:rPr>
      </w:pPr>
      <w:r w:rsidRPr="001F21D7">
        <w:t>3</w:t>
      </w:r>
      <w:r w:rsidRPr="001F21D7">
        <w:tab/>
        <w:t>Création du F</w:t>
      </w:r>
      <w:r w:rsidR="005A540F" w:rsidRPr="001F21D7">
        <w:t xml:space="preserve">onds </w:t>
      </w:r>
      <w:r w:rsidRPr="001F21D7">
        <w:t>YPP</w:t>
      </w:r>
    </w:p>
    <w:p w14:paraId="774DE3E5" w14:textId="3A19550D" w:rsidR="00D57125" w:rsidRPr="001F21D7" w:rsidRDefault="00D57125" w:rsidP="00D57125">
      <w:pPr>
        <w:rPr>
          <w:rFonts w:asciiTheme="minorHAnsi" w:hAnsiTheme="minorHAnsi" w:cstheme="minorBidi"/>
        </w:rPr>
      </w:pPr>
      <w:r w:rsidRPr="001F21D7">
        <w:t>Le Fonds YPP a été créé pour apporter un soutien financier au Programme de l</w:t>
      </w:r>
      <w:r w:rsidR="006D554F" w:rsidRPr="001F21D7">
        <w:t>'</w:t>
      </w:r>
      <w:r w:rsidRPr="001F21D7">
        <w:t>UIT à</w:t>
      </w:r>
      <w:r w:rsidR="001F21D7">
        <w:t> </w:t>
      </w:r>
      <w:r w:rsidRPr="001F21D7">
        <w:t>l</w:t>
      </w:r>
      <w:r w:rsidR="006D554F" w:rsidRPr="001F21D7">
        <w:t>'</w:t>
      </w:r>
      <w:r w:rsidRPr="001F21D7">
        <w:t>intention des jeunes professionnels, témoignant de l</w:t>
      </w:r>
      <w:r w:rsidR="006D554F" w:rsidRPr="001F21D7">
        <w:t>'</w:t>
      </w:r>
      <w:r w:rsidRPr="001F21D7">
        <w:t>engagement de l</w:t>
      </w:r>
      <w:r w:rsidR="006D554F" w:rsidRPr="001F21D7">
        <w:t>'</w:t>
      </w:r>
      <w:r w:rsidRPr="001F21D7">
        <w:t>organisation en faveur de la diversité, de l</w:t>
      </w:r>
      <w:r w:rsidR="006D554F" w:rsidRPr="001F21D7">
        <w:t>'</w:t>
      </w:r>
      <w:r w:rsidRPr="001F21D7">
        <w:t>inclusion et du perfectionnement de jeunes professionnels qualifiés capables d</w:t>
      </w:r>
      <w:r w:rsidR="006D554F" w:rsidRPr="001F21D7">
        <w:t>'</w:t>
      </w:r>
      <w:r w:rsidRPr="001F21D7">
        <w:t>apporter une contribution importante à la mission de l</w:t>
      </w:r>
      <w:r w:rsidR="006D554F" w:rsidRPr="001F21D7">
        <w:t>'</w:t>
      </w:r>
      <w:r w:rsidRPr="001F21D7">
        <w:t>UIT.</w:t>
      </w:r>
    </w:p>
    <w:p w14:paraId="022CB930" w14:textId="3132141E" w:rsidR="00D57125" w:rsidRPr="001F21D7" w:rsidRDefault="00D57125" w:rsidP="00D57125">
      <w:pPr>
        <w:rPr>
          <w:rFonts w:asciiTheme="minorHAnsi" w:hAnsiTheme="minorHAnsi" w:cstheme="minorBidi"/>
        </w:rPr>
      </w:pPr>
      <w:r w:rsidRPr="001F21D7">
        <w:t>Le Conseil est invité à prendre note de la création du Fonds YPP de l</w:t>
      </w:r>
      <w:r w:rsidR="006D554F" w:rsidRPr="001F21D7">
        <w:t>'</w:t>
      </w:r>
      <w:r w:rsidRPr="001F21D7">
        <w:t>UIT.</w:t>
      </w:r>
    </w:p>
    <w:p w14:paraId="08C9169F" w14:textId="0562D574" w:rsidR="00D57125" w:rsidRPr="001F21D7" w:rsidRDefault="00D57125" w:rsidP="00743B7B">
      <w:pPr>
        <w:spacing w:after="240"/>
        <w:rPr>
          <w:rFonts w:asciiTheme="minorHAnsi" w:hAnsiTheme="minorHAnsi" w:cstheme="minorBidi"/>
        </w:rPr>
      </w:pPr>
      <w:r w:rsidRPr="001F21D7">
        <w:t>Le financement du Fonds sera assuré par des contributions volontaires, mais aussi par des attributions que la Secrétaire générale effectuera dans le cadre de l</w:t>
      </w:r>
      <w:r w:rsidR="006D554F" w:rsidRPr="001F21D7">
        <w:t>'</w:t>
      </w:r>
      <w:r w:rsidRPr="001F21D7">
        <w:t>exécution du budget. Le plan initial de financement comprend les contributions indiquées dans le tableau ci-dessous.</w:t>
      </w:r>
    </w:p>
    <w:tbl>
      <w:tblPr>
        <w:tblStyle w:val="ListTable2-Accent1"/>
        <w:tblW w:w="0" w:type="auto"/>
        <w:jc w:val="center"/>
        <w:tblLayout w:type="fixed"/>
        <w:tblLook w:val="04A0" w:firstRow="1" w:lastRow="0" w:firstColumn="1" w:lastColumn="0" w:noHBand="0" w:noVBand="1"/>
      </w:tblPr>
      <w:tblGrid>
        <w:gridCol w:w="2835"/>
        <w:gridCol w:w="2024"/>
        <w:gridCol w:w="2025"/>
        <w:gridCol w:w="1763"/>
      </w:tblGrid>
      <w:tr w:rsidR="00743B7B" w:rsidRPr="001F21D7" w14:paraId="09ED2BCA" w14:textId="77777777" w:rsidTr="005A54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2493A0C6" w14:textId="77777777" w:rsidR="00743B7B" w:rsidRPr="001F21D7" w:rsidRDefault="00743B7B" w:rsidP="005A540F">
            <w:pPr>
              <w:pStyle w:val="Tablehead"/>
              <w:rPr>
                <w:b/>
                <w:bCs w:val="0"/>
              </w:rPr>
            </w:pPr>
            <w:r w:rsidRPr="001F21D7">
              <w:rPr>
                <w:b/>
                <w:bCs w:val="0"/>
              </w:rPr>
              <w:t>Source de financement</w:t>
            </w:r>
          </w:p>
        </w:tc>
        <w:tc>
          <w:tcPr>
            <w:tcW w:w="2024" w:type="dxa"/>
          </w:tcPr>
          <w:p w14:paraId="4E8BA40B" w14:textId="77777777" w:rsidR="00743B7B" w:rsidRPr="001F21D7" w:rsidRDefault="00743B7B" w:rsidP="005A540F">
            <w:pPr>
              <w:pStyle w:val="Tablehead"/>
              <w:cnfStyle w:val="100000000000" w:firstRow="1" w:lastRow="0" w:firstColumn="0" w:lastColumn="0" w:oddVBand="0" w:evenVBand="0" w:oddHBand="0" w:evenHBand="0" w:firstRowFirstColumn="0" w:firstRowLastColumn="0" w:lastRowFirstColumn="0" w:lastRowLastColumn="0"/>
              <w:rPr>
                <w:b/>
                <w:bCs w:val="0"/>
              </w:rPr>
            </w:pPr>
            <w:r w:rsidRPr="001F21D7">
              <w:rPr>
                <w:b/>
                <w:bCs w:val="0"/>
              </w:rPr>
              <w:t>Montant en 2024</w:t>
            </w:r>
          </w:p>
        </w:tc>
        <w:tc>
          <w:tcPr>
            <w:tcW w:w="2025" w:type="dxa"/>
          </w:tcPr>
          <w:p w14:paraId="5E212B36" w14:textId="77777777" w:rsidR="00743B7B" w:rsidRPr="001F21D7" w:rsidRDefault="00743B7B" w:rsidP="005A540F">
            <w:pPr>
              <w:pStyle w:val="Tablehead"/>
              <w:cnfStyle w:val="100000000000" w:firstRow="1" w:lastRow="0" w:firstColumn="0" w:lastColumn="0" w:oddVBand="0" w:evenVBand="0" w:oddHBand="0" w:evenHBand="0" w:firstRowFirstColumn="0" w:firstRowLastColumn="0" w:lastRowFirstColumn="0" w:lastRowLastColumn="0"/>
              <w:rPr>
                <w:b/>
                <w:bCs w:val="0"/>
              </w:rPr>
            </w:pPr>
            <w:r w:rsidRPr="001F21D7">
              <w:rPr>
                <w:b/>
                <w:bCs w:val="0"/>
              </w:rPr>
              <w:t>Montant en 2025</w:t>
            </w:r>
          </w:p>
        </w:tc>
        <w:tc>
          <w:tcPr>
            <w:tcW w:w="1763" w:type="dxa"/>
          </w:tcPr>
          <w:p w14:paraId="3983A211" w14:textId="77777777" w:rsidR="00743B7B" w:rsidRPr="001F21D7" w:rsidRDefault="00743B7B" w:rsidP="005A540F">
            <w:pPr>
              <w:pStyle w:val="Tablehead"/>
              <w:cnfStyle w:val="100000000000" w:firstRow="1" w:lastRow="0" w:firstColumn="0" w:lastColumn="0" w:oddVBand="0" w:evenVBand="0" w:oddHBand="0" w:evenHBand="0" w:firstRowFirstColumn="0" w:firstRowLastColumn="0" w:lastRowFirstColumn="0" w:lastRowLastColumn="0"/>
              <w:rPr>
                <w:b/>
                <w:bCs w:val="0"/>
              </w:rPr>
            </w:pPr>
            <w:r w:rsidRPr="001F21D7">
              <w:rPr>
                <w:b/>
                <w:bCs w:val="0"/>
              </w:rPr>
              <w:t>Total</w:t>
            </w:r>
          </w:p>
        </w:tc>
      </w:tr>
      <w:tr w:rsidR="00743B7B" w:rsidRPr="001F21D7" w14:paraId="73E097F7" w14:textId="77777777" w:rsidTr="005A54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6AB58E0A" w14:textId="655144C7" w:rsidR="00743B7B" w:rsidRPr="001F21D7" w:rsidRDefault="00743B7B" w:rsidP="005A540F">
            <w:pPr>
              <w:pStyle w:val="Tabletext"/>
            </w:pPr>
            <w:r w:rsidRPr="001F21D7">
              <w:t>Économies découlant de la mise en œuvre du budget</w:t>
            </w:r>
          </w:p>
        </w:tc>
        <w:tc>
          <w:tcPr>
            <w:tcW w:w="2024" w:type="dxa"/>
          </w:tcPr>
          <w:p w14:paraId="52171589" w14:textId="77777777" w:rsidR="00743B7B" w:rsidRPr="001F21D7" w:rsidRDefault="00743B7B" w:rsidP="005A540F">
            <w:pPr>
              <w:pStyle w:val="Tabletext"/>
              <w:jc w:val="right"/>
              <w:cnfStyle w:val="000000100000" w:firstRow="0" w:lastRow="0" w:firstColumn="0" w:lastColumn="0" w:oddVBand="0" w:evenVBand="0" w:oddHBand="1" w:evenHBand="0" w:firstRowFirstColumn="0" w:firstRowLastColumn="0" w:lastRowFirstColumn="0" w:lastRowLastColumn="0"/>
            </w:pPr>
            <w:r w:rsidRPr="001F21D7">
              <w:t>250 000 CHF</w:t>
            </w:r>
          </w:p>
        </w:tc>
        <w:tc>
          <w:tcPr>
            <w:tcW w:w="2025" w:type="dxa"/>
          </w:tcPr>
          <w:p w14:paraId="5AA204EE" w14:textId="77777777" w:rsidR="00743B7B" w:rsidRPr="001F21D7" w:rsidRDefault="00743B7B" w:rsidP="005A540F">
            <w:pPr>
              <w:pStyle w:val="Tabletext"/>
              <w:jc w:val="right"/>
              <w:cnfStyle w:val="000000100000" w:firstRow="0" w:lastRow="0" w:firstColumn="0" w:lastColumn="0" w:oddVBand="0" w:evenVBand="0" w:oddHBand="1" w:evenHBand="0" w:firstRowFirstColumn="0" w:firstRowLastColumn="0" w:lastRowFirstColumn="0" w:lastRowLastColumn="0"/>
            </w:pPr>
            <w:r w:rsidRPr="001F21D7">
              <w:t>450 000 CHF</w:t>
            </w:r>
          </w:p>
        </w:tc>
        <w:tc>
          <w:tcPr>
            <w:tcW w:w="1763" w:type="dxa"/>
          </w:tcPr>
          <w:p w14:paraId="14A40856" w14:textId="77777777" w:rsidR="00743B7B" w:rsidRPr="001F21D7" w:rsidRDefault="00743B7B" w:rsidP="005A540F">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1F21D7">
              <w:rPr>
                <w:b/>
                <w:bCs/>
              </w:rPr>
              <w:t>700 000 CHF</w:t>
            </w:r>
          </w:p>
        </w:tc>
      </w:tr>
      <w:tr w:rsidR="00743B7B" w:rsidRPr="001F21D7" w14:paraId="2C3AC906" w14:textId="77777777" w:rsidTr="005A540F">
        <w:trPr>
          <w:jc w:val="center"/>
        </w:trPr>
        <w:tc>
          <w:tcPr>
            <w:cnfStyle w:val="001000000000" w:firstRow="0" w:lastRow="0" w:firstColumn="1" w:lastColumn="0" w:oddVBand="0" w:evenVBand="0" w:oddHBand="0" w:evenHBand="0" w:firstRowFirstColumn="0" w:firstRowLastColumn="0" w:lastRowFirstColumn="0" w:lastRowLastColumn="0"/>
            <w:tcW w:w="2835" w:type="dxa"/>
          </w:tcPr>
          <w:p w14:paraId="0A32DEF0" w14:textId="07FF091A" w:rsidR="00743B7B" w:rsidRPr="001F21D7" w:rsidRDefault="00743B7B" w:rsidP="005A540F">
            <w:pPr>
              <w:pStyle w:val="Tabletext"/>
            </w:pPr>
            <w:r w:rsidRPr="001F21D7">
              <w:t>Proposition d</w:t>
            </w:r>
            <w:r w:rsidR="006D554F" w:rsidRPr="001F21D7">
              <w:t>'</w:t>
            </w:r>
            <w:r w:rsidRPr="001F21D7">
              <w:t>imputation des économies réalisées au cours des exercices précédents</w:t>
            </w:r>
            <w:r w:rsidRPr="001F21D7">
              <w:rPr>
                <w:rStyle w:val="FootnoteReference"/>
              </w:rPr>
              <w:t>*</w:t>
            </w:r>
            <w:r w:rsidRPr="001F21D7">
              <w:t xml:space="preserve"> (référence au Document C24/19)</w:t>
            </w:r>
          </w:p>
        </w:tc>
        <w:tc>
          <w:tcPr>
            <w:tcW w:w="2024" w:type="dxa"/>
          </w:tcPr>
          <w:p w14:paraId="5C9F4892" w14:textId="77777777" w:rsidR="00743B7B" w:rsidRPr="001F21D7" w:rsidRDefault="00743B7B" w:rsidP="005A540F">
            <w:pPr>
              <w:pStyle w:val="Tabletext"/>
              <w:jc w:val="right"/>
              <w:cnfStyle w:val="000000000000" w:firstRow="0" w:lastRow="0" w:firstColumn="0" w:lastColumn="0" w:oddVBand="0" w:evenVBand="0" w:oddHBand="0" w:evenHBand="0" w:firstRowFirstColumn="0" w:firstRowLastColumn="0" w:lastRowFirstColumn="0" w:lastRowLastColumn="0"/>
            </w:pPr>
            <w:r w:rsidRPr="001F21D7">
              <w:t>150 000 CHF*</w:t>
            </w:r>
          </w:p>
        </w:tc>
        <w:tc>
          <w:tcPr>
            <w:tcW w:w="2025" w:type="dxa"/>
          </w:tcPr>
          <w:p w14:paraId="65AFE965" w14:textId="77777777" w:rsidR="00743B7B" w:rsidRPr="001F21D7" w:rsidRDefault="00743B7B" w:rsidP="005A540F">
            <w:pPr>
              <w:pStyle w:val="Tabletext"/>
              <w:jc w:val="right"/>
              <w:cnfStyle w:val="000000000000" w:firstRow="0" w:lastRow="0" w:firstColumn="0" w:lastColumn="0" w:oddVBand="0" w:evenVBand="0" w:oddHBand="0" w:evenHBand="0" w:firstRowFirstColumn="0" w:firstRowLastColumn="0" w:lastRowFirstColumn="0" w:lastRowLastColumn="0"/>
            </w:pPr>
            <w:r w:rsidRPr="001F21D7">
              <w:t>150 000 CHF*</w:t>
            </w:r>
          </w:p>
        </w:tc>
        <w:tc>
          <w:tcPr>
            <w:tcW w:w="1763" w:type="dxa"/>
          </w:tcPr>
          <w:p w14:paraId="2899B829" w14:textId="00B8922D" w:rsidR="00743B7B" w:rsidRPr="001F21D7" w:rsidRDefault="00743B7B" w:rsidP="005A540F">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1F21D7">
              <w:rPr>
                <w:b/>
                <w:bCs/>
              </w:rPr>
              <w:t>300 000 CHF*</w:t>
            </w:r>
          </w:p>
        </w:tc>
      </w:tr>
      <w:tr w:rsidR="00743B7B" w:rsidRPr="001F21D7" w14:paraId="7434FD2C" w14:textId="77777777" w:rsidTr="005A54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Pr>
          <w:p w14:paraId="663EB3A2" w14:textId="77777777" w:rsidR="00743B7B" w:rsidRPr="001F21D7" w:rsidRDefault="00743B7B" w:rsidP="005A540F">
            <w:pPr>
              <w:pStyle w:val="Tabletext"/>
            </w:pPr>
            <w:r w:rsidRPr="001F21D7">
              <w:t>Contribution du Japon</w:t>
            </w:r>
          </w:p>
        </w:tc>
        <w:tc>
          <w:tcPr>
            <w:tcW w:w="2024" w:type="dxa"/>
          </w:tcPr>
          <w:p w14:paraId="0E7E407F" w14:textId="77777777" w:rsidR="00743B7B" w:rsidRPr="001F21D7" w:rsidRDefault="00743B7B" w:rsidP="005A540F">
            <w:pPr>
              <w:pStyle w:val="Tabletext"/>
              <w:jc w:val="right"/>
              <w:cnfStyle w:val="000000100000" w:firstRow="0" w:lastRow="0" w:firstColumn="0" w:lastColumn="0" w:oddVBand="0" w:evenVBand="0" w:oddHBand="1" w:evenHBand="0" w:firstRowFirstColumn="0" w:firstRowLastColumn="0" w:lastRowFirstColumn="0" w:lastRowLastColumn="0"/>
            </w:pPr>
            <w:r w:rsidRPr="001F21D7">
              <w:t>150 000 CHF</w:t>
            </w:r>
          </w:p>
        </w:tc>
        <w:tc>
          <w:tcPr>
            <w:tcW w:w="2025" w:type="dxa"/>
          </w:tcPr>
          <w:p w14:paraId="1C7CF82B" w14:textId="77777777" w:rsidR="00743B7B" w:rsidRPr="001F21D7" w:rsidRDefault="00743B7B" w:rsidP="005A540F">
            <w:pPr>
              <w:pStyle w:val="Tabletext"/>
              <w:jc w:val="right"/>
              <w:cnfStyle w:val="000000100000" w:firstRow="0" w:lastRow="0" w:firstColumn="0" w:lastColumn="0" w:oddVBand="0" w:evenVBand="0" w:oddHBand="1" w:evenHBand="0" w:firstRowFirstColumn="0" w:firstRowLastColumn="0" w:lastRowFirstColumn="0" w:lastRowLastColumn="0"/>
            </w:pPr>
            <w:r w:rsidRPr="001F21D7">
              <w:t>150 000 CHF</w:t>
            </w:r>
          </w:p>
        </w:tc>
        <w:tc>
          <w:tcPr>
            <w:tcW w:w="1763" w:type="dxa"/>
          </w:tcPr>
          <w:p w14:paraId="01494DA9" w14:textId="77777777" w:rsidR="00743B7B" w:rsidRPr="001F21D7" w:rsidRDefault="00743B7B" w:rsidP="005A540F">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1F21D7">
              <w:rPr>
                <w:b/>
                <w:bCs/>
              </w:rPr>
              <w:t>300 000 CHF</w:t>
            </w:r>
          </w:p>
        </w:tc>
      </w:tr>
    </w:tbl>
    <w:p w14:paraId="534F9ACE" w14:textId="70284B1A" w:rsidR="00743B7B" w:rsidRPr="001F21D7" w:rsidRDefault="00743B7B" w:rsidP="00404DF6">
      <w:pPr>
        <w:pStyle w:val="Tablelegend"/>
        <w:tabs>
          <w:tab w:val="left" w:pos="567"/>
        </w:tabs>
        <w:ind w:firstLine="284"/>
      </w:pPr>
      <w:r w:rsidRPr="001F21D7">
        <w:rPr>
          <w:rStyle w:val="FootnoteReference"/>
        </w:rPr>
        <w:t>*</w:t>
      </w:r>
      <w:r w:rsidRPr="001F21D7">
        <w:tab/>
        <w:t>Transfert au Fonds uniquement sur décision du Conseil.</w:t>
      </w:r>
    </w:p>
    <w:p w14:paraId="14801882" w14:textId="2FF2BBAF" w:rsidR="006A11AE" w:rsidRPr="001F21D7" w:rsidRDefault="00743B7B" w:rsidP="005A540F">
      <w:pPr>
        <w:spacing w:before="240"/>
      </w:pPr>
      <w:r w:rsidRPr="001F21D7">
        <w:t>À cet égard, les États Membres sont invités à contribuer à ce fonds.</w:t>
      </w:r>
    </w:p>
    <w:p w14:paraId="1A60E7B6" w14:textId="77777777" w:rsidR="005A540F" w:rsidRPr="001F21D7" w:rsidRDefault="005A540F">
      <w:pPr>
        <w:jc w:val="center"/>
      </w:pPr>
      <w:r w:rsidRPr="001F21D7">
        <w:t>______________</w:t>
      </w:r>
    </w:p>
    <w:sectPr w:rsidR="005A540F" w:rsidRPr="001F21D7" w:rsidSect="00D72F49">
      <w:headerReference w:type="even" r:id="rId14"/>
      <w:footerReference w:type="even" r:id="rId15"/>
      <w:footerReference w:type="default" r:id="rId16"/>
      <w:headerReference w:type="first" r:id="rId17"/>
      <w:footerReference w:type="first" r:id="rId1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5290" w14:textId="77777777" w:rsidR="00007748" w:rsidRDefault="00007748">
      <w:r>
        <w:separator/>
      </w:r>
    </w:p>
  </w:endnote>
  <w:endnote w:type="continuationSeparator" w:id="0">
    <w:p w14:paraId="28DB2111" w14:textId="77777777" w:rsidR="00007748" w:rsidRDefault="0000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B4C19" w14:textId="4CD00079" w:rsidR="00732045" w:rsidRDefault="00541F29">
    <w:pPr>
      <w:pStyle w:val="Footer"/>
    </w:pPr>
    <w:r>
      <w:fldChar w:fldCharType="begin"/>
    </w:r>
    <w:r>
      <w:instrText xml:space="preserve"> FILENAME \p \* MERGEFORMAT </w:instrText>
    </w:r>
    <w:r>
      <w:fldChar w:fldCharType="separate"/>
    </w:r>
    <w:r w:rsidR="007A070A">
      <w:t>Document1</w:t>
    </w:r>
    <w:r>
      <w:fldChar w:fldCharType="end"/>
    </w:r>
    <w:r w:rsidR="00732045">
      <w:tab/>
    </w:r>
    <w:r w:rsidR="002F1B76">
      <w:fldChar w:fldCharType="begin"/>
    </w:r>
    <w:r w:rsidR="00732045">
      <w:instrText xml:space="preserve"> savedate \@ dd.MM.yy </w:instrText>
    </w:r>
    <w:r w:rsidR="002F1B76">
      <w:fldChar w:fldCharType="separate"/>
    </w:r>
    <w:r w:rsidR="0086475F">
      <w:t>10.05.24</w:t>
    </w:r>
    <w:r w:rsidR="002F1B76">
      <w:fldChar w:fldCharType="end"/>
    </w:r>
    <w:r w:rsidR="00732045">
      <w:tab/>
    </w:r>
    <w:r w:rsidR="002F1B76">
      <w:fldChar w:fldCharType="begin"/>
    </w:r>
    <w:r w:rsidR="00732045">
      <w:instrText xml:space="preserve"> printdate \@ dd.MM.yy </w:instrText>
    </w:r>
    <w:r w:rsidR="002F1B76">
      <w:fldChar w:fldCharType="separate"/>
    </w:r>
    <w:r w:rsidR="007A070A">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A65236B" w14:textId="77777777" w:rsidTr="00E31DCE">
      <w:trPr>
        <w:jc w:val="center"/>
      </w:trPr>
      <w:tc>
        <w:tcPr>
          <w:tcW w:w="1803" w:type="dxa"/>
          <w:vAlign w:val="center"/>
        </w:tcPr>
        <w:p w14:paraId="2459A9B5" w14:textId="3484D79D" w:rsidR="00A51849" w:rsidRDefault="00A51849" w:rsidP="00A51849">
          <w:pPr>
            <w:pStyle w:val="Header"/>
            <w:jc w:val="left"/>
            <w:rPr>
              <w:noProof/>
            </w:rPr>
          </w:pPr>
        </w:p>
      </w:tc>
      <w:tc>
        <w:tcPr>
          <w:tcW w:w="8261" w:type="dxa"/>
        </w:tcPr>
        <w:p w14:paraId="1ED05BF9" w14:textId="3354DD1D"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293B5E">
            <w:rPr>
              <w:bCs/>
            </w:rPr>
            <w:t>31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550C900B" w14:textId="05BCBBFF" w:rsidR="00732045" w:rsidRPr="00A51849" w:rsidRDefault="00732045" w:rsidP="00293B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16635A2" w14:textId="77777777" w:rsidTr="00E31DCE">
      <w:trPr>
        <w:jc w:val="center"/>
      </w:trPr>
      <w:tc>
        <w:tcPr>
          <w:tcW w:w="1803" w:type="dxa"/>
          <w:vAlign w:val="center"/>
        </w:tcPr>
        <w:p w14:paraId="0B65B96C" w14:textId="77777777" w:rsidR="00A51849" w:rsidRPr="0082299A" w:rsidRDefault="00541F29"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5887160F" w14:textId="5CE2AA8E"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293B5E">
            <w:rPr>
              <w:bCs/>
            </w:rPr>
            <w:t>31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9246F2D" w14:textId="22FA2CD2"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9026A" w14:textId="77777777" w:rsidR="00007748" w:rsidRDefault="00007748">
      <w:r>
        <w:t>____________________</w:t>
      </w:r>
    </w:p>
  </w:footnote>
  <w:footnote w:type="continuationSeparator" w:id="0">
    <w:p w14:paraId="08C9B217" w14:textId="77777777" w:rsidR="00007748" w:rsidRDefault="0000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1E6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957C76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150B172C" w14:textId="77777777" w:rsidTr="00E31DCE">
      <w:trPr>
        <w:trHeight w:val="1104"/>
        <w:jc w:val="center"/>
      </w:trPr>
      <w:tc>
        <w:tcPr>
          <w:tcW w:w="4390" w:type="dxa"/>
          <w:vAlign w:val="center"/>
        </w:tcPr>
        <w:p w14:paraId="15833EE1"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22C0D08F" wp14:editId="5A0DB59F">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71001FF" w14:textId="77777777" w:rsidR="00A51849" w:rsidRDefault="00A51849" w:rsidP="00A51849">
          <w:pPr>
            <w:pStyle w:val="Header"/>
            <w:jc w:val="right"/>
            <w:rPr>
              <w:rFonts w:ascii="Arial" w:hAnsi="Arial" w:cs="Arial"/>
              <w:b/>
              <w:bCs/>
              <w:color w:val="009CD6"/>
              <w:szCs w:val="18"/>
            </w:rPr>
          </w:pPr>
        </w:p>
        <w:p w14:paraId="6C297FAE" w14:textId="77777777" w:rsidR="00A51849" w:rsidRDefault="00A51849" w:rsidP="00A51849">
          <w:pPr>
            <w:pStyle w:val="Header"/>
            <w:jc w:val="right"/>
            <w:rPr>
              <w:rFonts w:ascii="Arial" w:hAnsi="Arial" w:cs="Arial"/>
              <w:b/>
              <w:bCs/>
              <w:color w:val="009CD6"/>
              <w:szCs w:val="18"/>
            </w:rPr>
          </w:pPr>
        </w:p>
        <w:p w14:paraId="0F143392"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6584B020"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AFD6D07" wp14:editId="474C7E55">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B2C00"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BC4CF"/>
    <w:multiLevelType w:val="hybridMultilevel"/>
    <w:tmpl w:val="FFFFFFFF"/>
    <w:lvl w:ilvl="0" w:tplc="D6C24A9C">
      <w:start w:val="1"/>
      <w:numFmt w:val="bullet"/>
      <w:lvlText w:val=""/>
      <w:lvlJc w:val="left"/>
      <w:pPr>
        <w:ind w:left="720" w:hanging="360"/>
      </w:pPr>
      <w:rPr>
        <w:rFonts w:ascii="Symbol" w:hAnsi="Symbol" w:hint="default"/>
      </w:rPr>
    </w:lvl>
    <w:lvl w:ilvl="1" w:tplc="9D404F34">
      <w:start w:val="1"/>
      <w:numFmt w:val="bullet"/>
      <w:lvlText w:val="o"/>
      <w:lvlJc w:val="left"/>
      <w:pPr>
        <w:ind w:left="1440" w:hanging="360"/>
      </w:pPr>
      <w:rPr>
        <w:rFonts w:ascii="Courier New" w:hAnsi="Courier New" w:cs="Times New Roman" w:hint="default"/>
      </w:rPr>
    </w:lvl>
    <w:lvl w:ilvl="2" w:tplc="D834D902">
      <w:start w:val="1"/>
      <w:numFmt w:val="bullet"/>
      <w:lvlText w:val=""/>
      <w:lvlJc w:val="left"/>
      <w:pPr>
        <w:ind w:left="2160" w:hanging="360"/>
      </w:pPr>
      <w:rPr>
        <w:rFonts w:ascii="Wingdings" w:hAnsi="Wingdings" w:hint="default"/>
      </w:rPr>
    </w:lvl>
    <w:lvl w:ilvl="3" w:tplc="C82E2110">
      <w:start w:val="1"/>
      <w:numFmt w:val="bullet"/>
      <w:lvlText w:val=""/>
      <w:lvlJc w:val="left"/>
      <w:pPr>
        <w:ind w:left="2880" w:hanging="360"/>
      </w:pPr>
      <w:rPr>
        <w:rFonts w:ascii="Symbol" w:hAnsi="Symbol" w:hint="default"/>
      </w:rPr>
    </w:lvl>
    <w:lvl w:ilvl="4" w:tplc="BBC2A4A0">
      <w:start w:val="1"/>
      <w:numFmt w:val="bullet"/>
      <w:lvlText w:val="o"/>
      <w:lvlJc w:val="left"/>
      <w:pPr>
        <w:ind w:left="3600" w:hanging="360"/>
      </w:pPr>
      <w:rPr>
        <w:rFonts w:ascii="Courier New" w:hAnsi="Courier New" w:cs="Times New Roman" w:hint="default"/>
      </w:rPr>
    </w:lvl>
    <w:lvl w:ilvl="5" w:tplc="051A0FE6">
      <w:start w:val="1"/>
      <w:numFmt w:val="bullet"/>
      <w:lvlText w:val=""/>
      <w:lvlJc w:val="left"/>
      <w:pPr>
        <w:ind w:left="4320" w:hanging="360"/>
      </w:pPr>
      <w:rPr>
        <w:rFonts w:ascii="Wingdings" w:hAnsi="Wingdings" w:hint="default"/>
      </w:rPr>
    </w:lvl>
    <w:lvl w:ilvl="6" w:tplc="491E8C60">
      <w:start w:val="1"/>
      <w:numFmt w:val="bullet"/>
      <w:lvlText w:val=""/>
      <w:lvlJc w:val="left"/>
      <w:pPr>
        <w:ind w:left="5040" w:hanging="360"/>
      </w:pPr>
      <w:rPr>
        <w:rFonts w:ascii="Symbol" w:hAnsi="Symbol" w:hint="default"/>
      </w:rPr>
    </w:lvl>
    <w:lvl w:ilvl="7" w:tplc="C5200080">
      <w:start w:val="1"/>
      <w:numFmt w:val="bullet"/>
      <w:lvlText w:val="o"/>
      <w:lvlJc w:val="left"/>
      <w:pPr>
        <w:ind w:left="5760" w:hanging="360"/>
      </w:pPr>
      <w:rPr>
        <w:rFonts w:ascii="Courier New" w:hAnsi="Courier New" w:cs="Times New Roman" w:hint="default"/>
      </w:rPr>
    </w:lvl>
    <w:lvl w:ilvl="8" w:tplc="6BE0E8C0">
      <w:start w:val="1"/>
      <w:numFmt w:val="bullet"/>
      <w:lvlText w:val=""/>
      <w:lvlJc w:val="left"/>
      <w:pPr>
        <w:ind w:left="6480" w:hanging="360"/>
      </w:pPr>
      <w:rPr>
        <w:rFonts w:ascii="Wingdings" w:hAnsi="Wingdings" w:hint="default"/>
      </w:rPr>
    </w:lvl>
  </w:abstractNum>
  <w:num w:numId="1" w16cid:durableId="628434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7748"/>
    <w:rsid w:val="00076A2C"/>
    <w:rsid w:val="000D0D0A"/>
    <w:rsid w:val="00103163"/>
    <w:rsid w:val="00106B19"/>
    <w:rsid w:val="001133EF"/>
    <w:rsid w:val="00115D93"/>
    <w:rsid w:val="001247A8"/>
    <w:rsid w:val="001378C0"/>
    <w:rsid w:val="0017773C"/>
    <w:rsid w:val="0018694A"/>
    <w:rsid w:val="001A3287"/>
    <w:rsid w:val="001A6508"/>
    <w:rsid w:val="001D4C31"/>
    <w:rsid w:val="001E4D21"/>
    <w:rsid w:val="001F21D7"/>
    <w:rsid w:val="00207CD1"/>
    <w:rsid w:val="00226657"/>
    <w:rsid w:val="00243257"/>
    <w:rsid w:val="002477A2"/>
    <w:rsid w:val="00263A51"/>
    <w:rsid w:val="00267E02"/>
    <w:rsid w:val="00293B5E"/>
    <w:rsid w:val="002A5D44"/>
    <w:rsid w:val="002E0BC4"/>
    <w:rsid w:val="002F1B76"/>
    <w:rsid w:val="0030117B"/>
    <w:rsid w:val="0033568E"/>
    <w:rsid w:val="00355FF5"/>
    <w:rsid w:val="00361350"/>
    <w:rsid w:val="0038007F"/>
    <w:rsid w:val="003C3FAE"/>
    <w:rsid w:val="004038CB"/>
    <w:rsid w:val="00404DF6"/>
    <w:rsid w:val="0040546F"/>
    <w:rsid w:val="0042404A"/>
    <w:rsid w:val="0044618F"/>
    <w:rsid w:val="0046769A"/>
    <w:rsid w:val="00475FB3"/>
    <w:rsid w:val="004C37A9"/>
    <w:rsid w:val="004D1D50"/>
    <w:rsid w:val="004E7E11"/>
    <w:rsid w:val="004F259E"/>
    <w:rsid w:val="00511F1D"/>
    <w:rsid w:val="00520F36"/>
    <w:rsid w:val="00534E13"/>
    <w:rsid w:val="00540615"/>
    <w:rsid w:val="00540A6D"/>
    <w:rsid w:val="00541F29"/>
    <w:rsid w:val="00566679"/>
    <w:rsid w:val="00571EEA"/>
    <w:rsid w:val="00575417"/>
    <w:rsid w:val="005768E1"/>
    <w:rsid w:val="005A540F"/>
    <w:rsid w:val="005B1938"/>
    <w:rsid w:val="005C3890"/>
    <w:rsid w:val="005D7060"/>
    <w:rsid w:val="005F7BFE"/>
    <w:rsid w:val="00600017"/>
    <w:rsid w:val="006235CA"/>
    <w:rsid w:val="006643AB"/>
    <w:rsid w:val="006A11AE"/>
    <w:rsid w:val="006D554F"/>
    <w:rsid w:val="006F0A53"/>
    <w:rsid w:val="007210CD"/>
    <w:rsid w:val="00732045"/>
    <w:rsid w:val="0073275D"/>
    <w:rsid w:val="007369DB"/>
    <w:rsid w:val="00743B7B"/>
    <w:rsid w:val="00761D0D"/>
    <w:rsid w:val="00774A5E"/>
    <w:rsid w:val="007956C2"/>
    <w:rsid w:val="007A070A"/>
    <w:rsid w:val="007A187E"/>
    <w:rsid w:val="007C72C2"/>
    <w:rsid w:val="007D4436"/>
    <w:rsid w:val="007F257A"/>
    <w:rsid w:val="007F3665"/>
    <w:rsid w:val="00800037"/>
    <w:rsid w:val="0082299A"/>
    <w:rsid w:val="0083391C"/>
    <w:rsid w:val="0085097D"/>
    <w:rsid w:val="00861D73"/>
    <w:rsid w:val="0086475F"/>
    <w:rsid w:val="00885B6A"/>
    <w:rsid w:val="00897553"/>
    <w:rsid w:val="008A4E87"/>
    <w:rsid w:val="008A5408"/>
    <w:rsid w:val="008D76E6"/>
    <w:rsid w:val="0092392D"/>
    <w:rsid w:val="0093234A"/>
    <w:rsid w:val="00944B1F"/>
    <w:rsid w:val="00945241"/>
    <w:rsid w:val="00956A78"/>
    <w:rsid w:val="0097363B"/>
    <w:rsid w:val="00973F53"/>
    <w:rsid w:val="00997D22"/>
    <w:rsid w:val="009A6BAA"/>
    <w:rsid w:val="009B6E90"/>
    <w:rsid w:val="009C307F"/>
    <w:rsid w:val="009C353C"/>
    <w:rsid w:val="00A00245"/>
    <w:rsid w:val="00A17C4A"/>
    <w:rsid w:val="00A2113E"/>
    <w:rsid w:val="00A23A51"/>
    <w:rsid w:val="00A24607"/>
    <w:rsid w:val="00A25CD3"/>
    <w:rsid w:val="00A432DC"/>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A08ED"/>
    <w:rsid w:val="00CF183B"/>
    <w:rsid w:val="00D375CD"/>
    <w:rsid w:val="00D437B0"/>
    <w:rsid w:val="00D553A2"/>
    <w:rsid w:val="00D57125"/>
    <w:rsid w:val="00D72F49"/>
    <w:rsid w:val="00D774D3"/>
    <w:rsid w:val="00D904E8"/>
    <w:rsid w:val="00DA08C3"/>
    <w:rsid w:val="00DA6D52"/>
    <w:rsid w:val="00DB5A3E"/>
    <w:rsid w:val="00DC22AA"/>
    <w:rsid w:val="00DC415D"/>
    <w:rsid w:val="00DF74DD"/>
    <w:rsid w:val="00E25AD0"/>
    <w:rsid w:val="00E4428F"/>
    <w:rsid w:val="00E93668"/>
    <w:rsid w:val="00E95647"/>
    <w:rsid w:val="00EB6350"/>
    <w:rsid w:val="00ED34BF"/>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4205A"/>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7A070A"/>
    <w:rPr>
      <w:color w:val="605E5C"/>
      <w:shd w:val="clear" w:color="auto" w:fill="E1DFDD"/>
    </w:rPr>
  </w:style>
  <w:style w:type="paragraph" w:customStyle="1" w:styleId="Heading">
    <w:name w:val="Heading_"/>
    <w:basedOn w:val="Normal"/>
    <w:rsid w:val="00D57125"/>
    <w:rPr>
      <w:u w:val="single"/>
    </w:rPr>
  </w:style>
  <w:style w:type="table" w:styleId="ListTable2-Accent1">
    <w:name w:val="List Table 2 Accent 1"/>
    <w:basedOn w:val="TableNormal"/>
    <w:uiPriority w:val="47"/>
    <w:rsid w:val="00743B7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semiHidden/>
    <w:unhideWhenUsed/>
    <w:rsid w:val="005D7060"/>
    <w:rPr>
      <w:sz w:val="16"/>
      <w:szCs w:val="16"/>
    </w:rPr>
  </w:style>
  <w:style w:type="paragraph" w:styleId="CommentText">
    <w:name w:val="annotation text"/>
    <w:basedOn w:val="Normal"/>
    <w:link w:val="CommentTextChar"/>
    <w:unhideWhenUsed/>
    <w:rsid w:val="005D7060"/>
    <w:rPr>
      <w:sz w:val="20"/>
    </w:rPr>
  </w:style>
  <w:style w:type="character" w:customStyle="1" w:styleId="CommentTextChar">
    <w:name w:val="Comment Text Char"/>
    <w:basedOn w:val="DefaultParagraphFont"/>
    <w:link w:val="CommentText"/>
    <w:rsid w:val="005D7060"/>
    <w:rPr>
      <w:rFonts w:ascii="Calibri" w:hAnsi="Calibri"/>
      <w:lang w:val="fr-FR" w:eastAsia="en-US"/>
    </w:rPr>
  </w:style>
  <w:style w:type="paragraph" w:styleId="CommentSubject">
    <w:name w:val="annotation subject"/>
    <w:basedOn w:val="CommentText"/>
    <w:next w:val="CommentText"/>
    <w:link w:val="CommentSubjectChar"/>
    <w:semiHidden/>
    <w:unhideWhenUsed/>
    <w:rsid w:val="005D7060"/>
    <w:rPr>
      <w:b/>
      <w:bCs/>
    </w:rPr>
  </w:style>
  <w:style w:type="character" w:customStyle="1" w:styleId="CommentSubjectChar">
    <w:name w:val="Comment Subject Char"/>
    <w:basedOn w:val="CommentTextChar"/>
    <w:link w:val="CommentSubject"/>
    <w:semiHidden/>
    <w:rsid w:val="005D7060"/>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98-F.pdf" TargetMode="External"/><Relationship Id="rId13" Type="http://schemas.openxmlformats.org/officeDocument/2006/relationships/hyperlink" Target="https://aiforgood.itu.int/event/replay-the-impact-of-ai-on-youth-opportunities-and-challenges/"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tu.int/md/S24-CL-C-0019/fr" TargetMode="External"/><Relationship Id="rId12" Type="http://schemas.openxmlformats.org/officeDocument/2006/relationships/hyperlink" Target="https://mailchi.mp/aiforgood/join-the-global-dialogue-on-ai-and-youth-take-the-surve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iforgood.itu.int/event/how-chatgpt-will-change-the-classroom-teachers-and-students-discus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S24-CL-C-0032/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fr/action/youth/Pages/YPP.aspx"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1981</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13615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French</cp:lastModifiedBy>
  <cp:revision>3</cp:revision>
  <cp:lastPrinted>2000-07-18T08:55:00Z</cp:lastPrinted>
  <dcterms:created xsi:type="dcterms:W3CDTF">2024-05-10T13:35:00Z</dcterms:created>
  <dcterms:modified xsi:type="dcterms:W3CDTF">2024-05-10T13:36:00Z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