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106DA6" w14:paraId="2592CC74" w14:textId="77777777" w:rsidTr="00D72F49">
        <w:trPr>
          <w:cantSplit/>
          <w:trHeight w:val="23"/>
        </w:trPr>
        <w:tc>
          <w:tcPr>
            <w:tcW w:w="3969" w:type="dxa"/>
            <w:vMerge w:val="restart"/>
            <w:tcMar>
              <w:left w:w="0" w:type="dxa"/>
            </w:tcMar>
          </w:tcPr>
          <w:p w14:paraId="27E56DEB" w14:textId="5790E47C" w:rsidR="00D72F49" w:rsidRPr="00106DA6" w:rsidRDefault="00D72F49" w:rsidP="00D72F49">
            <w:pPr>
              <w:tabs>
                <w:tab w:val="left" w:pos="851"/>
              </w:tabs>
              <w:spacing w:before="0" w:line="240" w:lineRule="atLeast"/>
              <w:rPr>
                <w:b/>
              </w:rPr>
            </w:pPr>
            <w:bookmarkStart w:id="0" w:name="_Hlk166575707"/>
            <w:bookmarkEnd w:id="0"/>
            <w:r w:rsidRPr="00106DA6">
              <w:rPr>
                <w:b/>
              </w:rPr>
              <w:t>Point de l'ordre du jour:</w:t>
            </w:r>
            <w:r w:rsidR="000B58EC" w:rsidRPr="00106DA6">
              <w:rPr>
                <w:b/>
              </w:rPr>
              <w:t xml:space="preserve"> PL 3</w:t>
            </w:r>
          </w:p>
        </w:tc>
        <w:tc>
          <w:tcPr>
            <w:tcW w:w="5245" w:type="dxa"/>
          </w:tcPr>
          <w:p w14:paraId="27B6A98A" w14:textId="5F2BFACF" w:rsidR="00D72F49" w:rsidRPr="00106DA6" w:rsidRDefault="00EB5FBE" w:rsidP="00E967E8">
            <w:pPr>
              <w:tabs>
                <w:tab w:val="left" w:pos="851"/>
              </w:tabs>
              <w:spacing w:before="0" w:line="240" w:lineRule="atLeast"/>
              <w:jc w:val="right"/>
              <w:rPr>
                <w:b/>
              </w:rPr>
            </w:pPr>
            <w:r>
              <w:rPr>
                <w:b/>
              </w:rPr>
              <w:t>Révision 1 du</w:t>
            </w:r>
            <w:r w:rsidR="00E967E8">
              <w:rPr>
                <w:b/>
              </w:rPr>
              <w:br/>
            </w:r>
            <w:r w:rsidR="00D72F49" w:rsidRPr="00106DA6">
              <w:rPr>
                <w:b/>
              </w:rPr>
              <w:t>Document C2</w:t>
            </w:r>
            <w:r w:rsidR="0073275D" w:rsidRPr="00106DA6">
              <w:rPr>
                <w:b/>
              </w:rPr>
              <w:t>4</w:t>
            </w:r>
            <w:r w:rsidR="00D72F49" w:rsidRPr="00106DA6">
              <w:rPr>
                <w:b/>
              </w:rPr>
              <w:t>/</w:t>
            </w:r>
            <w:r w:rsidR="000B58EC" w:rsidRPr="00106DA6">
              <w:rPr>
                <w:b/>
              </w:rPr>
              <w:t>30</w:t>
            </w:r>
            <w:r w:rsidR="00D72F49" w:rsidRPr="00106DA6">
              <w:rPr>
                <w:b/>
              </w:rPr>
              <w:t>-F</w:t>
            </w:r>
          </w:p>
        </w:tc>
      </w:tr>
      <w:tr w:rsidR="00D72F49" w:rsidRPr="00106DA6" w14:paraId="41096C77" w14:textId="77777777" w:rsidTr="00D72F49">
        <w:trPr>
          <w:cantSplit/>
        </w:trPr>
        <w:tc>
          <w:tcPr>
            <w:tcW w:w="3969" w:type="dxa"/>
            <w:vMerge/>
          </w:tcPr>
          <w:p w14:paraId="0BBA5643" w14:textId="77777777" w:rsidR="00D72F49" w:rsidRPr="00106DA6" w:rsidRDefault="00D72F49" w:rsidP="00D72F49">
            <w:pPr>
              <w:tabs>
                <w:tab w:val="left" w:pos="851"/>
              </w:tabs>
              <w:spacing w:line="240" w:lineRule="atLeast"/>
              <w:rPr>
                <w:b/>
              </w:rPr>
            </w:pPr>
          </w:p>
        </w:tc>
        <w:tc>
          <w:tcPr>
            <w:tcW w:w="5245" w:type="dxa"/>
          </w:tcPr>
          <w:p w14:paraId="068BECD5" w14:textId="3D4CA768" w:rsidR="00D72F49" w:rsidRPr="00106DA6" w:rsidRDefault="00EB5FBE" w:rsidP="00D72F49">
            <w:pPr>
              <w:tabs>
                <w:tab w:val="left" w:pos="851"/>
              </w:tabs>
              <w:spacing w:before="0"/>
              <w:jc w:val="right"/>
              <w:rPr>
                <w:b/>
              </w:rPr>
            </w:pPr>
            <w:r>
              <w:rPr>
                <w:b/>
              </w:rPr>
              <w:t>24</w:t>
            </w:r>
            <w:r w:rsidRPr="00106DA6">
              <w:rPr>
                <w:b/>
              </w:rPr>
              <w:t xml:space="preserve"> </w:t>
            </w:r>
            <w:r w:rsidR="000B58EC" w:rsidRPr="00106DA6">
              <w:rPr>
                <w:b/>
              </w:rPr>
              <w:t>mai</w:t>
            </w:r>
            <w:r w:rsidR="00D72F49" w:rsidRPr="00106DA6">
              <w:rPr>
                <w:b/>
              </w:rPr>
              <w:t xml:space="preserve"> 202</w:t>
            </w:r>
            <w:r w:rsidR="0073275D" w:rsidRPr="00106DA6">
              <w:rPr>
                <w:b/>
              </w:rPr>
              <w:t>4</w:t>
            </w:r>
          </w:p>
        </w:tc>
      </w:tr>
      <w:tr w:rsidR="00D72F49" w:rsidRPr="00106DA6" w14:paraId="17E5B988" w14:textId="77777777" w:rsidTr="00D72F49">
        <w:trPr>
          <w:cantSplit/>
          <w:trHeight w:val="23"/>
        </w:trPr>
        <w:tc>
          <w:tcPr>
            <w:tcW w:w="3969" w:type="dxa"/>
            <w:vMerge/>
          </w:tcPr>
          <w:p w14:paraId="2192D6D7" w14:textId="77777777" w:rsidR="00D72F49" w:rsidRPr="00106DA6" w:rsidRDefault="00D72F49" w:rsidP="00D72F49">
            <w:pPr>
              <w:tabs>
                <w:tab w:val="left" w:pos="851"/>
              </w:tabs>
              <w:spacing w:line="240" w:lineRule="atLeast"/>
              <w:rPr>
                <w:b/>
              </w:rPr>
            </w:pPr>
          </w:p>
        </w:tc>
        <w:tc>
          <w:tcPr>
            <w:tcW w:w="5245" w:type="dxa"/>
          </w:tcPr>
          <w:p w14:paraId="1948C622" w14:textId="77777777" w:rsidR="00D72F49" w:rsidRPr="00106DA6" w:rsidRDefault="00D72F49" w:rsidP="00D72F49">
            <w:pPr>
              <w:tabs>
                <w:tab w:val="left" w:pos="851"/>
              </w:tabs>
              <w:spacing w:before="0" w:line="240" w:lineRule="atLeast"/>
              <w:jc w:val="right"/>
              <w:rPr>
                <w:b/>
              </w:rPr>
            </w:pPr>
            <w:r w:rsidRPr="00106DA6">
              <w:rPr>
                <w:b/>
              </w:rPr>
              <w:t>Original: anglais</w:t>
            </w:r>
          </w:p>
        </w:tc>
      </w:tr>
      <w:tr w:rsidR="00D72F49" w:rsidRPr="00106DA6" w14:paraId="53623BEE" w14:textId="77777777" w:rsidTr="00D72F49">
        <w:trPr>
          <w:cantSplit/>
          <w:trHeight w:val="23"/>
        </w:trPr>
        <w:tc>
          <w:tcPr>
            <w:tcW w:w="3969" w:type="dxa"/>
          </w:tcPr>
          <w:p w14:paraId="630B4C34" w14:textId="77777777" w:rsidR="00D72F49" w:rsidRPr="00106DA6" w:rsidRDefault="00D72F49" w:rsidP="00D72F49">
            <w:pPr>
              <w:tabs>
                <w:tab w:val="left" w:pos="851"/>
              </w:tabs>
              <w:spacing w:line="240" w:lineRule="atLeast"/>
              <w:rPr>
                <w:b/>
              </w:rPr>
            </w:pPr>
          </w:p>
        </w:tc>
        <w:tc>
          <w:tcPr>
            <w:tcW w:w="5245" w:type="dxa"/>
          </w:tcPr>
          <w:p w14:paraId="437750C4" w14:textId="77777777" w:rsidR="00D72F49" w:rsidRPr="00106DA6" w:rsidRDefault="00D72F49" w:rsidP="00D72F49">
            <w:pPr>
              <w:tabs>
                <w:tab w:val="left" w:pos="851"/>
              </w:tabs>
              <w:spacing w:before="0" w:line="240" w:lineRule="atLeast"/>
              <w:jc w:val="right"/>
              <w:rPr>
                <w:b/>
              </w:rPr>
            </w:pPr>
          </w:p>
        </w:tc>
      </w:tr>
      <w:tr w:rsidR="00D72F49" w:rsidRPr="00106DA6" w14:paraId="31FFA2A5" w14:textId="77777777" w:rsidTr="00D72F49">
        <w:trPr>
          <w:cantSplit/>
        </w:trPr>
        <w:tc>
          <w:tcPr>
            <w:tcW w:w="9214" w:type="dxa"/>
            <w:gridSpan w:val="2"/>
            <w:tcMar>
              <w:left w:w="0" w:type="dxa"/>
            </w:tcMar>
          </w:tcPr>
          <w:p w14:paraId="7AA1F34C" w14:textId="3E7729BE" w:rsidR="00D72F49" w:rsidRPr="00106DA6" w:rsidRDefault="00D72F49" w:rsidP="00D90FD3">
            <w:pPr>
              <w:pStyle w:val="Source"/>
              <w:spacing w:before="120"/>
              <w:jc w:val="left"/>
              <w:rPr>
                <w:sz w:val="34"/>
                <w:szCs w:val="34"/>
              </w:rPr>
            </w:pPr>
            <w:r w:rsidRPr="00106DA6">
              <w:rPr>
                <w:rFonts w:cstheme="minorHAnsi"/>
                <w:color w:val="000000"/>
                <w:sz w:val="34"/>
                <w:szCs w:val="34"/>
              </w:rPr>
              <w:t xml:space="preserve">Rapport </w:t>
            </w:r>
            <w:r w:rsidR="00E95647" w:rsidRPr="00106DA6">
              <w:rPr>
                <w:rFonts w:cstheme="minorHAnsi"/>
                <w:color w:val="000000"/>
                <w:sz w:val="34"/>
                <w:szCs w:val="34"/>
              </w:rPr>
              <w:t xml:space="preserve">de la </w:t>
            </w:r>
            <w:r w:rsidRPr="00106DA6">
              <w:rPr>
                <w:rFonts w:cstheme="minorHAnsi"/>
                <w:color w:val="000000"/>
                <w:sz w:val="34"/>
                <w:szCs w:val="34"/>
              </w:rPr>
              <w:t>Secrétaire général</w:t>
            </w:r>
            <w:r w:rsidR="00E95647" w:rsidRPr="00106DA6">
              <w:rPr>
                <w:rFonts w:cstheme="minorHAnsi"/>
                <w:color w:val="000000"/>
                <w:sz w:val="34"/>
                <w:szCs w:val="34"/>
              </w:rPr>
              <w:t>e</w:t>
            </w:r>
          </w:p>
        </w:tc>
      </w:tr>
      <w:tr w:rsidR="00D72F49" w:rsidRPr="00106DA6" w14:paraId="65E7E3D8" w14:textId="77777777" w:rsidTr="00E967E8">
        <w:trPr>
          <w:cantSplit/>
        </w:trPr>
        <w:tc>
          <w:tcPr>
            <w:tcW w:w="9214" w:type="dxa"/>
            <w:gridSpan w:val="2"/>
            <w:tcBorders>
              <w:bottom w:val="single" w:sz="4" w:space="0" w:color="auto"/>
            </w:tcBorders>
            <w:tcMar>
              <w:left w:w="0" w:type="dxa"/>
            </w:tcMar>
          </w:tcPr>
          <w:p w14:paraId="370F6D7B" w14:textId="70B065D0" w:rsidR="00D72F49" w:rsidRPr="00D90FD3" w:rsidRDefault="000B58EC" w:rsidP="00D72F49">
            <w:pPr>
              <w:pStyle w:val="Subtitle"/>
              <w:framePr w:hSpace="0" w:wrap="auto" w:hAnchor="text" w:xAlign="left" w:yAlign="inline"/>
              <w:rPr>
                <w:sz w:val="32"/>
                <w:szCs w:val="32"/>
                <w:lang w:val="fr-FR"/>
              </w:rPr>
            </w:pPr>
            <w:r w:rsidRPr="00D90FD3">
              <w:rPr>
                <w:rFonts w:cstheme="minorHAnsi"/>
                <w:sz w:val="32"/>
                <w:szCs w:val="32"/>
                <w:lang w:val="fr-FR"/>
              </w:rPr>
              <w:t>PRÉPARATION DE LA CONFÉRENCE MONDIALE DE DÉVELOPPEMENT DES TÉLÉCOMMUNICATIONS</w:t>
            </w:r>
            <w:r w:rsidR="00D90FD3" w:rsidRPr="00D90FD3">
              <w:rPr>
                <w:rFonts w:cstheme="minorHAnsi"/>
                <w:sz w:val="32"/>
                <w:szCs w:val="32"/>
                <w:lang w:val="fr-FR"/>
              </w:rPr>
              <w:t xml:space="preserve"> </w:t>
            </w:r>
            <w:r w:rsidRPr="00D90FD3">
              <w:rPr>
                <w:rFonts w:cstheme="minorHAnsi"/>
                <w:sz w:val="32"/>
                <w:szCs w:val="32"/>
                <w:lang w:val="fr-FR"/>
              </w:rPr>
              <w:t>DE 2025 (CMDT</w:t>
            </w:r>
            <w:r w:rsidRPr="00D90FD3">
              <w:rPr>
                <w:rFonts w:cstheme="minorHAnsi"/>
                <w:sz w:val="32"/>
                <w:szCs w:val="32"/>
                <w:lang w:val="fr-FR"/>
              </w:rPr>
              <w:noBreakHyphen/>
              <w:t>25)</w:t>
            </w:r>
          </w:p>
        </w:tc>
      </w:tr>
      <w:tr w:rsidR="00D72F49" w:rsidRPr="00106DA6" w14:paraId="2C09D976" w14:textId="77777777" w:rsidTr="00E967E8">
        <w:trPr>
          <w:cantSplit/>
        </w:trPr>
        <w:tc>
          <w:tcPr>
            <w:tcW w:w="9214" w:type="dxa"/>
            <w:gridSpan w:val="2"/>
            <w:tcBorders>
              <w:top w:val="single" w:sz="4" w:space="0" w:color="auto"/>
              <w:bottom w:val="single" w:sz="4" w:space="0" w:color="auto"/>
            </w:tcBorders>
            <w:tcMar>
              <w:left w:w="0" w:type="dxa"/>
            </w:tcMar>
          </w:tcPr>
          <w:p w14:paraId="0C1CBF59" w14:textId="4F1930CB" w:rsidR="00D72F49" w:rsidRPr="00106DA6" w:rsidRDefault="00F37FE5" w:rsidP="00D72F49">
            <w:pPr>
              <w:spacing w:before="160"/>
              <w:rPr>
                <w:b/>
                <w:bCs/>
                <w:sz w:val="26"/>
                <w:szCs w:val="26"/>
              </w:rPr>
            </w:pPr>
            <w:r w:rsidRPr="00106DA6">
              <w:rPr>
                <w:b/>
                <w:bCs/>
                <w:sz w:val="26"/>
                <w:szCs w:val="26"/>
              </w:rPr>
              <w:t>Objet</w:t>
            </w:r>
          </w:p>
          <w:p w14:paraId="34024F44" w14:textId="1641488D" w:rsidR="000B58EC" w:rsidRPr="00106DA6" w:rsidRDefault="000B58EC" w:rsidP="000B58EC">
            <w:r w:rsidRPr="00106DA6">
              <w:t>Par le présent document, le Conseil est informé de l'invitation adressée par le Ministère du développement numérique et des transports de la République d</w:t>
            </w:r>
            <w:r w:rsidR="00CE08C5" w:rsidRPr="00106DA6">
              <w:t>'</w:t>
            </w:r>
            <w:r w:rsidRPr="00106DA6">
              <w:t>Azerbaïdjan en vue d</w:t>
            </w:r>
            <w:r w:rsidR="00CE08C5" w:rsidRPr="00106DA6">
              <w:t>'</w:t>
            </w:r>
            <w:r w:rsidRPr="00106DA6">
              <w:t>accueillir la Conférence mondiale de développement des télécommunications de 2025 (CMDT</w:t>
            </w:r>
            <w:r w:rsidRPr="00106DA6">
              <w:noBreakHyphen/>
              <w:t>25) à Bakou, du lundi 17 novembre au vendredi 28 novembre 2025. Le présent document contient également l'avant-projet d'ordre du jour.</w:t>
            </w:r>
          </w:p>
          <w:p w14:paraId="45E55FB2" w14:textId="57A7B1DA" w:rsidR="00D72F49" w:rsidRPr="00106DA6" w:rsidRDefault="000B58EC" w:rsidP="000B58EC">
            <w:r w:rsidRPr="00106DA6">
              <w:t>Conformément aux numéros 42 et 212 de la Convention, le Conseil sera invité à déterminer le lieu précis et les dates exactes de la prochaine Conférence mondiale de développement des télécommunications (CMDT) et à approuver le projet d'ordre du jour avec l'accord de la majorité des États Membres.</w:t>
            </w:r>
          </w:p>
          <w:p w14:paraId="0B950982" w14:textId="77777777" w:rsidR="00D72F49" w:rsidRPr="00106DA6" w:rsidRDefault="00D72F49" w:rsidP="00D72F49">
            <w:pPr>
              <w:spacing w:before="160"/>
              <w:rPr>
                <w:b/>
                <w:bCs/>
                <w:sz w:val="26"/>
                <w:szCs w:val="26"/>
              </w:rPr>
            </w:pPr>
            <w:proofErr w:type="gramStart"/>
            <w:r w:rsidRPr="00106DA6">
              <w:rPr>
                <w:b/>
                <w:bCs/>
                <w:sz w:val="26"/>
                <w:szCs w:val="26"/>
              </w:rPr>
              <w:t>Suite à</w:t>
            </w:r>
            <w:proofErr w:type="gramEnd"/>
            <w:r w:rsidRPr="00106DA6">
              <w:rPr>
                <w:b/>
                <w:bCs/>
                <w:sz w:val="26"/>
                <w:szCs w:val="26"/>
              </w:rPr>
              <w:t xml:space="preserve"> donner par le Conseil</w:t>
            </w:r>
          </w:p>
          <w:p w14:paraId="755C4BE9" w14:textId="77777777" w:rsidR="000B58EC" w:rsidRPr="00106DA6" w:rsidRDefault="000B58EC" w:rsidP="000B58EC">
            <w:r w:rsidRPr="00106DA6">
              <w:t>Le Conseil est invité:</w:t>
            </w:r>
          </w:p>
          <w:p w14:paraId="70D90F52" w14:textId="3B10456A" w:rsidR="000B58EC" w:rsidRPr="00106DA6" w:rsidRDefault="000B58EC" w:rsidP="000B58EC">
            <w:pPr>
              <w:pStyle w:val="enumlev1"/>
            </w:pPr>
            <w:r w:rsidRPr="00106DA6">
              <w:t>•</w:t>
            </w:r>
            <w:r w:rsidRPr="00106DA6">
              <w:tab/>
              <w:t xml:space="preserve">à </w:t>
            </w:r>
            <w:r w:rsidRPr="00106DA6">
              <w:rPr>
                <w:b/>
                <w:bCs/>
              </w:rPr>
              <w:t>décider</w:t>
            </w:r>
            <w:r w:rsidRPr="00106DA6">
              <w:t xml:space="preserve"> du lieu précis et des dates exactes de la CMDT-25 avec l'accord de la majorité des États Membres de l'Union, et à </w:t>
            </w:r>
            <w:r w:rsidRPr="00106DA6">
              <w:rPr>
                <w:b/>
                <w:bCs/>
              </w:rPr>
              <w:t>adopter</w:t>
            </w:r>
            <w:r w:rsidRPr="00106DA6">
              <w:t xml:space="preserve"> le projet de décision reproduit dans l'</w:t>
            </w:r>
            <w:hyperlink w:anchor="Annex2" w:history="1">
              <w:r w:rsidRPr="00977C48">
                <w:rPr>
                  <w:rStyle w:val="Hyperlink"/>
                  <w:b/>
                  <w:bCs/>
                </w:rPr>
                <w:t>Annexe 2</w:t>
              </w:r>
            </w:hyperlink>
            <w:r w:rsidRPr="00106DA6">
              <w:t xml:space="preserve"> du présent document; et</w:t>
            </w:r>
          </w:p>
          <w:p w14:paraId="6F9A6B88" w14:textId="2B6E50BF" w:rsidR="00D72F49" w:rsidRPr="00106DA6" w:rsidRDefault="000B58EC" w:rsidP="000B58EC">
            <w:pPr>
              <w:pStyle w:val="enumlev1"/>
            </w:pPr>
            <w:r w:rsidRPr="00106DA6">
              <w:t>•</w:t>
            </w:r>
            <w:r w:rsidRPr="00106DA6">
              <w:tab/>
              <w:t xml:space="preserve">à </w:t>
            </w:r>
            <w:r w:rsidRPr="00106DA6">
              <w:rPr>
                <w:b/>
                <w:bCs/>
              </w:rPr>
              <w:t>approuver</w:t>
            </w:r>
            <w:r w:rsidRPr="00106DA6">
              <w:t xml:space="preserve"> le projet d'ordre du jour de la CMDT-25 reproduit dans l'</w:t>
            </w:r>
            <w:hyperlink w:anchor="Annex3" w:history="1">
              <w:r w:rsidRPr="00106DA6">
                <w:rPr>
                  <w:rStyle w:val="Hyperlink"/>
                </w:rPr>
                <w:t>Annexe 3</w:t>
              </w:r>
            </w:hyperlink>
            <w:r w:rsidRPr="00106DA6">
              <w:t>, sous réserve de l'accord de la majorité des États Membres de l'Union.</w:t>
            </w:r>
          </w:p>
          <w:p w14:paraId="121C402A" w14:textId="2B93DBFE" w:rsidR="00D72F49" w:rsidRPr="00106DA6" w:rsidRDefault="00D72F49" w:rsidP="00D72F49">
            <w:pPr>
              <w:spacing w:before="160"/>
              <w:rPr>
                <w:b/>
                <w:bCs/>
                <w:sz w:val="26"/>
                <w:szCs w:val="26"/>
              </w:rPr>
            </w:pPr>
            <w:r w:rsidRPr="00106DA6">
              <w:rPr>
                <w:b/>
                <w:bCs/>
                <w:sz w:val="26"/>
                <w:szCs w:val="26"/>
              </w:rPr>
              <w:t xml:space="preserve">Liens pertinents avec le </w:t>
            </w:r>
            <w:r w:rsidR="00F37FE5" w:rsidRPr="00106DA6">
              <w:rPr>
                <w:b/>
                <w:bCs/>
                <w:sz w:val="26"/>
                <w:szCs w:val="26"/>
              </w:rPr>
              <w:t>p</w:t>
            </w:r>
            <w:r w:rsidRPr="00106DA6">
              <w:rPr>
                <w:b/>
                <w:bCs/>
                <w:sz w:val="26"/>
                <w:szCs w:val="26"/>
              </w:rPr>
              <w:t>lan stratégique</w:t>
            </w:r>
          </w:p>
          <w:p w14:paraId="60D63331" w14:textId="32F50297" w:rsidR="00D72F49" w:rsidRPr="00106DA6" w:rsidRDefault="000B58EC" w:rsidP="00D72F49">
            <w:r w:rsidRPr="00106DA6">
              <w:t>Plate-forme fédératrice; travaux reposant sur les contributions des membres.</w:t>
            </w:r>
          </w:p>
          <w:p w14:paraId="11FAADC9" w14:textId="7C711BD1" w:rsidR="00E95647" w:rsidRPr="00106DA6" w:rsidRDefault="00D72F49" w:rsidP="00D72F49">
            <w:pPr>
              <w:spacing w:before="160"/>
              <w:rPr>
                <w:b/>
                <w:bCs/>
                <w:sz w:val="26"/>
                <w:szCs w:val="26"/>
              </w:rPr>
            </w:pPr>
            <w:r w:rsidRPr="00106DA6">
              <w:rPr>
                <w:b/>
                <w:bCs/>
                <w:sz w:val="26"/>
                <w:szCs w:val="26"/>
              </w:rPr>
              <w:t>Incidences financières</w:t>
            </w:r>
          </w:p>
          <w:p w14:paraId="54D2B60B" w14:textId="77777777" w:rsidR="00D72F49" w:rsidRDefault="000B58EC" w:rsidP="00E967E8">
            <w:pPr>
              <w:rPr>
                <w:szCs w:val="24"/>
              </w:rPr>
            </w:pPr>
            <w:r w:rsidRPr="00106DA6">
              <w:rPr>
                <w:szCs w:val="24"/>
              </w:rPr>
              <w:t>À mettre en œuvre dans les limites du budget alloué pour 2024-2025.</w:t>
            </w:r>
          </w:p>
          <w:p w14:paraId="19DACBB5" w14:textId="77777777" w:rsidR="00E967E8" w:rsidRPr="00106DA6" w:rsidRDefault="00E967E8" w:rsidP="00E967E8">
            <w:pPr>
              <w:spacing w:before="0"/>
              <w:rPr>
                <w:caps/>
                <w:sz w:val="22"/>
              </w:rPr>
            </w:pPr>
            <w:r w:rsidRPr="00106DA6">
              <w:rPr>
                <w:sz w:val="22"/>
              </w:rPr>
              <w:t>__________________</w:t>
            </w:r>
          </w:p>
          <w:p w14:paraId="79C5AAE1" w14:textId="77777777" w:rsidR="00E967E8" w:rsidRPr="00106DA6" w:rsidRDefault="00E967E8" w:rsidP="00E967E8">
            <w:pPr>
              <w:spacing w:before="160"/>
              <w:rPr>
                <w:b/>
                <w:bCs/>
                <w:sz w:val="26"/>
                <w:szCs w:val="26"/>
              </w:rPr>
            </w:pPr>
            <w:r w:rsidRPr="00106DA6">
              <w:rPr>
                <w:b/>
                <w:bCs/>
                <w:sz w:val="26"/>
                <w:szCs w:val="26"/>
              </w:rPr>
              <w:t>Références</w:t>
            </w:r>
          </w:p>
          <w:p w14:paraId="3B399B5C" w14:textId="715D35A0" w:rsidR="00E967E8" w:rsidRPr="00E967E8" w:rsidRDefault="00B43B60" w:rsidP="00E967E8">
            <w:pPr>
              <w:spacing w:before="100" w:after="120"/>
              <w:rPr>
                <w:szCs w:val="24"/>
              </w:rPr>
            </w:pPr>
            <w:hyperlink r:id="rId7" w:history="1">
              <w:r w:rsidR="00E967E8" w:rsidRPr="00E967E8">
                <w:rPr>
                  <w:rStyle w:val="Hyperlink"/>
                  <w:i/>
                  <w:iCs/>
                  <w:szCs w:val="24"/>
                </w:rPr>
                <w:t>Numéro 141 de la Constitution</w:t>
              </w:r>
            </w:hyperlink>
            <w:r w:rsidR="00E967E8" w:rsidRPr="00E967E8">
              <w:rPr>
                <w:i/>
                <w:iCs/>
                <w:szCs w:val="24"/>
              </w:rPr>
              <w:t xml:space="preserve"> de l'UIT; </w:t>
            </w:r>
            <w:hyperlink r:id="rId8" w:history="1">
              <w:r w:rsidR="00E967E8" w:rsidRPr="00E967E8">
                <w:rPr>
                  <w:rStyle w:val="Hyperlink"/>
                  <w:i/>
                  <w:iCs/>
                  <w:szCs w:val="24"/>
                </w:rPr>
                <w:t>numéro 42 de la Convention</w:t>
              </w:r>
            </w:hyperlink>
            <w:r w:rsidR="00E967E8" w:rsidRPr="00E967E8">
              <w:rPr>
                <w:i/>
                <w:iCs/>
                <w:szCs w:val="24"/>
              </w:rPr>
              <w:t xml:space="preserve"> de l'UIT; </w:t>
            </w:r>
            <w:hyperlink r:id="rId9" w:history="1">
              <w:r w:rsidR="00E967E8" w:rsidRPr="00E967E8">
                <w:rPr>
                  <w:rStyle w:val="Hyperlink"/>
                  <w:i/>
                  <w:iCs/>
                  <w:szCs w:val="24"/>
                </w:rPr>
                <w:t>Chapitre I des Règles générales régissant les conférences, assemblées et réunions de l'Union</w:t>
              </w:r>
            </w:hyperlink>
            <w:r w:rsidR="00E967E8" w:rsidRPr="00E967E8">
              <w:rPr>
                <w:i/>
                <w:iCs/>
                <w:szCs w:val="24"/>
              </w:rPr>
              <w:t xml:space="preserve">; </w:t>
            </w:r>
            <w:hyperlink r:id="rId10" w:history="1">
              <w:r w:rsidR="00E967E8" w:rsidRPr="00E967E8">
                <w:rPr>
                  <w:rStyle w:val="Hyperlink"/>
                  <w:i/>
                  <w:iCs/>
                  <w:szCs w:val="24"/>
                </w:rPr>
                <w:t>Résolution 77 (Rév. Bucarest, 2022)</w:t>
              </w:r>
            </w:hyperlink>
            <w:r w:rsidR="00E967E8" w:rsidRPr="00E967E8">
              <w:rPr>
                <w:i/>
                <w:iCs/>
                <w:szCs w:val="24"/>
              </w:rPr>
              <w:t xml:space="preserve"> et </w:t>
            </w:r>
            <w:hyperlink r:id="rId11" w:history="1">
              <w:r w:rsidR="00E967E8" w:rsidRPr="00E967E8">
                <w:rPr>
                  <w:rStyle w:val="Hyperlink"/>
                  <w:i/>
                  <w:iCs/>
                  <w:szCs w:val="24"/>
                </w:rPr>
                <w:t>Résolution 111 (Rév. Busan, 2014)</w:t>
              </w:r>
            </w:hyperlink>
            <w:r w:rsidR="00E967E8" w:rsidRPr="00E967E8">
              <w:rPr>
                <w:i/>
                <w:iCs/>
                <w:szCs w:val="24"/>
              </w:rPr>
              <w:t xml:space="preserve"> de la Conférence de </w:t>
            </w:r>
            <w:r w:rsidR="002B48B2">
              <w:rPr>
                <w:i/>
                <w:iCs/>
                <w:szCs w:val="24"/>
              </w:rPr>
              <w:t>p</w:t>
            </w:r>
            <w:r w:rsidR="00E967E8" w:rsidRPr="00E967E8">
              <w:rPr>
                <w:i/>
                <w:iCs/>
                <w:szCs w:val="24"/>
              </w:rPr>
              <w:t>lénipotentiaires; Lettre circulaire </w:t>
            </w:r>
            <w:hyperlink r:id="rId12" w:history="1">
              <w:r w:rsidR="00E967E8" w:rsidRPr="00E967E8">
                <w:rPr>
                  <w:rStyle w:val="Hyperlink"/>
                  <w:i/>
                  <w:iCs/>
                  <w:szCs w:val="24"/>
                </w:rPr>
                <w:t>CL</w:t>
              </w:r>
              <w:r w:rsidR="00E967E8" w:rsidRPr="00E967E8">
                <w:rPr>
                  <w:rStyle w:val="Hyperlink"/>
                  <w:i/>
                  <w:iCs/>
                  <w:szCs w:val="24"/>
                </w:rPr>
                <w:noBreakHyphen/>
                <w:t>23/51</w:t>
              </w:r>
            </w:hyperlink>
          </w:p>
        </w:tc>
      </w:tr>
    </w:tbl>
    <w:p w14:paraId="5842BF9F" w14:textId="327ECC2C" w:rsidR="000B58EC" w:rsidRPr="00106DA6" w:rsidRDefault="000B58EC" w:rsidP="000B58EC">
      <w:pPr>
        <w:pStyle w:val="Heading1"/>
      </w:pPr>
      <w:r w:rsidRPr="00106DA6">
        <w:lastRenderedPageBreak/>
        <w:t>1</w:t>
      </w:r>
      <w:r w:rsidRPr="00106DA6">
        <w:tab/>
        <w:t>Considérations générales</w:t>
      </w:r>
    </w:p>
    <w:p w14:paraId="13BE2270" w14:textId="20175307" w:rsidR="000B58EC" w:rsidRPr="00106DA6" w:rsidRDefault="000B58EC" w:rsidP="000B58EC">
      <w:r w:rsidRPr="00106DA6">
        <w:t>1.1</w:t>
      </w:r>
      <w:r w:rsidRPr="00106DA6">
        <w:tab/>
        <w:t>Le numéro 141 de la Constitution de l'UIT dispose qu'il se tient entre deux conférences de plénipotentiaires une conférence mondiale de développement des télécommunications (CMDT).</w:t>
      </w:r>
    </w:p>
    <w:p w14:paraId="003BD6D8" w14:textId="77777777" w:rsidR="000B58EC" w:rsidRPr="00106DA6" w:rsidRDefault="000B58EC" w:rsidP="000B58EC">
      <w:r w:rsidRPr="00106DA6">
        <w:t>1.2</w:t>
      </w:r>
      <w:r w:rsidRPr="00106DA6">
        <w:tab/>
        <w:t>Par sa Résolution 77 (Rév. Bucarest, 2022), la Conférence de plénipotentiaires a décidé que la CMDT-25 se tiendrait pendant le dernier trimestre de 2025 à Bangkok, en Thaïlande.</w:t>
      </w:r>
    </w:p>
    <w:p w14:paraId="12ADB9C5" w14:textId="53C13E5B" w:rsidR="000B58EC" w:rsidRPr="00106DA6" w:rsidRDefault="000B58EC" w:rsidP="000B58EC">
      <w:r w:rsidRPr="00106DA6">
        <w:t>1.3</w:t>
      </w:r>
      <w:r w:rsidRPr="00106DA6">
        <w:tab/>
        <w:t>Dans la Résolution 111 (Rév. Busan, 2014) de la Conférence de plénipotentiaires, il est demandé à l'Union et à ses États Membres de mettre tout en œuvre, dans la mesure du possible, pour éviter que la période prévue pour une conférence de l'UIT coïncide avec la période de célébration d'une fête religieuse considérée comme importante par un État Membre.</w:t>
      </w:r>
    </w:p>
    <w:p w14:paraId="2DBC6EDF" w14:textId="4938A169" w:rsidR="000B58EC" w:rsidRPr="00106DA6" w:rsidRDefault="000B58EC" w:rsidP="000B58EC">
      <w:r w:rsidRPr="00106DA6">
        <w:t>1.4</w:t>
      </w:r>
      <w:r w:rsidRPr="00106DA6">
        <w:tab/>
        <w:t>Conformément au numéro 42 de la Convention de l'UIT et au Chapitre I des Règles générales régissant les conférences, assemblées et réunions de l'Union, respectivement, en l'absence d'une décision de la Conférence de plénipotentiaires, le lieu précis et les dates exactes d'une CMDT doivent être approuvés par le Conseil avec l'accord de la majorité des États Membres</w:t>
      </w:r>
      <w:r w:rsidR="008B1B7A" w:rsidRPr="00106DA6">
        <w:t>.</w:t>
      </w:r>
    </w:p>
    <w:p w14:paraId="30F61A9D" w14:textId="1FC96AEB" w:rsidR="000B58EC" w:rsidRPr="00106DA6" w:rsidRDefault="000B58EC" w:rsidP="000B58EC">
      <w:r w:rsidRPr="00106DA6">
        <w:t>1.5.</w:t>
      </w:r>
      <w:r w:rsidRPr="00106DA6">
        <w:tab/>
        <w:t xml:space="preserve">Le 7 décembre 2023, la Secrétaire générale a été officiellement informée par le Bureau de la Commission nationale de la radiodiffusion et des télécommunications qu'en raison de circonstances imprévues, la Thaïlande ne serait malheureusement pas en mesure d'accueillir la Conférence. Dans la Lettre circulaire </w:t>
      </w:r>
      <w:hyperlink r:id="rId13" w:history="1">
        <w:r w:rsidRPr="00106DA6">
          <w:rPr>
            <w:rStyle w:val="Hyperlink"/>
          </w:rPr>
          <w:t>CL</w:t>
        </w:r>
        <w:r w:rsidR="008B1B7A" w:rsidRPr="00106DA6">
          <w:rPr>
            <w:rStyle w:val="Hyperlink"/>
          </w:rPr>
          <w:t>-</w:t>
        </w:r>
        <w:r w:rsidRPr="00106DA6">
          <w:rPr>
            <w:rStyle w:val="Hyperlink"/>
          </w:rPr>
          <w:t>23/51</w:t>
        </w:r>
      </w:hyperlink>
      <w:r w:rsidRPr="00106DA6">
        <w:t>, la Secrétaire générale a invité par conséquent les États Membres qui souhaiteraient accueillir la CMDT-25 à le lui faire savoir.</w:t>
      </w:r>
    </w:p>
    <w:p w14:paraId="6C67CE87" w14:textId="15A66CE1" w:rsidR="000B58EC" w:rsidRPr="00106DA6" w:rsidRDefault="000B58EC" w:rsidP="000B58EC">
      <w:r w:rsidRPr="00106DA6">
        <w:t>1.6</w:t>
      </w:r>
      <w:r w:rsidRPr="00106DA6">
        <w:tab/>
        <w:t>Le 15 mars 2024, la Secrétaire générale de l</w:t>
      </w:r>
      <w:r w:rsidR="00CE08C5" w:rsidRPr="00106DA6">
        <w:t>'</w:t>
      </w:r>
      <w:r w:rsidRPr="00106DA6">
        <w:t>UIT a reçu une invitation du Gouvernement de la République d</w:t>
      </w:r>
      <w:r w:rsidR="00CE08C5" w:rsidRPr="00106DA6">
        <w:t>'</w:t>
      </w:r>
      <w:r w:rsidRPr="00106DA6">
        <w:t>Azerbaïdjan. À la suite d'échanges avec le Directeur du BDT, le Ministre du développement numérique et des transports a confirmé, dans une lettre datée du 3 avril 2024, son intention d</w:t>
      </w:r>
      <w:r w:rsidR="00CE08C5" w:rsidRPr="00106DA6">
        <w:t>'</w:t>
      </w:r>
      <w:r w:rsidRPr="00106DA6">
        <w:t xml:space="preserve">accueillir la </w:t>
      </w:r>
      <w:r w:rsidR="008B1B7A" w:rsidRPr="00106DA6">
        <w:t>C</w:t>
      </w:r>
      <w:r w:rsidRPr="00106DA6">
        <w:t>onférence à Bakou, fin</w:t>
      </w:r>
      <w:r w:rsidR="008B1B7A" w:rsidRPr="00106DA6">
        <w:t> </w:t>
      </w:r>
      <w:r w:rsidRPr="00106DA6">
        <w:t>novembre 2025. Dans une lettre de suivi datée du 26 avril 2024, il a été proposé que la Conférence soit tenue du 17 au 28 novembre 2025 (voir l</w:t>
      </w:r>
      <w:r w:rsidR="00CE08C5" w:rsidRPr="00106DA6">
        <w:t>'</w:t>
      </w:r>
      <w:hyperlink w:anchor="Annex1" w:history="1">
        <w:r w:rsidRPr="00106DA6">
          <w:rPr>
            <w:rStyle w:val="Hyperlink"/>
          </w:rPr>
          <w:t>Annexe 1</w:t>
        </w:r>
      </w:hyperlink>
      <w:r w:rsidRPr="00106DA6">
        <w:t>).</w:t>
      </w:r>
    </w:p>
    <w:p w14:paraId="656AF48C" w14:textId="0A3DAF9B" w:rsidR="000B58EC" w:rsidRPr="00106DA6" w:rsidRDefault="000B58EC" w:rsidP="000B58EC">
      <w:r w:rsidRPr="00106DA6">
        <w:t>1.</w:t>
      </w:r>
      <w:r w:rsidR="00CF2836" w:rsidRPr="00106DA6">
        <w:t>7</w:t>
      </w:r>
      <w:r w:rsidRPr="00106DA6">
        <w:tab/>
        <w:t>L</w:t>
      </w:r>
      <w:r w:rsidR="00CE08C5" w:rsidRPr="00106DA6">
        <w:t>'</w:t>
      </w:r>
      <w:hyperlink w:anchor="Annex3" w:history="1">
        <w:r w:rsidRPr="00106DA6">
          <w:rPr>
            <w:rStyle w:val="Hyperlink"/>
          </w:rPr>
          <w:t>Annexe 3</w:t>
        </w:r>
      </w:hyperlink>
      <w:r w:rsidRPr="00106DA6">
        <w:t xml:space="preserve"> contient le projet d</w:t>
      </w:r>
      <w:r w:rsidR="00CE08C5" w:rsidRPr="00106DA6">
        <w:t>'</w:t>
      </w:r>
      <w:r w:rsidRPr="00106DA6">
        <w:t>ordre du jour de la CMDT-25 soumis pour approbation au Conseil, sous réserve de l</w:t>
      </w:r>
      <w:r w:rsidR="00CE08C5" w:rsidRPr="00106DA6">
        <w:t>'</w:t>
      </w:r>
      <w:r w:rsidRPr="00106DA6">
        <w:t>accord de la majorité des États Membres de l</w:t>
      </w:r>
      <w:r w:rsidR="00CE08C5" w:rsidRPr="00106DA6">
        <w:t>'</w:t>
      </w:r>
      <w:r w:rsidRPr="00106DA6">
        <w:t>Union.</w:t>
      </w:r>
    </w:p>
    <w:p w14:paraId="53348117" w14:textId="74CD70BF" w:rsidR="000B58EC" w:rsidRPr="00106DA6" w:rsidRDefault="000B58EC" w:rsidP="000B58EC">
      <w:r w:rsidRPr="00106DA6">
        <w:t>1.</w:t>
      </w:r>
      <w:r w:rsidR="00CF2836" w:rsidRPr="00106DA6">
        <w:t>8</w:t>
      </w:r>
      <w:r w:rsidRPr="00106DA6">
        <w:tab/>
        <w:t>Le projet d</w:t>
      </w:r>
      <w:r w:rsidR="00CE08C5" w:rsidRPr="00106DA6">
        <w:t>'</w:t>
      </w:r>
      <w:r w:rsidRPr="00106DA6">
        <w:t>ordre du jour est soumis au Groupe consultatif pour le développement des télécommunications (GCDT) (20-23 mai 2024) pour examen et approbation. Une version révisée pourrait être soumise au Conseil après la réunion du GCDT.</w:t>
      </w:r>
    </w:p>
    <w:p w14:paraId="49A0BBAE" w14:textId="62AD6999" w:rsidR="006A11AE" w:rsidRPr="00106DA6" w:rsidRDefault="000B58EC" w:rsidP="000B58EC">
      <w:pPr>
        <w:pStyle w:val="Heading1"/>
      </w:pPr>
      <w:r w:rsidRPr="00106DA6">
        <w:t>2</w:t>
      </w:r>
      <w:r w:rsidRPr="00106DA6">
        <w:tab/>
        <w:t>Proposition</w:t>
      </w:r>
    </w:p>
    <w:p w14:paraId="1B4D4C98" w14:textId="77777777" w:rsidR="000B58EC" w:rsidRPr="00106DA6" w:rsidRDefault="000B58EC" w:rsidP="000B58EC">
      <w:r w:rsidRPr="00106DA6">
        <w:t>2.1</w:t>
      </w:r>
      <w:r w:rsidRPr="00106DA6">
        <w:tab/>
        <w:t>Le Conseil est invité:</w:t>
      </w:r>
    </w:p>
    <w:p w14:paraId="7F803111" w14:textId="26A5C411" w:rsidR="000B58EC" w:rsidRPr="00106DA6" w:rsidRDefault="000B58EC" w:rsidP="000B58EC">
      <w:pPr>
        <w:pStyle w:val="enumlev1"/>
      </w:pPr>
      <w:r w:rsidRPr="00106DA6">
        <w:t>•</w:t>
      </w:r>
      <w:r w:rsidRPr="00106DA6">
        <w:tab/>
        <w:t xml:space="preserve">à </w:t>
      </w:r>
      <w:r w:rsidRPr="00106DA6">
        <w:rPr>
          <w:b/>
          <w:bCs/>
        </w:rPr>
        <w:t>examiner</w:t>
      </w:r>
      <w:r w:rsidRPr="00106DA6">
        <w:t xml:space="preserve"> l</w:t>
      </w:r>
      <w:r w:rsidR="00CE08C5" w:rsidRPr="00106DA6">
        <w:t>'</w:t>
      </w:r>
      <w:r w:rsidRPr="00106DA6">
        <w:t>invitation de la République d</w:t>
      </w:r>
      <w:r w:rsidR="00CE08C5" w:rsidRPr="00106DA6">
        <w:t>'</w:t>
      </w:r>
      <w:r w:rsidRPr="00106DA6">
        <w:t xml:space="preserve">Azerbaïdjan à tenir la CMDT-25 à Bakou (Azerbaïdjan) du 17 au 28 novembre 2025 et à </w:t>
      </w:r>
      <w:r w:rsidRPr="00106DA6">
        <w:rPr>
          <w:b/>
          <w:bCs/>
        </w:rPr>
        <w:t>adopter</w:t>
      </w:r>
      <w:r w:rsidRPr="00106DA6">
        <w:t xml:space="preserve"> le projet de Décision reproduit dans l</w:t>
      </w:r>
      <w:r w:rsidR="00CE08C5" w:rsidRPr="00106DA6">
        <w:t>'</w:t>
      </w:r>
      <w:hyperlink w:anchor="Annex2" w:history="1">
        <w:r w:rsidRPr="00106DA6">
          <w:rPr>
            <w:rStyle w:val="Hyperlink"/>
          </w:rPr>
          <w:t>Annexe 2</w:t>
        </w:r>
      </w:hyperlink>
      <w:r w:rsidRPr="00106DA6">
        <w:t>; et</w:t>
      </w:r>
    </w:p>
    <w:p w14:paraId="73E74ECF" w14:textId="7B7EE782" w:rsidR="000B58EC" w:rsidRPr="00106DA6" w:rsidRDefault="000B58EC" w:rsidP="000B58EC">
      <w:pPr>
        <w:pStyle w:val="enumlev1"/>
      </w:pPr>
      <w:r w:rsidRPr="00106DA6">
        <w:t>•</w:t>
      </w:r>
      <w:r w:rsidRPr="00106DA6">
        <w:tab/>
        <w:t xml:space="preserve">à </w:t>
      </w:r>
      <w:r w:rsidRPr="00106DA6">
        <w:rPr>
          <w:b/>
          <w:bCs/>
        </w:rPr>
        <w:t>approuver</w:t>
      </w:r>
      <w:r w:rsidRPr="00106DA6">
        <w:t xml:space="preserve"> le projet d'ordre du jour de la CMDT-25 reproduit dans l'</w:t>
      </w:r>
      <w:hyperlink w:anchor="Annex3" w:history="1">
        <w:r w:rsidRPr="00106DA6">
          <w:rPr>
            <w:rStyle w:val="Hyperlink"/>
          </w:rPr>
          <w:t>Annexe 3</w:t>
        </w:r>
      </w:hyperlink>
      <w:r w:rsidRPr="00106DA6">
        <w:t>.</w:t>
      </w:r>
    </w:p>
    <w:p w14:paraId="0BC7624C" w14:textId="1812B94F" w:rsidR="000B58EC" w:rsidRPr="00106DA6" w:rsidRDefault="000B58EC" w:rsidP="000B58EC">
      <w:r w:rsidRPr="00106DA6">
        <w:t>2.2</w:t>
      </w:r>
      <w:r w:rsidRPr="00106DA6">
        <w:tab/>
        <w:t>Les États Membres de l'UIT seront ensuite consultés en vue d'obtenir leur accord au sujet du lieu précis, des dates exactes et du projet d'ordre du jour, conformément aux numéros 42, 79 et 212 de la Convention de l'UIT.</w:t>
      </w:r>
    </w:p>
    <w:p w14:paraId="31B90EAA" w14:textId="58209261" w:rsidR="000B58EC" w:rsidRPr="00106DA6" w:rsidRDefault="000B58EC" w:rsidP="000B58EC">
      <w:r w:rsidRPr="00106DA6">
        <w:lastRenderedPageBreak/>
        <w:t>2.3</w:t>
      </w:r>
      <w:r w:rsidRPr="00106DA6">
        <w:tab/>
        <w:t xml:space="preserve">Le </w:t>
      </w:r>
      <w:r w:rsidR="008B1B7A" w:rsidRPr="00106DA6">
        <w:t>S</w:t>
      </w:r>
      <w:r w:rsidRPr="00106DA6">
        <w:t>ecrétariat entreprendra une mission à Bakou afin d'évaluer divers sites pour la tenue de la Conférence et fera rapport au Conseil à sa prochaine session.</w:t>
      </w:r>
    </w:p>
    <w:p w14:paraId="3E0F62FC" w14:textId="77777777" w:rsidR="000B58EC" w:rsidRPr="00106DA6" w:rsidRDefault="000B58EC" w:rsidP="00D90FD3">
      <w:pPr>
        <w:spacing w:before="2040"/>
        <w:sectPr w:rsidR="000B58EC" w:rsidRPr="00106DA6" w:rsidSect="00D72F49">
          <w:headerReference w:type="even" r:id="rId14"/>
          <w:footerReference w:type="even" r:id="rId15"/>
          <w:footerReference w:type="default" r:id="rId16"/>
          <w:headerReference w:type="first" r:id="rId17"/>
          <w:footerReference w:type="first" r:id="rId18"/>
          <w:pgSz w:w="11907" w:h="16840" w:code="9"/>
          <w:pgMar w:top="1418" w:right="1418" w:bottom="1418" w:left="1418" w:header="720" w:footer="720" w:gutter="0"/>
          <w:paperSrc w:first="286" w:other="286"/>
          <w:cols w:space="720"/>
          <w:titlePg/>
        </w:sectPr>
      </w:pPr>
      <w:r w:rsidRPr="00106DA6">
        <w:rPr>
          <w:b/>
          <w:bCs/>
          <w:i/>
          <w:iCs/>
        </w:rPr>
        <w:t>Annexes</w:t>
      </w:r>
      <w:r w:rsidRPr="00106DA6">
        <w:rPr>
          <w:i/>
          <w:iCs/>
        </w:rPr>
        <w:t>:</w:t>
      </w:r>
      <w:r w:rsidRPr="00106DA6">
        <w:tab/>
      </w:r>
      <w:r w:rsidRPr="00106DA6">
        <w:rPr>
          <w:i/>
          <w:iCs/>
        </w:rPr>
        <w:t>3</w:t>
      </w:r>
    </w:p>
    <w:p w14:paraId="612B36FA" w14:textId="6A8ED2BF" w:rsidR="001532B6" w:rsidRPr="00106DA6" w:rsidRDefault="001532B6" w:rsidP="00851C13">
      <w:pPr>
        <w:pStyle w:val="AnnexNo"/>
        <w:spacing w:before="360" w:after="360"/>
      </w:pPr>
      <w:bookmarkStart w:id="1" w:name="Annex1"/>
      <w:r w:rsidRPr="00106DA6">
        <w:lastRenderedPageBreak/>
        <w:t>ANNEXE 1</w:t>
      </w:r>
    </w:p>
    <w:bookmarkEnd w:id="1"/>
    <w:p w14:paraId="460388E5" w14:textId="529750EE" w:rsidR="001532B6" w:rsidRPr="00106DA6" w:rsidRDefault="001532B6" w:rsidP="001532B6">
      <w:pPr>
        <w:jc w:val="center"/>
      </w:pPr>
      <w:r w:rsidRPr="00106DA6">
        <w:rPr>
          <w:noProof/>
          <w:lang w:val="fr-CH" w:eastAsia="fr-CH"/>
        </w:rPr>
        <w:drawing>
          <wp:inline distT="0" distB="0" distL="0" distR="0" wp14:anchorId="12089C3F" wp14:editId="490CF46A">
            <wp:extent cx="5760085" cy="15176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085" cy="1517650"/>
                    </a:xfrm>
                    <a:prstGeom prst="rect">
                      <a:avLst/>
                    </a:prstGeom>
                  </pic:spPr>
                </pic:pic>
              </a:graphicData>
            </a:graphic>
          </wp:inline>
        </w:drawing>
      </w:r>
    </w:p>
    <w:p w14:paraId="485132BF" w14:textId="46C3D0B9" w:rsidR="007E335A" w:rsidRPr="00106DA6" w:rsidRDefault="007E335A" w:rsidP="007E335A">
      <w:pPr>
        <w:tabs>
          <w:tab w:val="clear" w:pos="567"/>
          <w:tab w:val="clear" w:pos="1134"/>
          <w:tab w:val="clear" w:pos="1701"/>
          <w:tab w:val="clear" w:pos="2268"/>
          <w:tab w:val="clear" w:pos="2835"/>
          <w:tab w:val="left" w:pos="6804"/>
        </w:tabs>
        <w:ind w:firstLine="567"/>
        <w:rPr>
          <w:b/>
          <w:bCs/>
          <w:u w:val="single"/>
        </w:rPr>
      </w:pPr>
      <w:r w:rsidRPr="00106DA6">
        <w:rPr>
          <w:b/>
          <w:bCs/>
          <w:u w:val="single"/>
        </w:rPr>
        <w:t>26.04.2024</w:t>
      </w:r>
      <w:r w:rsidRPr="00106DA6">
        <w:rPr>
          <w:b/>
          <w:bCs/>
        </w:rPr>
        <w:tab/>
      </w:r>
      <w:r w:rsidRPr="00106DA6">
        <w:rPr>
          <w:b/>
          <w:bCs/>
          <w:u w:val="single"/>
        </w:rPr>
        <w:t>3-27/2-2991/2024</w:t>
      </w:r>
    </w:p>
    <w:p w14:paraId="6E1495A9" w14:textId="77777777" w:rsidR="007E335A" w:rsidRPr="00106DA6" w:rsidRDefault="007E335A" w:rsidP="007E335A">
      <w:pPr>
        <w:spacing w:before="840"/>
        <w:rPr>
          <w:b/>
          <w:bCs/>
        </w:rPr>
      </w:pPr>
      <w:r w:rsidRPr="00106DA6">
        <w:rPr>
          <w:b/>
          <w:bCs/>
        </w:rPr>
        <w:t>Mme Doreen Bogdan-Martin</w:t>
      </w:r>
    </w:p>
    <w:p w14:paraId="26BE7127" w14:textId="77777777" w:rsidR="007E335A" w:rsidRPr="00106DA6" w:rsidRDefault="007E335A" w:rsidP="007E335A">
      <w:pPr>
        <w:spacing w:before="0"/>
        <w:rPr>
          <w:b/>
          <w:bCs/>
        </w:rPr>
      </w:pPr>
      <w:r w:rsidRPr="00106DA6">
        <w:rPr>
          <w:b/>
          <w:bCs/>
        </w:rPr>
        <w:t>Secrétaire générale</w:t>
      </w:r>
    </w:p>
    <w:p w14:paraId="7307A946" w14:textId="77777777" w:rsidR="007E335A" w:rsidRPr="00106DA6" w:rsidRDefault="007E335A" w:rsidP="007E335A">
      <w:pPr>
        <w:spacing w:before="0"/>
        <w:rPr>
          <w:b/>
          <w:bCs/>
        </w:rPr>
      </w:pPr>
      <w:r w:rsidRPr="00106DA6">
        <w:rPr>
          <w:b/>
          <w:bCs/>
        </w:rPr>
        <w:t>Union internationale des télécommunications</w:t>
      </w:r>
    </w:p>
    <w:p w14:paraId="07F5E6E8" w14:textId="77777777" w:rsidR="007E335A" w:rsidRPr="00106DA6" w:rsidRDefault="007E335A" w:rsidP="007E335A">
      <w:pPr>
        <w:spacing w:before="0"/>
      </w:pPr>
      <w:r w:rsidRPr="00106DA6">
        <w:t>Place des Nations</w:t>
      </w:r>
    </w:p>
    <w:p w14:paraId="7FA80B26" w14:textId="77777777" w:rsidR="007E335A" w:rsidRPr="00106DA6" w:rsidRDefault="007E335A" w:rsidP="007E335A">
      <w:pPr>
        <w:spacing w:before="0"/>
      </w:pPr>
      <w:r w:rsidRPr="00106DA6">
        <w:t>1211 Genève 20, Suisse</w:t>
      </w:r>
    </w:p>
    <w:p w14:paraId="368D1479" w14:textId="63209DD0" w:rsidR="007E335A" w:rsidRPr="00106DA6" w:rsidRDefault="007E335A" w:rsidP="007E335A">
      <w:pPr>
        <w:spacing w:before="0"/>
      </w:pPr>
      <w:r w:rsidRPr="00106DA6">
        <w:t>Tél.: +41 22 730 5111</w:t>
      </w:r>
    </w:p>
    <w:p w14:paraId="5D5736CE" w14:textId="77777777" w:rsidR="007E335A" w:rsidRPr="00106DA6" w:rsidRDefault="007E335A" w:rsidP="007E335A">
      <w:pPr>
        <w:spacing w:before="480"/>
      </w:pPr>
      <w:r w:rsidRPr="00106DA6">
        <w:t>Madame la Secrétaire générale,</w:t>
      </w:r>
    </w:p>
    <w:p w14:paraId="75DE564C" w14:textId="77A0C16A" w:rsidR="007E335A" w:rsidRPr="00106DA6" w:rsidRDefault="007E335A" w:rsidP="007E335A">
      <w:r w:rsidRPr="00106DA6">
        <w:t>Au nom du Ministère du développement numérique et des transports de la République</w:t>
      </w:r>
      <w:r w:rsidR="00851C13" w:rsidRPr="00106DA6">
        <w:t> </w:t>
      </w:r>
      <w:r w:rsidRPr="00106DA6">
        <w:t>d</w:t>
      </w:r>
      <w:r w:rsidR="00CE08C5" w:rsidRPr="00106DA6">
        <w:t>'</w:t>
      </w:r>
      <w:r w:rsidRPr="00106DA6">
        <w:t>Azerbaïdjan et en mon propre nom, je tiens à vous présenter mes plus sincères compliments.</w:t>
      </w:r>
    </w:p>
    <w:p w14:paraId="6DA19D2A" w14:textId="5058990E" w:rsidR="007E335A" w:rsidRPr="00106DA6" w:rsidRDefault="007E335A" w:rsidP="007E335A">
      <w:r w:rsidRPr="00106DA6">
        <w:t>J</w:t>
      </w:r>
      <w:r w:rsidR="00CE08C5" w:rsidRPr="00106DA6">
        <w:t>'</w:t>
      </w:r>
      <w:r w:rsidRPr="00106DA6">
        <w:t>ai l</w:t>
      </w:r>
      <w:r w:rsidR="00CE08C5" w:rsidRPr="00106DA6">
        <w:t>'</w:t>
      </w:r>
      <w:r w:rsidRPr="00106DA6">
        <w:t>honneur de proposer de tenir la prochaine Conférence mondiale de développement des télécommunications (CMDT-2025) à Bakou (Azerbaïdjan), du 17 au 28 novembre 2025.</w:t>
      </w:r>
    </w:p>
    <w:p w14:paraId="6C174253" w14:textId="4D48F52F" w:rsidR="007E335A" w:rsidRPr="00106DA6" w:rsidRDefault="007E335A" w:rsidP="007E335A">
      <w:r w:rsidRPr="00106DA6">
        <w:t>Nous attendons avec impatience de pouvoir accueillir les délégués représentant les membres de l</w:t>
      </w:r>
      <w:r w:rsidR="00CE08C5" w:rsidRPr="00106DA6">
        <w:t>'</w:t>
      </w:r>
      <w:r w:rsidRPr="00106DA6">
        <w:t>UIT à la CMDT-25 et de collaborer avec vous pour faire en sorte que cette conférence soit une réussite.</w:t>
      </w:r>
    </w:p>
    <w:p w14:paraId="535863E9" w14:textId="3EE62B97" w:rsidR="007E335A" w:rsidRPr="00106DA6" w:rsidRDefault="007E335A" w:rsidP="007E335A">
      <w:r w:rsidRPr="00106DA6">
        <w:t>Veuillez agréer, Madame la Secrétaire générale, l</w:t>
      </w:r>
      <w:r w:rsidR="00CE08C5" w:rsidRPr="00106DA6">
        <w:t>'</w:t>
      </w:r>
      <w:r w:rsidRPr="00106DA6">
        <w:t>assurance de ma très haute considération.</w:t>
      </w:r>
    </w:p>
    <w:p w14:paraId="652D44B1" w14:textId="27527A2E" w:rsidR="000F5549" w:rsidRPr="00106DA6" w:rsidRDefault="000F5549" w:rsidP="000F5549">
      <w:pPr>
        <w:spacing w:before="480" w:after="480"/>
        <w:rPr>
          <w:i/>
          <w:iCs/>
        </w:rPr>
      </w:pPr>
      <w:r w:rsidRPr="00106DA6">
        <w:rPr>
          <w:i/>
          <w:iCs/>
        </w:rPr>
        <w:t>(</w:t>
      </w:r>
      <w:proofErr w:type="gramStart"/>
      <w:r w:rsidRPr="00106DA6">
        <w:rPr>
          <w:i/>
          <w:iCs/>
        </w:rPr>
        <w:t>signature</w:t>
      </w:r>
      <w:proofErr w:type="gramEnd"/>
      <w:r w:rsidRPr="00106DA6">
        <w:rPr>
          <w:i/>
          <w:iCs/>
        </w:rPr>
        <w:t>)</w:t>
      </w:r>
    </w:p>
    <w:p w14:paraId="0AF809AD" w14:textId="657F715F" w:rsidR="000B58EC" w:rsidRPr="00106DA6" w:rsidRDefault="007E335A" w:rsidP="00EA2EF7">
      <w:pPr>
        <w:rPr>
          <w:b/>
          <w:bCs/>
        </w:rPr>
      </w:pPr>
      <w:r w:rsidRPr="00106DA6">
        <w:rPr>
          <w:b/>
          <w:bCs/>
        </w:rPr>
        <w:t>Rashad Nabiyev</w:t>
      </w:r>
    </w:p>
    <w:p w14:paraId="13641D28" w14:textId="2E2E1612" w:rsidR="007E335A" w:rsidRPr="00106DA6" w:rsidRDefault="007E335A" w:rsidP="007E335A">
      <w:r w:rsidRPr="00106DA6">
        <w:br w:type="page"/>
      </w:r>
    </w:p>
    <w:p w14:paraId="5E8BE059" w14:textId="1FB12E63" w:rsidR="000F5549" w:rsidRPr="00106DA6" w:rsidRDefault="001532B6" w:rsidP="001532B6">
      <w:pPr>
        <w:pStyle w:val="AnnexNo"/>
      </w:pPr>
      <w:r w:rsidRPr="00106DA6">
        <w:rPr>
          <w:noProof/>
          <w:lang w:val="fr-CH" w:eastAsia="fr-CH"/>
        </w:rPr>
        <w:lastRenderedPageBreak/>
        <w:drawing>
          <wp:inline distT="0" distB="0" distL="0" distR="0" wp14:anchorId="6B4D5C36" wp14:editId="1800F455">
            <wp:extent cx="5760085" cy="15176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085" cy="1517650"/>
                    </a:xfrm>
                    <a:prstGeom prst="rect">
                      <a:avLst/>
                    </a:prstGeom>
                  </pic:spPr>
                </pic:pic>
              </a:graphicData>
            </a:graphic>
          </wp:inline>
        </w:drawing>
      </w:r>
    </w:p>
    <w:p w14:paraId="1A101F25" w14:textId="4367405B" w:rsidR="007E335A" w:rsidRPr="00106DA6" w:rsidRDefault="007E335A" w:rsidP="007E335A">
      <w:pPr>
        <w:tabs>
          <w:tab w:val="clear" w:pos="567"/>
          <w:tab w:val="clear" w:pos="1134"/>
          <w:tab w:val="clear" w:pos="1701"/>
          <w:tab w:val="clear" w:pos="2268"/>
          <w:tab w:val="clear" w:pos="2835"/>
          <w:tab w:val="left" w:pos="6804"/>
        </w:tabs>
        <w:ind w:firstLine="567"/>
        <w:rPr>
          <w:b/>
          <w:bCs/>
          <w:u w:val="single"/>
        </w:rPr>
      </w:pPr>
      <w:r w:rsidRPr="00106DA6">
        <w:rPr>
          <w:b/>
          <w:bCs/>
          <w:u w:val="single"/>
        </w:rPr>
        <w:t>03.04.2024</w:t>
      </w:r>
      <w:r w:rsidRPr="00106DA6">
        <w:rPr>
          <w:b/>
          <w:bCs/>
        </w:rPr>
        <w:tab/>
      </w:r>
      <w:r w:rsidRPr="00106DA6">
        <w:rPr>
          <w:b/>
          <w:bCs/>
          <w:u w:val="single"/>
        </w:rPr>
        <w:t>3-27/2-2278/2024</w:t>
      </w:r>
    </w:p>
    <w:p w14:paraId="3C9B9F1F" w14:textId="77777777" w:rsidR="007E335A" w:rsidRPr="00106DA6" w:rsidRDefault="007E335A" w:rsidP="007E335A">
      <w:pPr>
        <w:spacing w:before="840"/>
        <w:rPr>
          <w:b/>
          <w:bCs/>
        </w:rPr>
      </w:pPr>
      <w:r w:rsidRPr="00106DA6">
        <w:rPr>
          <w:b/>
          <w:bCs/>
        </w:rPr>
        <w:t>M. Cosmas Zavazava</w:t>
      </w:r>
    </w:p>
    <w:p w14:paraId="5A1E7B6A" w14:textId="77777777" w:rsidR="007E335A" w:rsidRPr="00106DA6" w:rsidRDefault="007E335A" w:rsidP="007E335A">
      <w:pPr>
        <w:spacing w:before="0"/>
        <w:rPr>
          <w:b/>
          <w:bCs/>
        </w:rPr>
      </w:pPr>
      <w:r w:rsidRPr="00106DA6">
        <w:rPr>
          <w:b/>
          <w:bCs/>
        </w:rPr>
        <w:t>Directeur du Bureau de développement des télécommunications</w:t>
      </w:r>
    </w:p>
    <w:p w14:paraId="21F8C7B9" w14:textId="6AABC12B" w:rsidR="007E335A" w:rsidRPr="00106DA6" w:rsidRDefault="007E335A" w:rsidP="007E335A">
      <w:pPr>
        <w:spacing w:before="0"/>
        <w:rPr>
          <w:b/>
          <w:bCs/>
        </w:rPr>
      </w:pPr>
      <w:r w:rsidRPr="00106DA6">
        <w:rPr>
          <w:b/>
          <w:bCs/>
        </w:rPr>
        <w:t>Union internationale des télécommunications</w:t>
      </w:r>
    </w:p>
    <w:p w14:paraId="6012D8E0" w14:textId="77777777" w:rsidR="007E335A" w:rsidRPr="00106DA6" w:rsidRDefault="007E335A" w:rsidP="007E335A">
      <w:pPr>
        <w:spacing w:before="0"/>
      </w:pPr>
      <w:r w:rsidRPr="00106DA6">
        <w:t>Place des Nations</w:t>
      </w:r>
    </w:p>
    <w:p w14:paraId="4E16ECF4" w14:textId="77777777" w:rsidR="007E335A" w:rsidRPr="00106DA6" w:rsidRDefault="007E335A" w:rsidP="007E335A">
      <w:pPr>
        <w:spacing w:before="0"/>
      </w:pPr>
      <w:r w:rsidRPr="00106DA6">
        <w:t>1211 Genève 20, Suisse</w:t>
      </w:r>
    </w:p>
    <w:p w14:paraId="608D35D7" w14:textId="77777777" w:rsidR="007E335A" w:rsidRPr="00106DA6" w:rsidRDefault="007E335A" w:rsidP="007E335A">
      <w:pPr>
        <w:spacing w:before="0"/>
      </w:pPr>
      <w:r w:rsidRPr="00106DA6">
        <w:t>Tél.: +41 22 730 5111</w:t>
      </w:r>
    </w:p>
    <w:p w14:paraId="59741401" w14:textId="40A5C3E4" w:rsidR="007E335A" w:rsidRPr="00106DA6" w:rsidRDefault="007E335A" w:rsidP="000F5549">
      <w:pPr>
        <w:spacing w:before="480"/>
      </w:pPr>
      <w:r w:rsidRPr="00106DA6">
        <w:t>Monsieur le Directeur,</w:t>
      </w:r>
    </w:p>
    <w:p w14:paraId="55304FF7" w14:textId="55BEFF47" w:rsidR="007E335A" w:rsidRPr="00106DA6" w:rsidRDefault="007E335A" w:rsidP="007E335A">
      <w:pPr>
        <w:spacing w:after="120"/>
      </w:pPr>
      <w:r w:rsidRPr="00106DA6">
        <w:t xml:space="preserve">J'ai l'honneur de vous adresser mes sincères salutations et de vous informer qu'en réponse à votre lettre (BDT/DDR/12554) en date du 22 mars 2024, mon </w:t>
      </w:r>
      <w:r w:rsidR="00851C13" w:rsidRPr="00106DA6">
        <w:t>a</w:t>
      </w:r>
      <w:r w:rsidRPr="00106DA6">
        <w:t>dministration propose d</w:t>
      </w:r>
      <w:r w:rsidR="00CE08C5" w:rsidRPr="00106DA6">
        <w:t>'</w:t>
      </w:r>
      <w:r w:rsidRPr="00106DA6">
        <w:t>accueillir la CMDT-25 à Bakou à la fin du mois de novembre 2025.</w:t>
      </w:r>
    </w:p>
    <w:p w14:paraId="39789C42" w14:textId="77777777" w:rsidR="007E335A" w:rsidRPr="00106DA6" w:rsidRDefault="007E335A" w:rsidP="007E335A">
      <w:pPr>
        <w:spacing w:after="120"/>
      </w:pPr>
      <w:r w:rsidRPr="00106DA6">
        <w:t>Nous attendons avec impatience de pouvoir accueillir la CMDT-25 et nous réjouissons à l'idée de collaborer étroitement avec vous pour faire en sorte que cette conférence soit une réussite.</w:t>
      </w:r>
    </w:p>
    <w:p w14:paraId="630F6E89" w14:textId="684BD4BF" w:rsidR="007E335A" w:rsidRPr="00106DA6" w:rsidRDefault="007E335A" w:rsidP="007E335A">
      <w:pPr>
        <w:spacing w:after="120"/>
      </w:pPr>
      <w:r w:rsidRPr="00106DA6">
        <w:t>Veuillez noter que Mme Khayala Pashazada (tél.: +994125985858 (200), courriel:</w:t>
      </w:r>
      <w:r w:rsidR="000F5549" w:rsidRPr="00106DA6">
        <w:t> </w:t>
      </w:r>
      <w:hyperlink r:id="rId20" w:history="1">
        <w:r w:rsidR="000F5549" w:rsidRPr="00106DA6">
          <w:rPr>
            <w:rStyle w:val="Hyperlink"/>
          </w:rPr>
          <w:t>khayala.pashazada@mincom.gov.az</w:t>
        </w:r>
      </w:hyperlink>
      <w:r w:rsidRPr="00106DA6">
        <w:t>), Chef du Département de coopération internationale, sera notre point de contact désigné.</w:t>
      </w:r>
    </w:p>
    <w:p w14:paraId="62106073" w14:textId="1264A812" w:rsidR="007E335A" w:rsidRPr="00106DA6" w:rsidRDefault="007E335A" w:rsidP="007E335A">
      <w:pPr>
        <w:spacing w:after="120"/>
      </w:pPr>
      <w:r w:rsidRPr="00106DA6">
        <w:t>Veuillez agréer, Monsieur le Directeur, l</w:t>
      </w:r>
      <w:r w:rsidR="00CE08C5" w:rsidRPr="00106DA6">
        <w:t>'</w:t>
      </w:r>
      <w:r w:rsidRPr="00106DA6">
        <w:t>assurance de ma très haute considération.</w:t>
      </w:r>
    </w:p>
    <w:p w14:paraId="26702443" w14:textId="3112E6C5" w:rsidR="000F5549" w:rsidRPr="00106DA6" w:rsidRDefault="000F5549" w:rsidP="000F5549">
      <w:pPr>
        <w:spacing w:before="480" w:after="480"/>
        <w:rPr>
          <w:i/>
          <w:iCs/>
        </w:rPr>
      </w:pPr>
      <w:r w:rsidRPr="00106DA6">
        <w:rPr>
          <w:i/>
          <w:iCs/>
        </w:rPr>
        <w:t>(</w:t>
      </w:r>
      <w:proofErr w:type="gramStart"/>
      <w:r w:rsidRPr="00106DA6">
        <w:rPr>
          <w:i/>
          <w:iCs/>
        </w:rPr>
        <w:t>signature</w:t>
      </w:r>
      <w:proofErr w:type="gramEnd"/>
      <w:r w:rsidRPr="00106DA6">
        <w:rPr>
          <w:i/>
          <w:iCs/>
        </w:rPr>
        <w:t>)</w:t>
      </w:r>
    </w:p>
    <w:p w14:paraId="5A6499EB" w14:textId="088E14D5" w:rsidR="007E335A" w:rsidRPr="00106DA6" w:rsidRDefault="007E335A" w:rsidP="00851C13">
      <w:pPr>
        <w:rPr>
          <w:b/>
          <w:bCs/>
        </w:rPr>
      </w:pPr>
      <w:r w:rsidRPr="00106DA6">
        <w:rPr>
          <w:b/>
          <w:bCs/>
        </w:rPr>
        <w:t>M. le Ministre</w:t>
      </w:r>
      <w:r w:rsidR="00851C13" w:rsidRPr="00106DA6">
        <w:rPr>
          <w:b/>
          <w:bCs/>
        </w:rPr>
        <w:br/>
      </w:r>
      <w:r w:rsidRPr="00106DA6">
        <w:rPr>
          <w:b/>
          <w:bCs/>
        </w:rPr>
        <w:t>Rashad Nabiyev</w:t>
      </w:r>
    </w:p>
    <w:p w14:paraId="39118223" w14:textId="2E99ED7A" w:rsidR="000F5549" w:rsidRPr="00106DA6" w:rsidRDefault="000F5549" w:rsidP="007E335A">
      <w:r w:rsidRPr="00106DA6">
        <w:br w:type="page"/>
      </w:r>
    </w:p>
    <w:p w14:paraId="5B8E31B6" w14:textId="6FC1C60A" w:rsidR="000F5549" w:rsidRPr="00106DA6" w:rsidRDefault="001532B6" w:rsidP="000F5549">
      <w:r w:rsidRPr="00106DA6">
        <w:rPr>
          <w:noProof/>
          <w:lang w:val="fr-CH" w:eastAsia="fr-CH"/>
        </w:rPr>
        <w:lastRenderedPageBreak/>
        <w:drawing>
          <wp:inline distT="0" distB="0" distL="0" distR="0" wp14:anchorId="77D75ED9" wp14:editId="04A67150">
            <wp:extent cx="5760085" cy="15176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085" cy="1517650"/>
                    </a:xfrm>
                    <a:prstGeom prst="rect">
                      <a:avLst/>
                    </a:prstGeom>
                  </pic:spPr>
                </pic:pic>
              </a:graphicData>
            </a:graphic>
          </wp:inline>
        </w:drawing>
      </w:r>
    </w:p>
    <w:p w14:paraId="56F6CEB1" w14:textId="378777FC" w:rsidR="000F5549" w:rsidRPr="00106DA6" w:rsidRDefault="00224067" w:rsidP="000F5549">
      <w:pPr>
        <w:tabs>
          <w:tab w:val="clear" w:pos="567"/>
          <w:tab w:val="clear" w:pos="1134"/>
          <w:tab w:val="clear" w:pos="1701"/>
          <w:tab w:val="clear" w:pos="2268"/>
          <w:tab w:val="clear" w:pos="2835"/>
          <w:tab w:val="left" w:pos="6804"/>
        </w:tabs>
        <w:ind w:firstLine="567"/>
        <w:rPr>
          <w:b/>
          <w:bCs/>
          <w:u w:val="single"/>
        </w:rPr>
      </w:pPr>
      <w:r w:rsidRPr="00106DA6">
        <w:rPr>
          <w:b/>
          <w:bCs/>
          <w:u w:val="single"/>
        </w:rPr>
        <w:t>15</w:t>
      </w:r>
      <w:r w:rsidR="000F5549" w:rsidRPr="00106DA6">
        <w:rPr>
          <w:b/>
          <w:bCs/>
          <w:u w:val="single"/>
        </w:rPr>
        <w:t>.0</w:t>
      </w:r>
      <w:r w:rsidRPr="00106DA6">
        <w:rPr>
          <w:b/>
          <w:bCs/>
          <w:u w:val="single"/>
        </w:rPr>
        <w:t>3</w:t>
      </w:r>
      <w:r w:rsidR="000F5549" w:rsidRPr="00106DA6">
        <w:rPr>
          <w:b/>
          <w:bCs/>
          <w:u w:val="single"/>
        </w:rPr>
        <w:t>.2024</w:t>
      </w:r>
      <w:r w:rsidR="000F5549" w:rsidRPr="00106DA6">
        <w:rPr>
          <w:b/>
          <w:bCs/>
        </w:rPr>
        <w:tab/>
      </w:r>
      <w:r w:rsidR="000F5549" w:rsidRPr="00106DA6">
        <w:rPr>
          <w:b/>
          <w:bCs/>
          <w:u w:val="single"/>
        </w:rPr>
        <w:t>3-27/2-</w:t>
      </w:r>
      <w:r w:rsidRPr="00106DA6">
        <w:rPr>
          <w:b/>
          <w:bCs/>
          <w:u w:val="single"/>
        </w:rPr>
        <w:t>1902</w:t>
      </w:r>
      <w:r w:rsidR="000F5549" w:rsidRPr="00106DA6">
        <w:rPr>
          <w:b/>
          <w:bCs/>
          <w:u w:val="single"/>
        </w:rPr>
        <w:t>/2024</w:t>
      </w:r>
    </w:p>
    <w:p w14:paraId="556438D6" w14:textId="77777777" w:rsidR="000F5549" w:rsidRPr="00106DA6" w:rsidRDefault="000F5549" w:rsidP="000F5549">
      <w:pPr>
        <w:spacing w:before="840"/>
        <w:rPr>
          <w:b/>
          <w:bCs/>
        </w:rPr>
      </w:pPr>
      <w:r w:rsidRPr="00106DA6">
        <w:rPr>
          <w:b/>
          <w:bCs/>
        </w:rPr>
        <w:t>Mme Doreen Bogdan-Martin</w:t>
      </w:r>
    </w:p>
    <w:p w14:paraId="00E55019" w14:textId="77777777" w:rsidR="000F5549" w:rsidRPr="00106DA6" w:rsidRDefault="000F5549" w:rsidP="000F5549">
      <w:pPr>
        <w:spacing w:before="0"/>
        <w:rPr>
          <w:b/>
          <w:bCs/>
        </w:rPr>
      </w:pPr>
      <w:r w:rsidRPr="00106DA6">
        <w:rPr>
          <w:b/>
          <w:bCs/>
        </w:rPr>
        <w:t>Secrétaire générale</w:t>
      </w:r>
    </w:p>
    <w:p w14:paraId="783E8733" w14:textId="77777777" w:rsidR="000F5549" w:rsidRPr="00106DA6" w:rsidRDefault="000F5549" w:rsidP="000F5549">
      <w:pPr>
        <w:spacing w:before="0"/>
        <w:rPr>
          <w:b/>
          <w:bCs/>
        </w:rPr>
      </w:pPr>
      <w:r w:rsidRPr="00106DA6">
        <w:rPr>
          <w:b/>
          <w:bCs/>
        </w:rPr>
        <w:t>Union internationale des télécommunications</w:t>
      </w:r>
    </w:p>
    <w:p w14:paraId="11D5B19B" w14:textId="77777777" w:rsidR="000F5549" w:rsidRPr="00106DA6" w:rsidRDefault="000F5549" w:rsidP="000F5549">
      <w:pPr>
        <w:spacing w:before="0"/>
      </w:pPr>
      <w:r w:rsidRPr="00106DA6">
        <w:t>Place des Nations</w:t>
      </w:r>
    </w:p>
    <w:p w14:paraId="4E0B52E9" w14:textId="77777777" w:rsidR="000F5549" w:rsidRPr="00106DA6" w:rsidRDefault="000F5549" w:rsidP="000F5549">
      <w:pPr>
        <w:spacing w:before="0"/>
      </w:pPr>
      <w:r w:rsidRPr="00106DA6">
        <w:t>1211 Genève 20, Suisse</w:t>
      </w:r>
    </w:p>
    <w:p w14:paraId="2378990D" w14:textId="77777777" w:rsidR="000F5549" w:rsidRPr="00106DA6" w:rsidRDefault="000F5549" w:rsidP="000F5549">
      <w:pPr>
        <w:spacing w:before="0"/>
      </w:pPr>
      <w:r w:rsidRPr="00106DA6">
        <w:t>Tél.: +41 22 730 5111</w:t>
      </w:r>
    </w:p>
    <w:p w14:paraId="5A6A4FD1" w14:textId="6043635D" w:rsidR="00224067" w:rsidRPr="00106DA6" w:rsidRDefault="00224067" w:rsidP="00224067">
      <w:pPr>
        <w:spacing w:before="480"/>
      </w:pPr>
      <w:r w:rsidRPr="00106DA6">
        <w:t>Madame la Secrétaire générale,</w:t>
      </w:r>
    </w:p>
    <w:p w14:paraId="3B84DE77" w14:textId="241CE6BB" w:rsidR="00224067" w:rsidRPr="00106DA6" w:rsidRDefault="00224067" w:rsidP="00224067">
      <w:r w:rsidRPr="00106DA6">
        <w:t>Au nom du Ministère du développement numérique et des transports de la République</w:t>
      </w:r>
      <w:r w:rsidR="00851C13" w:rsidRPr="00106DA6">
        <w:t> </w:t>
      </w:r>
      <w:r w:rsidRPr="00106DA6">
        <w:t>d</w:t>
      </w:r>
      <w:r w:rsidR="00CE08C5" w:rsidRPr="00106DA6">
        <w:t>'</w:t>
      </w:r>
      <w:r w:rsidRPr="00106DA6">
        <w:t>Azerbaïdjan et en mon propre nom, je tiens à vous présenter mes compliments et à vous faire part de notre souhait d'accueillir la Conférence mondiale de développement des télécommunications (CMDT-25) en 2025.</w:t>
      </w:r>
    </w:p>
    <w:p w14:paraId="73575764" w14:textId="1F887C06" w:rsidR="00224067" w:rsidRPr="00106DA6" w:rsidRDefault="00224067" w:rsidP="00224067">
      <w:r w:rsidRPr="00106DA6">
        <w:t>L</w:t>
      </w:r>
      <w:r w:rsidR="00CE08C5" w:rsidRPr="00106DA6">
        <w:t>'</w:t>
      </w:r>
      <w:r w:rsidRPr="00106DA6">
        <w:t>Azerbaïdjan est conscient de la responsabilité et du privilège immenses que constitue l</w:t>
      </w:r>
      <w:r w:rsidR="00CE08C5" w:rsidRPr="00106DA6">
        <w:t>'</w:t>
      </w:r>
      <w:r w:rsidRPr="00106DA6">
        <w:t>accueil d</w:t>
      </w:r>
      <w:r w:rsidR="00CE08C5" w:rsidRPr="00106DA6">
        <w:t>'</w:t>
      </w:r>
      <w:r w:rsidRPr="00106DA6">
        <w:t>une manifestation aussi prestigieuse. Nous mettrons tout en œuvre pour nous montrer à la hauteur du niveau d</w:t>
      </w:r>
      <w:r w:rsidR="00CE08C5" w:rsidRPr="00106DA6">
        <w:t>'</w:t>
      </w:r>
      <w:r w:rsidRPr="00106DA6">
        <w:t>excellence attendu d</w:t>
      </w:r>
      <w:r w:rsidR="00CE08C5" w:rsidRPr="00106DA6">
        <w:t>'</w:t>
      </w:r>
      <w:r w:rsidRPr="00106DA6">
        <w:t>une conférence de l</w:t>
      </w:r>
      <w:r w:rsidR="00CE08C5" w:rsidRPr="00106DA6">
        <w:t>'</w:t>
      </w:r>
      <w:r w:rsidRPr="00106DA6">
        <w:t>UIT et faire en sorte que cette Conférence, qui réunira des acteurs du secteur des télécommunications venus du monde entier, soit à la fois fructueuse et couronnée de succès.</w:t>
      </w:r>
    </w:p>
    <w:p w14:paraId="78C08133" w14:textId="1F07F336" w:rsidR="00224067" w:rsidRPr="00106DA6" w:rsidRDefault="00224067" w:rsidP="00224067">
      <w:r w:rsidRPr="00106DA6">
        <w:t>Ces dernières années, l</w:t>
      </w:r>
      <w:r w:rsidR="00CE08C5" w:rsidRPr="00106DA6">
        <w:t>'</w:t>
      </w:r>
      <w:r w:rsidRPr="00106DA6">
        <w:t>Azerbaïdjan a accompli des progrès remarquables en matière d</w:t>
      </w:r>
      <w:r w:rsidR="00CE08C5" w:rsidRPr="00106DA6">
        <w:t>'</w:t>
      </w:r>
      <w:r w:rsidRPr="00106DA6">
        <w:t>infrastructure et de politiques de télécommunication</w:t>
      </w:r>
      <w:r w:rsidR="00851C13" w:rsidRPr="00106DA6">
        <w:t>.</w:t>
      </w:r>
      <w:r w:rsidRPr="00106DA6">
        <w:t xml:space="preserve"> Avec son secteur des télécommunications florissant et son engagement en faveur de l</w:t>
      </w:r>
      <w:r w:rsidR="00CE08C5" w:rsidRPr="00106DA6">
        <w:t>'</w:t>
      </w:r>
      <w:r w:rsidRPr="00106DA6">
        <w:t>inclusion numérique, l</w:t>
      </w:r>
      <w:r w:rsidR="00CE08C5" w:rsidRPr="00106DA6">
        <w:t>'</w:t>
      </w:r>
      <w:r w:rsidRPr="00106DA6">
        <w:t>Azerbaïdjan est bien placé pour apporter des points de vue et des perspectives particulièrement intéressants qui nourriront le dialogue mondial sur le développement des télécommunications.</w:t>
      </w:r>
    </w:p>
    <w:p w14:paraId="0C2974B2" w14:textId="58607380" w:rsidR="00224067" w:rsidRPr="00106DA6" w:rsidRDefault="00224067" w:rsidP="00224067">
      <w:r w:rsidRPr="00106DA6">
        <w:t xml:space="preserve">Parce qu'il a </w:t>
      </w:r>
      <w:r w:rsidR="00851C13" w:rsidRPr="00106DA6">
        <w:t xml:space="preserve">à </w:t>
      </w:r>
      <w:r w:rsidRPr="00106DA6">
        <w:t>cœur de réduire la fracture numérique et de mettre la technologie au service du progrès socio-économique, l'Azerbaïdjan est convaincu que le fait d</w:t>
      </w:r>
      <w:r w:rsidR="00CE08C5" w:rsidRPr="00106DA6">
        <w:t>'</w:t>
      </w:r>
      <w:r w:rsidRPr="00106DA6">
        <w:t>accueillir la CMDT-25, en plus de témoigner de l'engagement qui est le sien en la matière, serait aussi l</w:t>
      </w:r>
      <w:r w:rsidR="00CE08C5" w:rsidRPr="00106DA6">
        <w:t>'</w:t>
      </w:r>
      <w:r w:rsidRPr="00106DA6">
        <w:t>occasion de contribuer à l</w:t>
      </w:r>
      <w:r w:rsidR="00CE08C5" w:rsidRPr="00106DA6">
        <w:t>'</w:t>
      </w:r>
      <w:r w:rsidRPr="00106DA6">
        <w:t>élaboration du programme mondial des télécommunications.</w:t>
      </w:r>
    </w:p>
    <w:p w14:paraId="2D6E8B2F" w14:textId="6390E43A" w:rsidR="00224067" w:rsidRPr="00106DA6" w:rsidRDefault="00224067" w:rsidP="00224067">
      <w:r w:rsidRPr="00106DA6">
        <w:t>Compte tenu de ces considérations, l</w:t>
      </w:r>
      <w:r w:rsidR="00CE08C5" w:rsidRPr="00106DA6">
        <w:t>'</w:t>
      </w:r>
      <w:r w:rsidRPr="00106DA6">
        <w:t>Azerbaïdjan a l</w:t>
      </w:r>
      <w:r w:rsidR="00CE08C5" w:rsidRPr="00106DA6">
        <w:t>'</w:t>
      </w:r>
      <w:r w:rsidRPr="00106DA6">
        <w:t>honneur de présenter sa candidature en vue d</w:t>
      </w:r>
      <w:r w:rsidR="00CE08C5" w:rsidRPr="00106DA6">
        <w:t>'</w:t>
      </w:r>
      <w:r w:rsidRPr="00106DA6">
        <w:t>accueillir la CMDT-25. Nous sommes convaincus que la culture riche de notre pays, son grand sens de l'hospitalité et son engagement en faveur du développement des télécommunications créeront un environnement propice à des discussions fructueuses et à des résultats significatifs.</w:t>
      </w:r>
    </w:p>
    <w:p w14:paraId="04DE5E99" w14:textId="6094E11B" w:rsidR="00224067" w:rsidRPr="00106DA6" w:rsidRDefault="00224067" w:rsidP="00224067">
      <w:r w:rsidRPr="00106DA6">
        <w:lastRenderedPageBreak/>
        <w:t>Nous vous serions grandement reconnaissants d</w:t>
      </w:r>
      <w:r w:rsidR="00CE08C5" w:rsidRPr="00106DA6">
        <w:t>'</w:t>
      </w:r>
      <w:r w:rsidRPr="00106DA6">
        <w:t>examiner la candidature de l</w:t>
      </w:r>
      <w:r w:rsidR="00CE08C5" w:rsidRPr="00106DA6">
        <w:t>'</w:t>
      </w:r>
      <w:r w:rsidRPr="00106DA6">
        <w:t>Azerbaïdjan en vue de l</w:t>
      </w:r>
      <w:r w:rsidR="00CE08C5" w:rsidRPr="00106DA6">
        <w:t>'</w:t>
      </w:r>
      <w:r w:rsidRPr="00106DA6">
        <w:t>organisation de la CMDT-25 et attendons avec impatience l</w:t>
      </w:r>
      <w:r w:rsidR="00CE08C5" w:rsidRPr="00106DA6">
        <w:t>'</w:t>
      </w:r>
      <w:r w:rsidRPr="00106DA6">
        <w:t>occasion d</w:t>
      </w:r>
      <w:r w:rsidR="00CE08C5" w:rsidRPr="00106DA6">
        <w:t>'</w:t>
      </w:r>
      <w:r w:rsidRPr="00106DA6">
        <w:t>engager de nouvelles discussions à ce sujet.</w:t>
      </w:r>
    </w:p>
    <w:p w14:paraId="7135C79B" w14:textId="134FF11D" w:rsidR="000F5549" w:rsidRPr="00106DA6" w:rsidRDefault="00224067" w:rsidP="00224067">
      <w:r w:rsidRPr="00106DA6">
        <w:t>Veuillez agréer, Madame la Secrétaire générale, l</w:t>
      </w:r>
      <w:r w:rsidR="00CE08C5" w:rsidRPr="00106DA6">
        <w:t>'</w:t>
      </w:r>
      <w:r w:rsidRPr="00106DA6">
        <w:t>assurance de ma très haute considération.</w:t>
      </w:r>
    </w:p>
    <w:p w14:paraId="37378836" w14:textId="77777777" w:rsidR="000F5549" w:rsidRPr="00106DA6" w:rsidRDefault="000F5549" w:rsidP="000F5549">
      <w:pPr>
        <w:spacing w:before="480" w:after="480"/>
        <w:rPr>
          <w:i/>
          <w:iCs/>
        </w:rPr>
      </w:pPr>
      <w:r w:rsidRPr="00106DA6">
        <w:rPr>
          <w:i/>
          <w:iCs/>
        </w:rPr>
        <w:t>(</w:t>
      </w:r>
      <w:proofErr w:type="gramStart"/>
      <w:r w:rsidRPr="00106DA6">
        <w:rPr>
          <w:i/>
          <w:iCs/>
        </w:rPr>
        <w:t>signature</w:t>
      </w:r>
      <w:proofErr w:type="gramEnd"/>
      <w:r w:rsidRPr="00106DA6">
        <w:rPr>
          <w:i/>
          <w:iCs/>
        </w:rPr>
        <w:t>)</w:t>
      </w:r>
    </w:p>
    <w:p w14:paraId="62384008" w14:textId="14899F22" w:rsidR="007E335A" w:rsidRPr="00106DA6" w:rsidRDefault="000F5549" w:rsidP="00EA2EF7">
      <w:pPr>
        <w:rPr>
          <w:b/>
          <w:bCs/>
        </w:rPr>
      </w:pPr>
      <w:r w:rsidRPr="00106DA6">
        <w:rPr>
          <w:b/>
          <w:bCs/>
        </w:rPr>
        <w:t>Rashad Nabiyev</w:t>
      </w:r>
    </w:p>
    <w:p w14:paraId="7EAAA035" w14:textId="16F70E78" w:rsidR="00224067" w:rsidRPr="00106DA6" w:rsidRDefault="00224067" w:rsidP="00224067">
      <w:r w:rsidRPr="00106DA6">
        <w:br w:type="page"/>
      </w:r>
    </w:p>
    <w:p w14:paraId="791B5905" w14:textId="77777777" w:rsidR="00224067" w:rsidRPr="00106DA6" w:rsidRDefault="00224067" w:rsidP="00224067">
      <w:pPr>
        <w:pStyle w:val="AnnexNo"/>
      </w:pPr>
      <w:bookmarkStart w:id="2" w:name="Annex2"/>
      <w:r w:rsidRPr="00106DA6">
        <w:lastRenderedPageBreak/>
        <w:t>ANNEXE 2</w:t>
      </w:r>
    </w:p>
    <w:bookmarkEnd w:id="2"/>
    <w:p w14:paraId="2932FF4B" w14:textId="77777777" w:rsidR="00224067" w:rsidRPr="00106DA6" w:rsidRDefault="00224067" w:rsidP="00224067">
      <w:pPr>
        <w:pStyle w:val="RecNo"/>
      </w:pPr>
      <w:r w:rsidRPr="00106DA6">
        <w:t>PROJET DE DÉCISION […]</w:t>
      </w:r>
    </w:p>
    <w:p w14:paraId="24789812" w14:textId="77777777" w:rsidR="00224067" w:rsidRPr="00106DA6" w:rsidRDefault="00224067" w:rsidP="00CE08C5">
      <w:pPr>
        <w:pStyle w:val="Rectitle"/>
      </w:pPr>
      <w:r w:rsidRPr="00106DA6">
        <w:t>Convocation de la Conférence mondiale de développement des télécommunications de 2025 (CMDT-25)</w:t>
      </w:r>
    </w:p>
    <w:p w14:paraId="416EAA61" w14:textId="77777777" w:rsidR="00224067" w:rsidRPr="00106DA6" w:rsidRDefault="00224067" w:rsidP="00224067">
      <w:pPr>
        <w:pStyle w:val="Normalaftertitle"/>
      </w:pPr>
      <w:r w:rsidRPr="00106DA6">
        <w:t>Le Conseil de l'UIT,</w:t>
      </w:r>
    </w:p>
    <w:p w14:paraId="4D8B1BC9" w14:textId="77777777" w:rsidR="00224067" w:rsidRPr="00106DA6" w:rsidRDefault="00224067" w:rsidP="00224067">
      <w:pPr>
        <w:pStyle w:val="Call"/>
      </w:pPr>
      <w:proofErr w:type="gramStart"/>
      <w:r w:rsidRPr="00106DA6">
        <w:t>notant</w:t>
      </w:r>
      <w:proofErr w:type="gramEnd"/>
    </w:p>
    <w:p w14:paraId="6CB5D1F9" w14:textId="403A9C70" w:rsidR="00224067" w:rsidRPr="00106DA6" w:rsidRDefault="00224067" w:rsidP="00224067">
      <w:proofErr w:type="gramStart"/>
      <w:r w:rsidRPr="00106DA6">
        <w:t>que</w:t>
      </w:r>
      <w:proofErr w:type="gramEnd"/>
      <w:r w:rsidRPr="00106DA6">
        <w:t xml:space="preserve"> la Conférence mondiale de développement des télécommunications de 2025 (CMDT</w:t>
      </w:r>
      <w:r w:rsidRPr="00106DA6">
        <w:noBreakHyphen/>
        <w:t>25) doit avoir lieu au dernier trimestre de 2025, conformément à la Résolution 77 (Rév. Bucarest, 2022) de la Conférence de plénipotentiaires relative à la planification et à la durée des conférences, forums, assemblées et sessions du Conseil de l'Union (2023-2027),</w:t>
      </w:r>
    </w:p>
    <w:p w14:paraId="16452323" w14:textId="77777777" w:rsidR="00224067" w:rsidRPr="00106DA6" w:rsidRDefault="00224067" w:rsidP="00224067">
      <w:pPr>
        <w:pStyle w:val="Call"/>
      </w:pPr>
      <w:proofErr w:type="gramStart"/>
      <w:r w:rsidRPr="00106DA6">
        <w:t>décide</w:t>
      </w:r>
      <w:proofErr w:type="gramEnd"/>
    </w:p>
    <w:p w14:paraId="7561BBEB" w14:textId="0FDEC1E0" w:rsidR="00224067" w:rsidRPr="00106DA6" w:rsidRDefault="00224067" w:rsidP="00224067">
      <w:proofErr w:type="gramStart"/>
      <w:r w:rsidRPr="00106DA6">
        <w:t>que</w:t>
      </w:r>
      <w:proofErr w:type="gramEnd"/>
      <w:r w:rsidRPr="00106DA6">
        <w:t>, sous réserve de l'accord de la majorité des États Membres de l'Union, la prochaine</w:t>
      </w:r>
      <w:r w:rsidR="00FE2C67" w:rsidRPr="00106DA6">
        <w:t> </w:t>
      </w:r>
      <w:r w:rsidRPr="00106DA6">
        <w:t>Conférence mondiale de développement des télécommunications (CMDT-25) se tiendra à Bakou (République d'Azerbaïdjan), du 17 au 28 novembre 2025,</w:t>
      </w:r>
    </w:p>
    <w:p w14:paraId="41732E24" w14:textId="77777777" w:rsidR="00224067" w:rsidRPr="00106DA6" w:rsidRDefault="00224067" w:rsidP="00224067">
      <w:pPr>
        <w:pStyle w:val="Call"/>
      </w:pPr>
      <w:proofErr w:type="gramStart"/>
      <w:r w:rsidRPr="00106DA6">
        <w:t>charge</w:t>
      </w:r>
      <w:proofErr w:type="gramEnd"/>
      <w:r w:rsidRPr="00106DA6">
        <w:t xml:space="preserve"> le Secrétaire général</w:t>
      </w:r>
    </w:p>
    <w:p w14:paraId="1EF2BC88" w14:textId="0C251D99" w:rsidR="00224067" w:rsidRPr="00106DA6" w:rsidRDefault="00224067" w:rsidP="00224067">
      <w:proofErr w:type="gramStart"/>
      <w:r w:rsidRPr="00106DA6">
        <w:t>d'effectuer</w:t>
      </w:r>
      <w:proofErr w:type="gramEnd"/>
      <w:r w:rsidRPr="00106DA6">
        <w:t xml:space="preserve"> une visite sur place et de faire rapport au Conseil à sa session de 2025.</w:t>
      </w:r>
    </w:p>
    <w:p w14:paraId="06ED403E" w14:textId="0BB3154A" w:rsidR="00224067" w:rsidRPr="00106DA6" w:rsidRDefault="00224067" w:rsidP="00224067">
      <w:r w:rsidRPr="00106DA6">
        <w:br w:type="page"/>
      </w:r>
    </w:p>
    <w:p w14:paraId="2ADC0BF7" w14:textId="2CABAD0F" w:rsidR="00224067" w:rsidRPr="00106DA6" w:rsidRDefault="00224067" w:rsidP="00224067">
      <w:pPr>
        <w:pStyle w:val="AnnexNo"/>
      </w:pPr>
      <w:bookmarkStart w:id="3" w:name="Annex3"/>
      <w:r w:rsidRPr="00106DA6">
        <w:lastRenderedPageBreak/>
        <w:t>ANNEX</w:t>
      </w:r>
      <w:r w:rsidR="008B1B7A" w:rsidRPr="00106DA6">
        <w:t>e</w:t>
      </w:r>
      <w:r w:rsidRPr="00106DA6">
        <w:t xml:space="preserve"> 3</w:t>
      </w:r>
    </w:p>
    <w:bookmarkEnd w:id="3"/>
    <w:p w14:paraId="30A73918" w14:textId="46607278" w:rsidR="00224067" w:rsidRPr="00106DA6" w:rsidRDefault="00224067" w:rsidP="00224067">
      <w:pPr>
        <w:pStyle w:val="Annextitle"/>
      </w:pPr>
      <w:r w:rsidRPr="00106DA6">
        <w:t>Projet d</w:t>
      </w:r>
      <w:r w:rsidR="00CE08C5" w:rsidRPr="00106DA6">
        <w:t>'</w:t>
      </w:r>
      <w:r w:rsidRPr="00106DA6">
        <w:t>ordre du jour de la Conférence mondiale de développement</w:t>
      </w:r>
      <w:r w:rsidRPr="00106DA6">
        <w:br/>
        <w:t>des télécommunications de 2025 (CMDT-25)</w:t>
      </w:r>
    </w:p>
    <w:p w14:paraId="0FD8B117" w14:textId="41258E76" w:rsidR="00224067" w:rsidRPr="00106DA6" w:rsidRDefault="00224067" w:rsidP="00224067">
      <w:pPr>
        <w:pStyle w:val="Heading1"/>
      </w:pPr>
      <w:r w:rsidRPr="00106DA6">
        <w:t>I</w:t>
      </w:r>
      <w:r w:rsidRPr="00106DA6">
        <w:tab/>
        <w:t>Rapport sur la mise en œuvre des Plans d'action de l'UIT-D</w:t>
      </w:r>
    </w:p>
    <w:p w14:paraId="070E809F" w14:textId="58D7151D" w:rsidR="00224067" w:rsidRPr="00106DA6" w:rsidRDefault="00224067" w:rsidP="00224067">
      <w:pPr>
        <w:pStyle w:val="enumlev1"/>
      </w:pPr>
      <w:r w:rsidRPr="00106DA6">
        <w:t>1</w:t>
      </w:r>
      <w:r w:rsidRPr="00106DA6">
        <w:tab/>
        <w:t>Point sur la transformation numérique au niveau mondial et rapport sur la mise en œuvre du Plan d'action de Buenos Aires adopté par la CMDT-17 et du Plan d'action de Kigali adopté par la CMDT-22 (y compris les initiatives régionales) et contribution à la mise en œuvre du Plan d'action du SMSI et des Objectifs de développement durable (ODD).</w:t>
      </w:r>
    </w:p>
    <w:p w14:paraId="52690F41" w14:textId="4E51E7FB" w:rsidR="00224067" w:rsidRPr="00106DA6" w:rsidRDefault="00224067" w:rsidP="00224067">
      <w:pPr>
        <w:pStyle w:val="enumlev1"/>
      </w:pPr>
      <w:r w:rsidRPr="00106DA6">
        <w:t>2</w:t>
      </w:r>
      <w:r w:rsidRPr="00106DA6">
        <w:tab/>
        <w:t>Rapport du Groupe consultatif pour le développement des télécommunications.</w:t>
      </w:r>
    </w:p>
    <w:p w14:paraId="237B12FF" w14:textId="373D57FC" w:rsidR="00224067" w:rsidRPr="00106DA6" w:rsidRDefault="00224067" w:rsidP="00224067">
      <w:pPr>
        <w:pStyle w:val="enumlev1"/>
      </w:pPr>
      <w:r w:rsidRPr="00106DA6">
        <w:t>3</w:t>
      </w:r>
      <w:r w:rsidRPr="00106DA6">
        <w:tab/>
        <w:t>Rapports des commissions d'études.</w:t>
      </w:r>
    </w:p>
    <w:p w14:paraId="43948712" w14:textId="77777777" w:rsidR="00224067" w:rsidRPr="00106DA6" w:rsidRDefault="00224067" w:rsidP="00224067">
      <w:pPr>
        <w:pStyle w:val="enumlev1"/>
      </w:pPr>
      <w:r w:rsidRPr="00106DA6">
        <w:t>4</w:t>
      </w:r>
      <w:r w:rsidRPr="00106DA6">
        <w:tab/>
        <w:t>Rapport sur la mise en œuvre des résultats des autres conférences, assemblées et réunions de l'UIT liés aux travaux de l'UIT-D:</w:t>
      </w:r>
    </w:p>
    <w:p w14:paraId="340E8D7D" w14:textId="687AC3D0" w:rsidR="00224067" w:rsidRPr="00106DA6" w:rsidRDefault="00224067" w:rsidP="00224067">
      <w:pPr>
        <w:pStyle w:val="enumlev2"/>
      </w:pPr>
      <w:r w:rsidRPr="00106DA6">
        <w:t>a)</w:t>
      </w:r>
      <w:r w:rsidRPr="00106DA6">
        <w:tab/>
        <w:t>Conférence de plénipotentiaires (PP-22)</w:t>
      </w:r>
      <w:r w:rsidR="00FE2C67" w:rsidRPr="00106DA6">
        <w:t>.</w:t>
      </w:r>
    </w:p>
    <w:p w14:paraId="2D56C6FC" w14:textId="48B6EB3D" w:rsidR="00224067" w:rsidRPr="00106DA6" w:rsidRDefault="00224067" w:rsidP="00224067">
      <w:pPr>
        <w:pStyle w:val="enumlev2"/>
      </w:pPr>
      <w:r w:rsidRPr="00106DA6">
        <w:t>b)</w:t>
      </w:r>
      <w:r w:rsidRPr="00106DA6">
        <w:tab/>
        <w:t>Assemblée des radiocommunications (AR-23)/Conférence mondiale des radiocommunications (CMR-23)</w:t>
      </w:r>
      <w:r w:rsidR="00FE2C67" w:rsidRPr="00106DA6">
        <w:t>.</w:t>
      </w:r>
    </w:p>
    <w:p w14:paraId="751C6B77" w14:textId="2C6B537C" w:rsidR="00224067" w:rsidRPr="00106DA6" w:rsidRDefault="00224067" w:rsidP="00224067">
      <w:pPr>
        <w:pStyle w:val="enumlev2"/>
      </w:pPr>
      <w:r w:rsidRPr="00106DA6">
        <w:t>c)</w:t>
      </w:r>
      <w:r w:rsidRPr="00106DA6">
        <w:tab/>
        <w:t>Assemblée mondiale de normalisation des télécommunications (AMNT-24)</w:t>
      </w:r>
      <w:r w:rsidR="00FE2C67" w:rsidRPr="00106DA6">
        <w:t>.</w:t>
      </w:r>
    </w:p>
    <w:p w14:paraId="5E539DBA" w14:textId="77777777" w:rsidR="00224067" w:rsidRPr="00106DA6" w:rsidRDefault="00224067" w:rsidP="00224067">
      <w:pPr>
        <w:pStyle w:val="Heading1"/>
      </w:pPr>
      <w:r w:rsidRPr="00106DA6">
        <w:t>II</w:t>
      </w:r>
      <w:r w:rsidRPr="00106DA6">
        <w:tab/>
        <w:t>Politique générale et stratégie au service de la transformation numérique</w:t>
      </w:r>
    </w:p>
    <w:p w14:paraId="48D6DF2E" w14:textId="02089E90" w:rsidR="00224067" w:rsidRPr="00106DA6" w:rsidRDefault="00224067" w:rsidP="00224067">
      <w:pPr>
        <w:pStyle w:val="enumlev1"/>
      </w:pPr>
      <w:r w:rsidRPr="00106DA6">
        <w:t>5</w:t>
      </w:r>
      <w:r w:rsidRPr="00106DA6">
        <w:tab/>
        <w:t>Table ronde ministérielle et table ronde des dirigeants du secteur privé et déclarations de politique générale</w:t>
      </w:r>
      <w:r w:rsidR="00FE2C67" w:rsidRPr="00106DA6">
        <w:t>.</w:t>
      </w:r>
    </w:p>
    <w:p w14:paraId="763CD627" w14:textId="77777777" w:rsidR="00224067" w:rsidRPr="00106DA6" w:rsidRDefault="00224067" w:rsidP="00224067">
      <w:pPr>
        <w:pStyle w:val="Heading1"/>
      </w:pPr>
      <w:r w:rsidRPr="00106DA6">
        <w:t>III</w:t>
      </w:r>
      <w:r w:rsidRPr="00106DA6">
        <w:tab/>
        <w:t>Programme de travail de l'UIT-D pour la période 2026-2029</w:t>
      </w:r>
    </w:p>
    <w:p w14:paraId="16F08C55" w14:textId="4765232E" w:rsidR="00224067" w:rsidRPr="00106DA6" w:rsidRDefault="00224067" w:rsidP="00224067">
      <w:pPr>
        <w:pStyle w:val="enumlev1"/>
      </w:pPr>
      <w:r w:rsidRPr="00106DA6">
        <w:t>6</w:t>
      </w:r>
      <w:r w:rsidRPr="00106DA6">
        <w:tab/>
        <w:t>Résultats des réunions préparatoires régionales en vue de la CMDT.</w:t>
      </w:r>
    </w:p>
    <w:p w14:paraId="25445D97" w14:textId="0E03843D" w:rsidR="00224067" w:rsidRPr="00106DA6" w:rsidRDefault="00224067" w:rsidP="00224067">
      <w:pPr>
        <w:pStyle w:val="enumlev1"/>
      </w:pPr>
      <w:r w:rsidRPr="00106DA6">
        <w:t>7</w:t>
      </w:r>
      <w:r w:rsidRPr="00106DA6">
        <w:tab/>
        <w:t xml:space="preserve">Contribution de l'UIT-D </w:t>
      </w:r>
      <w:proofErr w:type="gramStart"/>
      <w:r w:rsidRPr="00106DA6">
        <w:t>au</w:t>
      </w:r>
      <w:proofErr w:type="gramEnd"/>
      <w:r w:rsidRPr="00106DA6">
        <w:t xml:space="preserve"> Plan stratégique de l'UIT pour la période 2028-2031.</w:t>
      </w:r>
    </w:p>
    <w:p w14:paraId="4AC732FC" w14:textId="37F4DA8C" w:rsidR="00224067" w:rsidRPr="00106DA6" w:rsidRDefault="00224067" w:rsidP="00224067">
      <w:pPr>
        <w:pStyle w:val="enumlev1"/>
      </w:pPr>
      <w:r w:rsidRPr="00106DA6">
        <w:t>8</w:t>
      </w:r>
      <w:r w:rsidRPr="00106DA6">
        <w:tab/>
        <w:t>Priorités de l'UIT-D.</w:t>
      </w:r>
    </w:p>
    <w:p w14:paraId="56FBD22D" w14:textId="47710427" w:rsidR="00224067" w:rsidRPr="00106DA6" w:rsidRDefault="00224067" w:rsidP="00224067">
      <w:pPr>
        <w:pStyle w:val="enumlev1"/>
      </w:pPr>
      <w:r w:rsidRPr="00106DA6">
        <w:t>9</w:t>
      </w:r>
      <w:r w:rsidRPr="00106DA6">
        <w:tab/>
        <w:t>Plan d'action de l'UIT-D pour la période suivante.</w:t>
      </w:r>
    </w:p>
    <w:p w14:paraId="15BAE004" w14:textId="55B91718" w:rsidR="00224067" w:rsidRPr="00106DA6" w:rsidRDefault="00224067" w:rsidP="00224067">
      <w:pPr>
        <w:pStyle w:val="enumlev1"/>
      </w:pPr>
      <w:r w:rsidRPr="00106DA6">
        <w:t>10</w:t>
      </w:r>
      <w:r w:rsidRPr="00106DA6">
        <w:tab/>
        <w:t>Déclaration de la CMDT.</w:t>
      </w:r>
    </w:p>
    <w:p w14:paraId="3D30C0DC" w14:textId="38B7E623" w:rsidR="00224067" w:rsidRPr="00106DA6" w:rsidRDefault="00224067" w:rsidP="00224067">
      <w:pPr>
        <w:pStyle w:val="enumlev1"/>
      </w:pPr>
      <w:r w:rsidRPr="00106DA6">
        <w:t>11</w:t>
      </w:r>
      <w:r w:rsidRPr="00106DA6">
        <w:tab/>
        <w:t>Groupe consultatif pour le développement des télécommunications:</w:t>
      </w:r>
    </w:p>
    <w:p w14:paraId="126395BC" w14:textId="02048E35" w:rsidR="00224067" w:rsidRPr="00106DA6" w:rsidRDefault="00224067" w:rsidP="00224067">
      <w:pPr>
        <w:pStyle w:val="enumlev2"/>
      </w:pPr>
      <w:r w:rsidRPr="00106DA6">
        <w:t>a)</w:t>
      </w:r>
      <w:r w:rsidRPr="00106DA6">
        <w:tab/>
        <w:t>Pouvoir conféré au Groupe consultatif pour le développement des télécommunications d'agir entre les conférences mondiales de développement des télécommunications (Résolution 24 (Rév. Dubaï, 2014)).</w:t>
      </w:r>
    </w:p>
    <w:p w14:paraId="117410A9" w14:textId="03D0314B" w:rsidR="00224067" w:rsidRPr="00106DA6" w:rsidRDefault="00224067" w:rsidP="00224067">
      <w:pPr>
        <w:pStyle w:val="enumlev2"/>
      </w:pPr>
      <w:r w:rsidRPr="00106DA6">
        <w:t>b)</w:t>
      </w:r>
      <w:r w:rsidRPr="00106DA6">
        <w:tab/>
        <w:t>Structure et méthodes de travail.</w:t>
      </w:r>
    </w:p>
    <w:p w14:paraId="2CAFE230" w14:textId="0EC8F66F" w:rsidR="00224067" w:rsidRPr="00106DA6" w:rsidRDefault="00224067" w:rsidP="00FE2C67">
      <w:pPr>
        <w:pStyle w:val="enumlev1"/>
        <w:keepNext/>
        <w:keepLines/>
      </w:pPr>
      <w:r w:rsidRPr="00106DA6">
        <w:lastRenderedPageBreak/>
        <w:t>12</w:t>
      </w:r>
      <w:r w:rsidRPr="00106DA6">
        <w:tab/>
        <w:t>Commissions d'études.</w:t>
      </w:r>
    </w:p>
    <w:p w14:paraId="72850727" w14:textId="4EA2AE54" w:rsidR="00224067" w:rsidRPr="00106DA6" w:rsidRDefault="00224067" w:rsidP="00FE2C67">
      <w:pPr>
        <w:pStyle w:val="enumlev2"/>
        <w:keepNext/>
        <w:keepLines/>
      </w:pPr>
      <w:r w:rsidRPr="00106DA6">
        <w:t>a)</w:t>
      </w:r>
      <w:r w:rsidRPr="00106DA6">
        <w:tab/>
        <w:t>Questions à l'étude.</w:t>
      </w:r>
    </w:p>
    <w:p w14:paraId="74705A73" w14:textId="5206BA96" w:rsidR="00224067" w:rsidRPr="00106DA6" w:rsidRDefault="00224067" w:rsidP="00FE2C67">
      <w:pPr>
        <w:pStyle w:val="enumlev2"/>
        <w:keepNext/>
        <w:keepLines/>
      </w:pPr>
      <w:r w:rsidRPr="00106DA6">
        <w:t>b)</w:t>
      </w:r>
      <w:r w:rsidRPr="00106DA6">
        <w:tab/>
        <w:t>Structure et méthodes de travail.</w:t>
      </w:r>
    </w:p>
    <w:p w14:paraId="44FEDEEB" w14:textId="019786AE" w:rsidR="00EB5FBE" w:rsidRDefault="00224067" w:rsidP="00224067">
      <w:pPr>
        <w:pStyle w:val="enumlev1"/>
      </w:pPr>
      <w:r w:rsidRPr="00106DA6">
        <w:t>13</w:t>
      </w:r>
      <w:r w:rsidRPr="00106DA6">
        <w:tab/>
      </w:r>
      <w:r w:rsidR="00EB5FBE">
        <w:t xml:space="preserve">Initiatives </w:t>
      </w:r>
      <w:r w:rsidR="009E460E">
        <w:t>régionales</w:t>
      </w:r>
      <w:r w:rsidR="00880169">
        <w:t>.</w:t>
      </w:r>
    </w:p>
    <w:p w14:paraId="704481E9" w14:textId="40A0F6EE" w:rsidR="00224067" w:rsidRPr="00106DA6" w:rsidRDefault="00EB5FBE" w:rsidP="00224067">
      <w:pPr>
        <w:pStyle w:val="enumlev1"/>
      </w:pPr>
      <w:r>
        <w:t>14</w:t>
      </w:r>
      <w:r>
        <w:tab/>
      </w:r>
      <w:r w:rsidR="00224067" w:rsidRPr="00106DA6">
        <w:t>Résolutions et Recommandations.</w:t>
      </w:r>
    </w:p>
    <w:p w14:paraId="05309BCC" w14:textId="1615252D" w:rsidR="00897553" w:rsidRPr="00106DA6" w:rsidRDefault="006A11AE" w:rsidP="006A11AE">
      <w:pPr>
        <w:jc w:val="center"/>
      </w:pPr>
      <w:r w:rsidRPr="00106DA6">
        <w:t>______________</w:t>
      </w:r>
    </w:p>
    <w:sectPr w:rsidR="00897553" w:rsidRPr="00106DA6" w:rsidSect="000B58EC">
      <w:headerReference w:type="first" r:id="rId21"/>
      <w:pgSz w:w="11907" w:h="16840" w:code="9"/>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A98" w14:textId="38BA18B0" w:rsidR="00732045" w:rsidRPr="00D53F90" w:rsidRDefault="00EA2EF7">
    <w:pPr>
      <w:pStyle w:val="Footer"/>
      <w:rPr>
        <w:lang w:val="en-US"/>
      </w:rPr>
    </w:pPr>
    <w:r>
      <w:fldChar w:fldCharType="begin"/>
    </w:r>
    <w:r w:rsidRPr="00D53F90">
      <w:rPr>
        <w:lang w:val="en-US"/>
      </w:rPr>
      <w:instrText xml:space="preserve"> FILENAME \p \* MERGEFORMAT </w:instrText>
    </w:r>
    <w:r>
      <w:fldChar w:fldCharType="separate"/>
    </w:r>
    <w:r w:rsidR="00106DA6">
      <w:rPr>
        <w:lang w:val="en-US"/>
      </w:rPr>
      <w:t>P:\FRA\gDoc\SG\C24\24-00709F.docx</w:t>
    </w:r>
    <w:r>
      <w:fldChar w:fldCharType="end"/>
    </w:r>
    <w:r w:rsidR="00732045" w:rsidRPr="00D53F90">
      <w:rPr>
        <w:lang w:val="en-US"/>
      </w:rPr>
      <w:tab/>
    </w:r>
    <w:r w:rsidR="002F1B76">
      <w:fldChar w:fldCharType="begin"/>
    </w:r>
    <w:r w:rsidR="00732045">
      <w:instrText xml:space="preserve"> savedate \@ dd.MM.yy </w:instrText>
    </w:r>
    <w:r w:rsidR="002F1B76">
      <w:fldChar w:fldCharType="separate"/>
    </w:r>
    <w:r w:rsidR="00977C48">
      <w:t>27.05.24</w:t>
    </w:r>
    <w:r w:rsidR="002F1B76">
      <w:fldChar w:fldCharType="end"/>
    </w:r>
    <w:r w:rsidR="00732045" w:rsidRPr="00D53F90">
      <w:rPr>
        <w:lang w:val="en-US"/>
      </w:rPr>
      <w:tab/>
    </w:r>
    <w:r w:rsidR="002F1B76">
      <w:fldChar w:fldCharType="begin"/>
    </w:r>
    <w:r w:rsidR="00732045">
      <w:instrText xml:space="preserve"> printdate \@ dd.MM.yy </w:instrText>
    </w:r>
    <w:r w:rsidR="002F1B76">
      <w:fldChar w:fldCharType="separate"/>
    </w:r>
    <w:r w:rsidR="00106DA6">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5B5E9544" w:rsidR="00A51849" w:rsidRDefault="00D90FD3" w:rsidP="00A51849">
          <w:pPr>
            <w:pStyle w:val="Header"/>
            <w:jc w:val="left"/>
            <w:rPr>
              <w:noProof/>
            </w:rPr>
          </w:pPr>
          <w:r w:rsidRPr="00977C48">
            <w:rPr>
              <w:noProof/>
              <w:color w:val="7F7F7F" w:themeColor="text1" w:themeTint="80"/>
            </w:rPr>
            <w:t>2400</w:t>
          </w:r>
          <w:r w:rsidR="002B48B2" w:rsidRPr="00977C48">
            <w:rPr>
              <w:noProof/>
              <w:color w:val="7F7F7F" w:themeColor="text1" w:themeTint="80"/>
            </w:rPr>
            <w:t>860</w:t>
          </w:r>
        </w:p>
      </w:tc>
      <w:tc>
        <w:tcPr>
          <w:tcW w:w="8261" w:type="dxa"/>
        </w:tcPr>
        <w:p w14:paraId="0DB0A3C6" w14:textId="61EAED84" w:rsidR="00A51849" w:rsidRPr="00E06FD5" w:rsidRDefault="00A51849" w:rsidP="002B48B2">
          <w:pPr>
            <w:pStyle w:val="Header"/>
            <w:tabs>
              <w:tab w:val="left" w:pos="6592"/>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0B58EC">
            <w:rPr>
              <w:bCs/>
            </w:rPr>
            <w:t>30</w:t>
          </w:r>
          <w:r w:rsidR="009E460E">
            <w:rPr>
              <w:bCs/>
            </w:rPr>
            <w:t>(Rév.1)</w:t>
          </w:r>
          <w:r w:rsidRPr="00623AE3">
            <w:rPr>
              <w:bCs/>
            </w:rPr>
            <w:t>-</w:t>
          </w:r>
          <w:r w:rsidR="00973F53">
            <w:rPr>
              <w:bCs/>
            </w:rPr>
            <w:t>F</w:t>
          </w:r>
          <w:r>
            <w:rPr>
              <w:bCs/>
            </w:rPr>
            <w:tab/>
          </w:r>
          <w:r>
            <w:fldChar w:fldCharType="begin"/>
          </w:r>
          <w:r>
            <w:instrText>PAGE</w:instrText>
          </w:r>
          <w:r>
            <w:fldChar w:fldCharType="separate"/>
          </w:r>
          <w:r w:rsidR="009E460E">
            <w:rPr>
              <w:noProof/>
            </w:rPr>
            <w:t>9</w:t>
          </w:r>
          <w:r>
            <w:rPr>
              <w:noProof/>
            </w:rPr>
            <w:fldChar w:fldCharType="end"/>
          </w:r>
        </w:p>
      </w:tc>
    </w:tr>
  </w:tbl>
  <w:p w14:paraId="0BA722AB" w14:textId="03F3F678" w:rsidR="00732045" w:rsidRPr="00A51849" w:rsidRDefault="00732045" w:rsidP="006A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77777777" w:rsidR="00A51849" w:rsidRPr="0082299A" w:rsidRDefault="00B43B60"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4C3D0956" w14:textId="11DDB0A8"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0B58EC">
            <w:rPr>
              <w:bCs/>
            </w:rPr>
            <w:t>30</w:t>
          </w:r>
          <w:r w:rsidRPr="00623AE3">
            <w:rPr>
              <w:bCs/>
            </w:rPr>
            <w:t>-</w:t>
          </w:r>
          <w:r w:rsidR="00D72F49">
            <w:rPr>
              <w:bCs/>
            </w:rPr>
            <w:t>F</w:t>
          </w:r>
          <w:r>
            <w:rPr>
              <w:bCs/>
            </w:rPr>
            <w:tab/>
          </w:r>
          <w:r>
            <w:fldChar w:fldCharType="begin"/>
          </w:r>
          <w:r>
            <w:instrText>PAGE</w:instrText>
          </w:r>
          <w:r>
            <w:fldChar w:fldCharType="separate"/>
          </w:r>
          <w:r w:rsidR="009E460E">
            <w:rPr>
              <w:noProof/>
            </w:rPr>
            <w:t>1</w:t>
          </w:r>
          <w:r>
            <w:rPr>
              <w:noProof/>
            </w:rPr>
            <w:fldChar w:fldCharType="end"/>
          </w:r>
        </w:p>
      </w:tc>
    </w:tr>
  </w:tbl>
  <w:p w14:paraId="67CF33E3" w14:textId="511E3F5D" w:rsidR="00732045" w:rsidRPr="00A51849" w:rsidRDefault="00732045"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3F25067" w14:textId="77777777" w:rsidTr="00E31DCE">
      <w:trPr>
        <w:trHeight w:val="1104"/>
        <w:jc w:val="center"/>
      </w:trPr>
      <w:tc>
        <w:tcPr>
          <w:tcW w:w="4390" w:type="dxa"/>
          <w:vAlign w:val="center"/>
        </w:tcPr>
        <w:p w14:paraId="113CB22E" w14:textId="00251A84" w:rsidR="00A51849" w:rsidRPr="009621F8" w:rsidRDefault="0082299A" w:rsidP="00A51849">
          <w:pPr>
            <w:pStyle w:val="Header"/>
            <w:jc w:val="left"/>
            <w:rPr>
              <w:rFonts w:ascii="Arial" w:hAnsi="Arial" w:cs="Arial"/>
              <w:b/>
              <w:bCs/>
              <w:color w:val="009CD6"/>
              <w:sz w:val="36"/>
              <w:szCs w:val="36"/>
            </w:rPr>
          </w:pPr>
          <w:r>
            <w:rPr>
              <w:noProof/>
              <w:lang w:val="fr-CH" w:eastAsia="fr-CH"/>
            </w:rPr>
            <w:drawing>
              <wp:inline distT="0" distB="0" distL="0" distR="0" wp14:anchorId="68486828" wp14:editId="1DE66D1A">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lang w:val="fr-CH" w:eastAsia="fr-CH"/>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020E" w14:textId="77777777" w:rsidR="000B58EC" w:rsidRDefault="000B58EC">
    <w:pPr>
      <w:pStyle w:val="Header"/>
    </w:pPr>
    <w:r w:rsidRPr="00802C2C">
      <w:rPr>
        <w:rFonts w:ascii="Avenir Nxt2 W1G Medium" w:eastAsia="Avenir Nxt2 W1G Medium" w:hAnsi="Avenir Nxt2 W1G Medium" w:cs="Avenir Nxt2 W1G Medium"/>
        <w:noProof/>
        <w:lang w:val="fr-CH" w:eastAsia="fr-CH"/>
      </w:rPr>
      <mc:AlternateContent>
        <mc:Choice Requires="wps">
          <w:drawing>
            <wp:anchor distT="0" distB="0" distL="114300" distR="114300" simplePos="0" relativeHeight="251661312" behindDoc="0" locked="0" layoutInCell="1" allowOverlap="1" wp14:anchorId="145CCE5E" wp14:editId="4765BB1F">
              <wp:simplePos x="0" y="0"/>
              <wp:positionH relativeFrom="page">
                <wp:posOffset>12065</wp:posOffset>
              </wp:positionH>
              <wp:positionV relativeFrom="topMargin">
                <wp:posOffset>652450</wp:posOffset>
              </wp:positionV>
              <wp:extent cx="92075" cy="360680"/>
              <wp:effectExtent l="0" t="0" r="3175"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051AE" id="Rectangle 1" o:spid="_x0000_s1026" style="position:absolute;margin-left:.95pt;margin-top:51.35pt;width:7.25pt;height:2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8F"/>
    <w:rsid w:val="00076A2C"/>
    <w:rsid w:val="000B58EC"/>
    <w:rsid w:val="000D0D0A"/>
    <w:rsid w:val="000F5549"/>
    <w:rsid w:val="00103163"/>
    <w:rsid w:val="00106B19"/>
    <w:rsid w:val="00106DA6"/>
    <w:rsid w:val="001133EF"/>
    <w:rsid w:val="00115D93"/>
    <w:rsid w:val="001247A8"/>
    <w:rsid w:val="001378C0"/>
    <w:rsid w:val="001532B6"/>
    <w:rsid w:val="0018694A"/>
    <w:rsid w:val="001A3287"/>
    <w:rsid w:val="001A6508"/>
    <w:rsid w:val="001D4C31"/>
    <w:rsid w:val="001E4D21"/>
    <w:rsid w:val="00207CD1"/>
    <w:rsid w:val="00224067"/>
    <w:rsid w:val="00226657"/>
    <w:rsid w:val="002477A2"/>
    <w:rsid w:val="00263A51"/>
    <w:rsid w:val="00267E02"/>
    <w:rsid w:val="002A5D44"/>
    <w:rsid w:val="002B48B2"/>
    <w:rsid w:val="002E0BC4"/>
    <w:rsid w:val="002F1B76"/>
    <w:rsid w:val="0033568E"/>
    <w:rsid w:val="00355FF5"/>
    <w:rsid w:val="00361350"/>
    <w:rsid w:val="003C3FAE"/>
    <w:rsid w:val="004038CB"/>
    <w:rsid w:val="0040546F"/>
    <w:rsid w:val="0042404A"/>
    <w:rsid w:val="0044618F"/>
    <w:rsid w:val="0046769A"/>
    <w:rsid w:val="00475FB3"/>
    <w:rsid w:val="004C37A9"/>
    <w:rsid w:val="004D1D50"/>
    <w:rsid w:val="004F259E"/>
    <w:rsid w:val="00511F1D"/>
    <w:rsid w:val="00520F36"/>
    <w:rsid w:val="00534E13"/>
    <w:rsid w:val="00540615"/>
    <w:rsid w:val="00540A6D"/>
    <w:rsid w:val="00566679"/>
    <w:rsid w:val="00571EEA"/>
    <w:rsid w:val="00575417"/>
    <w:rsid w:val="005768E1"/>
    <w:rsid w:val="005B1938"/>
    <w:rsid w:val="005C3890"/>
    <w:rsid w:val="005F7BFE"/>
    <w:rsid w:val="00600017"/>
    <w:rsid w:val="006235CA"/>
    <w:rsid w:val="006643AB"/>
    <w:rsid w:val="0069704E"/>
    <w:rsid w:val="006A11AE"/>
    <w:rsid w:val="006F0A53"/>
    <w:rsid w:val="006F4214"/>
    <w:rsid w:val="007210CD"/>
    <w:rsid w:val="00732045"/>
    <w:rsid w:val="0073275D"/>
    <w:rsid w:val="007369DB"/>
    <w:rsid w:val="007956C2"/>
    <w:rsid w:val="007A187E"/>
    <w:rsid w:val="007C72C2"/>
    <w:rsid w:val="007D4436"/>
    <w:rsid w:val="007E335A"/>
    <w:rsid w:val="007F257A"/>
    <w:rsid w:val="007F3665"/>
    <w:rsid w:val="00800037"/>
    <w:rsid w:val="0082299A"/>
    <w:rsid w:val="0083391C"/>
    <w:rsid w:val="00851C13"/>
    <w:rsid w:val="00861D73"/>
    <w:rsid w:val="00880169"/>
    <w:rsid w:val="00897553"/>
    <w:rsid w:val="008A4E87"/>
    <w:rsid w:val="008B1B7A"/>
    <w:rsid w:val="008D76E6"/>
    <w:rsid w:val="0092392D"/>
    <w:rsid w:val="0093234A"/>
    <w:rsid w:val="00956A78"/>
    <w:rsid w:val="0097363B"/>
    <w:rsid w:val="00973F53"/>
    <w:rsid w:val="00977C48"/>
    <w:rsid w:val="009A6BAA"/>
    <w:rsid w:val="009C307F"/>
    <w:rsid w:val="009C353C"/>
    <w:rsid w:val="009E460E"/>
    <w:rsid w:val="00A2113E"/>
    <w:rsid w:val="00A23A51"/>
    <w:rsid w:val="00A24607"/>
    <w:rsid w:val="00A25CD3"/>
    <w:rsid w:val="00A51849"/>
    <w:rsid w:val="00A709FE"/>
    <w:rsid w:val="00A73C60"/>
    <w:rsid w:val="00A82767"/>
    <w:rsid w:val="00AA332F"/>
    <w:rsid w:val="00AA7BBB"/>
    <w:rsid w:val="00AB64A8"/>
    <w:rsid w:val="00AC0266"/>
    <w:rsid w:val="00AD24EC"/>
    <w:rsid w:val="00AF0F63"/>
    <w:rsid w:val="00B309F9"/>
    <w:rsid w:val="00B32B60"/>
    <w:rsid w:val="00B43B60"/>
    <w:rsid w:val="00B61619"/>
    <w:rsid w:val="00BB4545"/>
    <w:rsid w:val="00BD5873"/>
    <w:rsid w:val="00BF4B60"/>
    <w:rsid w:val="00C04BE3"/>
    <w:rsid w:val="00C25D29"/>
    <w:rsid w:val="00C27A7C"/>
    <w:rsid w:val="00C42437"/>
    <w:rsid w:val="00CA08ED"/>
    <w:rsid w:val="00CE08C5"/>
    <w:rsid w:val="00CF183B"/>
    <w:rsid w:val="00CF2836"/>
    <w:rsid w:val="00D375CD"/>
    <w:rsid w:val="00D53F90"/>
    <w:rsid w:val="00D553A2"/>
    <w:rsid w:val="00D72F49"/>
    <w:rsid w:val="00D774D3"/>
    <w:rsid w:val="00D904E8"/>
    <w:rsid w:val="00D90FD3"/>
    <w:rsid w:val="00DA08C3"/>
    <w:rsid w:val="00DB5A3E"/>
    <w:rsid w:val="00DC22AA"/>
    <w:rsid w:val="00DF74DD"/>
    <w:rsid w:val="00E25AD0"/>
    <w:rsid w:val="00E4428F"/>
    <w:rsid w:val="00E93668"/>
    <w:rsid w:val="00E95647"/>
    <w:rsid w:val="00E967E8"/>
    <w:rsid w:val="00EA2EF7"/>
    <w:rsid w:val="00EB5FBE"/>
    <w:rsid w:val="00EB6350"/>
    <w:rsid w:val="00F15B57"/>
    <w:rsid w:val="00F35EF4"/>
    <w:rsid w:val="00F37FE5"/>
    <w:rsid w:val="00F427DB"/>
    <w:rsid w:val="00FA5EB1"/>
    <w:rsid w:val="00FA7439"/>
    <w:rsid w:val="00FC4EC0"/>
    <w:rsid w:val="00FE2C67"/>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customStyle="1" w:styleId="UnresolvedMention1">
    <w:name w:val="Unresolved Mention1"/>
    <w:basedOn w:val="DefaultParagraphFont"/>
    <w:uiPriority w:val="99"/>
    <w:semiHidden/>
    <w:unhideWhenUsed/>
    <w:rsid w:val="000B58EC"/>
    <w:rPr>
      <w:color w:val="605E5C"/>
      <w:shd w:val="clear" w:color="auto" w:fill="E1DFDD"/>
    </w:rPr>
  </w:style>
  <w:style w:type="paragraph" w:styleId="BalloonText">
    <w:name w:val="Balloon Text"/>
    <w:basedOn w:val="Normal"/>
    <w:link w:val="BalloonTextChar"/>
    <w:semiHidden/>
    <w:unhideWhenUsed/>
    <w:rsid w:val="00EB5FB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B5FBE"/>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vention-F.pdf" TargetMode="External"/><Relationship Id="rId13" Type="http://schemas.openxmlformats.org/officeDocument/2006/relationships/hyperlink" Target="https://www.itu.int/md/S23-SG-CIR-0051/fr"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itu.int/en/council/Documents/basic-texts/Constitution-F.pdf" TargetMode="External"/><Relationship Id="rId12" Type="http://schemas.openxmlformats.org/officeDocument/2006/relationships/hyperlink" Target="https://www.itu.int/md/S23-SG-CIR-0051/f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mailto:khayala.pashazada@mincom.gov.az"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en/council/Documents/basic-texts-2023/RES-111-F.pdf"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itu.int/en/council/Documents/basic-texts-2023/RES-077-F.pdf"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tu.int/en/council/Documents/basic-texts/General-Rules-F.pdf" TargetMode="External"/><Relationship Id="rId14" Type="http://schemas.openxmlformats.org/officeDocument/2006/relationships/header" Target="head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2CDEE-3D77-463C-A8A2-0441ED96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1834</Words>
  <Characters>11135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12944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2024 de l'UIT</dc:subject>
  <dc:creator>Xue, Kun</dc:creator>
  <cp:keywords>C2024, C24, Council-24</cp:keywords>
  <dc:description/>
  <cp:lastModifiedBy>LRT</cp:lastModifiedBy>
  <cp:revision>4</cp:revision>
  <cp:lastPrinted>2000-07-18T08:55:00Z</cp:lastPrinted>
  <dcterms:created xsi:type="dcterms:W3CDTF">2024-05-27T14:54:00Z</dcterms:created>
  <dcterms:modified xsi:type="dcterms:W3CDTF">2024-05-29T14:28:00Z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