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F47707" w14:paraId="2592CC74" w14:textId="77777777" w:rsidTr="00D72F49">
        <w:trPr>
          <w:cantSplit/>
          <w:trHeight w:val="23"/>
        </w:trPr>
        <w:tc>
          <w:tcPr>
            <w:tcW w:w="3969" w:type="dxa"/>
            <w:vMerge w:val="restart"/>
            <w:tcMar>
              <w:left w:w="0" w:type="dxa"/>
            </w:tcMar>
          </w:tcPr>
          <w:p w14:paraId="27E56DEB" w14:textId="0594E0E5" w:rsidR="00D72F49" w:rsidRPr="00F47707" w:rsidRDefault="00D72F49" w:rsidP="00D72F49">
            <w:pPr>
              <w:tabs>
                <w:tab w:val="left" w:pos="851"/>
              </w:tabs>
              <w:spacing w:before="0" w:line="240" w:lineRule="atLeast"/>
              <w:rPr>
                <w:b/>
              </w:rPr>
            </w:pPr>
            <w:r w:rsidRPr="00F47707">
              <w:rPr>
                <w:b/>
              </w:rPr>
              <w:t>Point de l'ordre du jour:</w:t>
            </w:r>
            <w:r w:rsidR="00202F7B" w:rsidRPr="00F47707">
              <w:rPr>
                <w:b/>
              </w:rPr>
              <w:t xml:space="preserve"> PL 2</w:t>
            </w:r>
          </w:p>
        </w:tc>
        <w:tc>
          <w:tcPr>
            <w:tcW w:w="5245" w:type="dxa"/>
          </w:tcPr>
          <w:p w14:paraId="27B6A98A" w14:textId="7CA76DC6" w:rsidR="00D72F49" w:rsidRPr="00F47707" w:rsidRDefault="00D72F49" w:rsidP="00D72F49">
            <w:pPr>
              <w:tabs>
                <w:tab w:val="left" w:pos="851"/>
              </w:tabs>
              <w:spacing w:before="0" w:line="240" w:lineRule="atLeast"/>
              <w:jc w:val="right"/>
              <w:rPr>
                <w:b/>
              </w:rPr>
            </w:pPr>
            <w:r w:rsidRPr="00F47707">
              <w:rPr>
                <w:b/>
              </w:rPr>
              <w:t>Document C2</w:t>
            </w:r>
            <w:r w:rsidR="0073275D" w:rsidRPr="00F47707">
              <w:rPr>
                <w:b/>
              </w:rPr>
              <w:t>4</w:t>
            </w:r>
            <w:r w:rsidRPr="00F47707">
              <w:rPr>
                <w:b/>
              </w:rPr>
              <w:t>/</w:t>
            </w:r>
            <w:r w:rsidR="00202F7B" w:rsidRPr="00F47707">
              <w:rPr>
                <w:b/>
              </w:rPr>
              <w:t>27</w:t>
            </w:r>
            <w:r w:rsidRPr="00F47707">
              <w:rPr>
                <w:b/>
              </w:rPr>
              <w:t>-F</w:t>
            </w:r>
          </w:p>
        </w:tc>
      </w:tr>
      <w:tr w:rsidR="00D72F49" w:rsidRPr="00F47707" w14:paraId="41096C77" w14:textId="77777777" w:rsidTr="00D72F49">
        <w:trPr>
          <w:cantSplit/>
        </w:trPr>
        <w:tc>
          <w:tcPr>
            <w:tcW w:w="3969" w:type="dxa"/>
            <w:vMerge/>
          </w:tcPr>
          <w:p w14:paraId="0BBA5643" w14:textId="77777777" w:rsidR="00D72F49" w:rsidRPr="00F47707" w:rsidRDefault="00D72F49" w:rsidP="00D72F49">
            <w:pPr>
              <w:tabs>
                <w:tab w:val="left" w:pos="851"/>
              </w:tabs>
              <w:spacing w:line="240" w:lineRule="atLeast"/>
              <w:rPr>
                <w:b/>
              </w:rPr>
            </w:pPr>
          </w:p>
        </w:tc>
        <w:tc>
          <w:tcPr>
            <w:tcW w:w="5245" w:type="dxa"/>
          </w:tcPr>
          <w:p w14:paraId="068BECD5" w14:textId="16E5BFE8" w:rsidR="00D72F49" w:rsidRPr="00F47707" w:rsidRDefault="00202F7B" w:rsidP="00D72F49">
            <w:pPr>
              <w:tabs>
                <w:tab w:val="left" w:pos="851"/>
              </w:tabs>
              <w:spacing w:before="0"/>
              <w:jc w:val="right"/>
              <w:rPr>
                <w:b/>
              </w:rPr>
            </w:pPr>
            <w:r w:rsidRPr="00F47707">
              <w:rPr>
                <w:b/>
              </w:rPr>
              <w:t>6 mai</w:t>
            </w:r>
            <w:r w:rsidR="00D72F49" w:rsidRPr="00F47707">
              <w:rPr>
                <w:b/>
              </w:rPr>
              <w:t xml:space="preserve"> 202</w:t>
            </w:r>
            <w:r w:rsidR="0073275D" w:rsidRPr="00F47707">
              <w:rPr>
                <w:b/>
              </w:rPr>
              <w:t>4</w:t>
            </w:r>
          </w:p>
        </w:tc>
      </w:tr>
      <w:tr w:rsidR="00D72F49" w:rsidRPr="00F47707" w14:paraId="17E5B988" w14:textId="77777777" w:rsidTr="00D72F49">
        <w:trPr>
          <w:cantSplit/>
          <w:trHeight w:val="23"/>
        </w:trPr>
        <w:tc>
          <w:tcPr>
            <w:tcW w:w="3969" w:type="dxa"/>
            <w:vMerge/>
          </w:tcPr>
          <w:p w14:paraId="2192D6D7" w14:textId="77777777" w:rsidR="00D72F49" w:rsidRPr="00F47707" w:rsidRDefault="00D72F49" w:rsidP="00D72F49">
            <w:pPr>
              <w:tabs>
                <w:tab w:val="left" w:pos="851"/>
              </w:tabs>
              <w:spacing w:line="240" w:lineRule="atLeast"/>
              <w:rPr>
                <w:b/>
              </w:rPr>
            </w:pPr>
          </w:p>
        </w:tc>
        <w:tc>
          <w:tcPr>
            <w:tcW w:w="5245" w:type="dxa"/>
          </w:tcPr>
          <w:p w14:paraId="1948C622" w14:textId="77777777" w:rsidR="00D72F49" w:rsidRPr="00F47707" w:rsidRDefault="00D72F49" w:rsidP="00D72F49">
            <w:pPr>
              <w:tabs>
                <w:tab w:val="left" w:pos="851"/>
              </w:tabs>
              <w:spacing w:before="0" w:line="240" w:lineRule="atLeast"/>
              <w:jc w:val="right"/>
              <w:rPr>
                <w:b/>
              </w:rPr>
            </w:pPr>
            <w:r w:rsidRPr="00F47707">
              <w:rPr>
                <w:b/>
              </w:rPr>
              <w:t>Original: anglais</w:t>
            </w:r>
          </w:p>
        </w:tc>
      </w:tr>
      <w:tr w:rsidR="00D72F49" w:rsidRPr="00F47707" w14:paraId="53623BEE" w14:textId="77777777" w:rsidTr="00D72F49">
        <w:trPr>
          <w:cantSplit/>
          <w:trHeight w:val="23"/>
        </w:trPr>
        <w:tc>
          <w:tcPr>
            <w:tcW w:w="3969" w:type="dxa"/>
          </w:tcPr>
          <w:p w14:paraId="630B4C34" w14:textId="77777777" w:rsidR="00D72F49" w:rsidRPr="00F47707" w:rsidRDefault="00D72F49" w:rsidP="00D72F49">
            <w:pPr>
              <w:tabs>
                <w:tab w:val="left" w:pos="851"/>
              </w:tabs>
              <w:spacing w:line="240" w:lineRule="atLeast"/>
              <w:rPr>
                <w:b/>
              </w:rPr>
            </w:pPr>
          </w:p>
        </w:tc>
        <w:tc>
          <w:tcPr>
            <w:tcW w:w="5245" w:type="dxa"/>
          </w:tcPr>
          <w:p w14:paraId="437750C4" w14:textId="77777777" w:rsidR="00D72F49" w:rsidRPr="00F47707" w:rsidRDefault="00D72F49" w:rsidP="00D72F49">
            <w:pPr>
              <w:tabs>
                <w:tab w:val="left" w:pos="851"/>
              </w:tabs>
              <w:spacing w:before="0" w:line="240" w:lineRule="atLeast"/>
              <w:jc w:val="right"/>
              <w:rPr>
                <w:b/>
              </w:rPr>
            </w:pPr>
          </w:p>
        </w:tc>
      </w:tr>
      <w:tr w:rsidR="00D72F49" w:rsidRPr="00F47707" w14:paraId="31FFA2A5" w14:textId="77777777" w:rsidTr="00D72F49">
        <w:trPr>
          <w:cantSplit/>
        </w:trPr>
        <w:tc>
          <w:tcPr>
            <w:tcW w:w="9214" w:type="dxa"/>
            <w:gridSpan w:val="2"/>
            <w:tcMar>
              <w:left w:w="0" w:type="dxa"/>
            </w:tcMar>
          </w:tcPr>
          <w:p w14:paraId="7AA1F34C" w14:textId="37B3A59F" w:rsidR="00D72F49" w:rsidRPr="00F47707" w:rsidRDefault="00D72F49" w:rsidP="00D72F49">
            <w:pPr>
              <w:pStyle w:val="Source"/>
              <w:jc w:val="left"/>
              <w:rPr>
                <w:sz w:val="34"/>
                <w:szCs w:val="34"/>
              </w:rPr>
            </w:pPr>
            <w:r w:rsidRPr="00F47707">
              <w:rPr>
                <w:rFonts w:cstheme="minorHAnsi"/>
                <w:color w:val="000000"/>
                <w:sz w:val="34"/>
                <w:szCs w:val="34"/>
              </w:rPr>
              <w:t xml:space="preserve">Rapport </w:t>
            </w:r>
            <w:r w:rsidR="00E95647" w:rsidRPr="00F47707">
              <w:rPr>
                <w:rFonts w:cstheme="minorHAnsi"/>
                <w:color w:val="000000"/>
                <w:sz w:val="34"/>
                <w:szCs w:val="34"/>
              </w:rPr>
              <w:t xml:space="preserve">de la </w:t>
            </w:r>
            <w:r w:rsidRPr="00F47707">
              <w:rPr>
                <w:rFonts w:cstheme="minorHAnsi"/>
                <w:color w:val="000000"/>
                <w:sz w:val="34"/>
                <w:szCs w:val="34"/>
              </w:rPr>
              <w:t>Secrétaire général</w:t>
            </w:r>
            <w:r w:rsidR="00E95647" w:rsidRPr="00F47707">
              <w:rPr>
                <w:rFonts w:cstheme="minorHAnsi"/>
                <w:color w:val="000000"/>
                <w:sz w:val="34"/>
                <w:szCs w:val="34"/>
              </w:rPr>
              <w:t>e</w:t>
            </w:r>
          </w:p>
        </w:tc>
      </w:tr>
      <w:tr w:rsidR="00D72F49" w:rsidRPr="00F47707" w14:paraId="65E7E3D8" w14:textId="77777777" w:rsidTr="00D72F49">
        <w:trPr>
          <w:cantSplit/>
        </w:trPr>
        <w:tc>
          <w:tcPr>
            <w:tcW w:w="9214" w:type="dxa"/>
            <w:gridSpan w:val="2"/>
            <w:tcMar>
              <w:left w:w="0" w:type="dxa"/>
            </w:tcMar>
          </w:tcPr>
          <w:p w14:paraId="370F6D7B" w14:textId="02F30DB9" w:rsidR="00D72F49" w:rsidRPr="00F47707" w:rsidRDefault="00364393" w:rsidP="00D72F49">
            <w:pPr>
              <w:pStyle w:val="Subtitle"/>
              <w:framePr w:hSpace="0" w:wrap="auto" w:hAnchor="text" w:xAlign="left" w:yAlign="inline"/>
              <w:rPr>
                <w:lang w:val="fr-FR"/>
              </w:rPr>
            </w:pPr>
            <w:r w:rsidRPr="00F47707">
              <w:rPr>
                <w:rFonts w:cstheme="minorHAnsi"/>
                <w:lang w:val="fr-FR"/>
              </w:rPr>
              <w:t>STRATÉGIE DE COORDINATION DES EFFORTS ENTRE LES TROIS SECTEURS DE L'UNION</w:t>
            </w:r>
          </w:p>
        </w:tc>
      </w:tr>
      <w:tr w:rsidR="00D72F49" w:rsidRPr="00F47707"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4F1930CB" w:rsidR="00D72F49" w:rsidRPr="00F47707" w:rsidRDefault="00F37FE5" w:rsidP="00D72F49">
            <w:pPr>
              <w:spacing w:before="160"/>
              <w:rPr>
                <w:b/>
                <w:bCs/>
                <w:sz w:val="26"/>
                <w:szCs w:val="26"/>
              </w:rPr>
            </w:pPr>
            <w:r w:rsidRPr="00F47707">
              <w:rPr>
                <w:b/>
                <w:bCs/>
                <w:sz w:val="26"/>
                <w:szCs w:val="26"/>
              </w:rPr>
              <w:t>Objet</w:t>
            </w:r>
          </w:p>
          <w:p w14:paraId="45E55FB2" w14:textId="28EE6325" w:rsidR="00D72F49" w:rsidRPr="00F47707" w:rsidRDefault="00202F7B" w:rsidP="00D72F49">
            <w:r w:rsidRPr="00F47707">
              <w:t>On trouvera dans le présent document un rapport sur la mise en œuvre de la Résolution 191 (Rév. Bucarest, 2022) de la Conférence de plénipotentiaires relative à la stratégie de coordination des efforts entre les trois Secteurs de l'Union et le Secrétariat général.</w:t>
            </w:r>
          </w:p>
          <w:p w14:paraId="0B950982" w14:textId="77777777" w:rsidR="00D72F49" w:rsidRPr="00F47707" w:rsidRDefault="00D72F49" w:rsidP="00D72F49">
            <w:pPr>
              <w:spacing w:before="160"/>
              <w:rPr>
                <w:b/>
                <w:bCs/>
                <w:sz w:val="26"/>
                <w:szCs w:val="26"/>
              </w:rPr>
            </w:pPr>
            <w:r w:rsidRPr="00F47707">
              <w:rPr>
                <w:b/>
                <w:bCs/>
                <w:sz w:val="26"/>
                <w:szCs w:val="26"/>
              </w:rPr>
              <w:t>Suite à donner par le Conseil</w:t>
            </w:r>
          </w:p>
          <w:p w14:paraId="6F9A6B88" w14:textId="1B7703B4" w:rsidR="00D72F49" w:rsidRPr="00F47707" w:rsidRDefault="00202F7B" w:rsidP="00D72F49">
            <w:r w:rsidRPr="00F47707">
              <w:t xml:space="preserve">Le Conseil est invité à </w:t>
            </w:r>
            <w:r w:rsidRPr="00F47707">
              <w:rPr>
                <w:b/>
                <w:bCs/>
              </w:rPr>
              <w:t>prendre note</w:t>
            </w:r>
            <w:r w:rsidRPr="00F47707">
              <w:t xml:space="preserve"> du rapport.</w:t>
            </w:r>
          </w:p>
          <w:p w14:paraId="121C402A" w14:textId="6BDE90D3" w:rsidR="00D72F49" w:rsidRPr="00F47707" w:rsidRDefault="00D72F49" w:rsidP="00D72F49">
            <w:pPr>
              <w:spacing w:before="160"/>
              <w:rPr>
                <w:b/>
                <w:bCs/>
                <w:sz w:val="26"/>
                <w:szCs w:val="26"/>
              </w:rPr>
            </w:pPr>
            <w:r w:rsidRPr="00F47707">
              <w:rPr>
                <w:b/>
                <w:bCs/>
                <w:sz w:val="26"/>
                <w:szCs w:val="26"/>
              </w:rPr>
              <w:t xml:space="preserve">Liens pertinents avec le </w:t>
            </w:r>
            <w:r w:rsidR="00F37FE5" w:rsidRPr="00F47707">
              <w:rPr>
                <w:b/>
                <w:bCs/>
                <w:sz w:val="26"/>
                <w:szCs w:val="26"/>
              </w:rPr>
              <w:t>p</w:t>
            </w:r>
            <w:r w:rsidRPr="00F47707">
              <w:rPr>
                <w:b/>
                <w:bCs/>
                <w:sz w:val="26"/>
                <w:szCs w:val="26"/>
              </w:rPr>
              <w:t>lan stratégique</w:t>
            </w:r>
          </w:p>
          <w:p w14:paraId="60D63331" w14:textId="0176100C" w:rsidR="00D72F49" w:rsidRPr="00F47707" w:rsidRDefault="00202F7B" w:rsidP="00D72F49">
            <w:r w:rsidRPr="00F47707">
              <w:t>Excellence en matière de ressources humaines et d'innovation institutionnelle.</w:t>
            </w:r>
          </w:p>
          <w:p w14:paraId="11FAADC9" w14:textId="5466DDC5" w:rsidR="00E95647" w:rsidRPr="00F47707" w:rsidRDefault="00D72F49" w:rsidP="00D72F49">
            <w:pPr>
              <w:spacing w:before="160"/>
              <w:rPr>
                <w:b/>
                <w:bCs/>
                <w:sz w:val="26"/>
                <w:szCs w:val="26"/>
              </w:rPr>
            </w:pPr>
            <w:r w:rsidRPr="00F47707">
              <w:rPr>
                <w:b/>
                <w:bCs/>
                <w:sz w:val="26"/>
                <w:szCs w:val="26"/>
              </w:rPr>
              <w:t>Incidences financières</w:t>
            </w:r>
          </w:p>
          <w:p w14:paraId="1476D7E3" w14:textId="48BDAABC" w:rsidR="00D72F49" w:rsidRPr="00F47707" w:rsidRDefault="00202F7B" w:rsidP="00470D9F">
            <w:pPr>
              <w:rPr>
                <w:sz w:val="26"/>
                <w:szCs w:val="26"/>
              </w:rPr>
            </w:pPr>
            <w:r w:rsidRPr="00F47707">
              <w:rPr>
                <w:szCs w:val="24"/>
              </w:rPr>
              <w:t>Dans les limites du budget alloué pour 2024-2025.</w:t>
            </w:r>
          </w:p>
          <w:p w14:paraId="2E44E753" w14:textId="77777777" w:rsidR="00D72F49" w:rsidRPr="00F47707" w:rsidRDefault="00D72F49" w:rsidP="00D72F49">
            <w:pPr>
              <w:spacing w:before="160"/>
              <w:rPr>
                <w:caps/>
                <w:sz w:val="22"/>
              </w:rPr>
            </w:pPr>
            <w:r w:rsidRPr="00F47707">
              <w:rPr>
                <w:sz w:val="22"/>
              </w:rPr>
              <w:t>__________________</w:t>
            </w:r>
          </w:p>
          <w:p w14:paraId="246B160C" w14:textId="77777777" w:rsidR="00D72F49" w:rsidRPr="00F47707" w:rsidRDefault="00D72F49" w:rsidP="00D72F49">
            <w:pPr>
              <w:spacing w:before="160"/>
              <w:rPr>
                <w:b/>
                <w:bCs/>
                <w:sz w:val="26"/>
                <w:szCs w:val="26"/>
              </w:rPr>
            </w:pPr>
            <w:r w:rsidRPr="00F47707">
              <w:rPr>
                <w:b/>
                <w:bCs/>
                <w:sz w:val="26"/>
                <w:szCs w:val="26"/>
              </w:rPr>
              <w:t>Références</w:t>
            </w:r>
          </w:p>
          <w:p w14:paraId="3B399B5C" w14:textId="72C30826" w:rsidR="00D72F49" w:rsidRPr="00F47707" w:rsidRDefault="00364393" w:rsidP="00D72F49">
            <w:pPr>
              <w:spacing w:after="160"/>
              <w:rPr>
                <w:i/>
                <w:iCs/>
              </w:rPr>
            </w:pPr>
            <w:hyperlink r:id="rId6" w:history="1">
              <w:r w:rsidR="00202F7B" w:rsidRPr="00F47707">
                <w:rPr>
                  <w:rStyle w:val="Hyperlink"/>
                  <w:i/>
                  <w:iCs/>
                </w:rPr>
                <w:t>Résolution 71 (Rév. Bucarest, 2022)</w:t>
              </w:r>
            </w:hyperlink>
            <w:r w:rsidR="00202F7B" w:rsidRPr="00F47707">
              <w:rPr>
                <w:i/>
                <w:iCs/>
              </w:rPr>
              <w:t xml:space="preserve">, </w:t>
            </w:r>
            <w:hyperlink r:id="rId7" w:history="1">
              <w:r w:rsidR="00202F7B" w:rsidRPr="00F47707">
                <w:rPr>
                  <w:rStyle w:val="Hyperlink"/>
                  <w:i/>
                  <w:iCs/>
                </w:rPr>
                <w:t>Résolution 191 (Rév. Bucarest, 2022)</w:t>
              </w:r>
            </w:hyperlink>
            <w:r w:rsidR="00202F7B" w:rsidRPr="00F47707">
              <w:rPr>
                <w:i/>
                <w:iCs/>
              </w:rPr>
              <w:t xml:space="preserve"> et </w:t>
            </w:r>
            <w:hyperlink r:id="rId8" w:history="1">
              <w:r w:rsidR="00202F7B" w:rsidRPr="00F47707">
                <w:rPr>
                  <w:rStyle w:val="Hyperlink"/>
                  <w:i/>
                  <w:iCs/>
                </w:rPr>
                <w:t>Décision 5 (Rév. Bucarest, 2022)</w:t>
              </w:r>
            </w:hyperlink>
            <w:r w:rsidR="00202F7B" w:rsidRPr="00F47707">
              <w:rPr>
                <w:i/>
                <w:iCs/>
              </w:rPr>
              <w:t xml:space="preserve"> de la Conférence de plénipotentiaires</w:t>
            </w:r>
          </w:p>
        </w:tc>
      </w:tr>
    </w:tbl>
    <w:p w14:paraId="3B7150AC" w14:textId="77777777" w:rsidR="00A51849" w:rsidRPr="00F47707" w:rsidRDefault="00A51849">
      <w:pPr>
        <w:tabs>
          <w:tab w:val="clear" w:pos="567"/>
          <w:tab w:val="clear" w:pos="1134"/>
          <w:tab w:val="clear" w:pos="1701"/>
          <w:tab w:val="clear" w:pos="2268"/>
          <w:tab w:val="clear" w:pos="2835"/>
        </w:tabs>
        <w:overflowPunct/>
        <w:autoSpaceDE/>
        <w:autoSpaceDN/>
        <w:adjustRightInd/>
        <w:spacing w:before="0"/>
        <w:textAlignment w:val="auto"/>
      </w:pPr>
      <w:r w:rsidRPr="00F47707">
        <w:br w:type="page"/>
      </w:r>
    </w:p>
    <w:p w14:paraId="7AD88D6A" w14:textId="6572E55D" w:rsidR="00202F7B" w:rsidRPr="00F47707" w:rsidRDefault="00202F7B" w:rsidP="00202F7B">
      <w:pPr>
        <w:pStyle w:val="Heading1"/>
      </w:pPr>
      <w:r w:rsidRPr="00F47707">
        <w:lastRenderedPageBreak/>
        <w:t>1</w:t>
      </w:r>
      <w:r w:rsidRPr="00F47707">
        <w:tab/>
        <w:t>Considérations générales</w:t>
      </w:r>
    </w:p>
    <w:p w14:paraId="60B607C7" w14:textId="3C25492A" w:rsidR="00202F7B" w:rsidRPr="00F47707" w:rsidRDefault="00202F7B" w:rsidP="00202F7B">
      <w:r w:rsidRPr="00F47707">
        <w:t>La Conférence de plénipotentiaires de 2022 (PP-22), par sa Résolution 191 (Rév. Bucarest, 2022), a chargé le Secrétaire général de continuer d'améliorer la stratégie de coordination et de coopération, afin de garantir l'efficacité et l'efficience des efforts dans les domaines intéressant les trois Secteurs de l'UIT et le Secrétariat général, de manière à éviter tout chevauchement d'activité et à optimiser l'utilisation des ressources de l'Union. En outre, le Secrétaire général est chargé de recenser toutes les formes et tous les cas de chevauchement des fonctions et des activités entre les Secteurs de l'UIT et le Secrétariat</w:t>
      </w:r>
      <w:r w:rsidR="00370AA4" w:rsidRPr="00F47707">
        <w:t> </w:t>
      </w:r>
      <w:r w:rsidRPr="00F47707">
        <w:t>général et de proposer des solutions pour y remédier.</w:t>
      </w:r>
    </w:p>
    <w:p w14:paraId="42554944" w14:textId="0A023A9F" w:rsidR="00202F7B" w:rsidRPr="00F47707" w:rsidRDefault="00202F7B" w:rsidP="00202F7B">
      <w:r w:rsidRPr="00F47707">
        <w:t>De plus, aux termes de la Résolution 191, le Secrétaire général et les Directeurs des trois Bureaux sont chargés de faire en sorte qu'un rapport sur les activités de coordination menées entre les différents Secteurs dans chacun des domaines considérés comme présentant un intérêt mutuel, ainsi que les résultats obtenus en la matière, soit soumis au Conseil.</w:t>
      </w:r>
    </w:p>
    <w:p w14:paraId="5CE885BA" w14:textId="1792F70E" w:rsidR="00202F7B" w:rsidRPr="00F47707" w:rsidRDefault="00202F7B" w:rsidP="00202F7B">
      <w:pPr>
        <w:pStyle w:val="Heading1"/>
      </w:pPr>
      <w:r w:rsidRPr="00F47707">
        <w:t>2</w:t>
      </w:r>
      <w:r w:rsidRPr="00F47707">
        <w:tab/>
        <w:t>Coordination au sein du secrétariat – Groupe spécial de coordination intersectorielle (ISC-TF)</w:t>
      </w:r>
    </w:p>
    <w:p w14:paraId="5F5F0A1C" w14:textId="77777777" w:rsidR="00202F7B" w:rsidRPr="00F47707" w:rsidRDefault="00202F7B" w:rsidP="00202F7B">
      <w:r w:rsidRPr="00F47707">
        <w:t>Le Groupe spécial de coordination intersectorielle (ISC-TF) est présidé par le Vice-Secrétaire général et comprend des représentants des Bureaux et du Secrétariat général.</w:t>
      </w:r>
    </w:p>
    <w:p w14:paraId="5C13B055" w14:textId="33F82CA2" w:rsidR="00202F7B" w:rsidRPr="00F47707" w:rsidRDefault="00202F7B" w:rsidP="00202F7B">
      <w:r w:rsidRPr="00F47707">
        <w:t>Le Groupe ISC-TF assure la coordination au sein du secrétariat et assure la liaison avec le Groupe de coordination intersectorielle (ISCG) pour identifier les besoins des membres et proposer des solutions visant à améliorer la coopération et la coordination au sein de l</w:t>
      </w:r>
      <w:r w:rsidR="00370AA4" w:rsidRPr="00F47707">
        <w:t>'</w:t>
      </w:r>
      <w:r w:rsidRPr="00F47707">
        <w:t>UIT.</w:t>
      </w:r>
    </w:p>
    <w:p w14:paraId="7A6096C0" w14:textId="54AF0FFE" w:rsidR="00202F7B" w:rsidRPr="00F47707" w:rsidRDefault="00202F7B" w:rsidP="00202F7B">
      <w:r w:rsidRPr="00F47707">
        <w:t>Depuis la présentation du dernier rapport au Conseil, en 2023, le secrétariat poursuit son travail d'organisation et recherche la meilleure façon d</w:t>
      </w:r>
      <w:r w:rsidR="00370AA4" w:rsidRPr="00F47707">
        <w:t>'</w:t>
      </w:r>
      <w:r w:rsidRPr="00F47707">
        <w:t>assurer la gouvernance de la coordination intersectorielle. Parmi ces efforts, on peut citer:</w:t>
      </w:r>
    </w:p>
    <w:p w14:paraId="668436D6" w14:textId="7D330F55" w:rsidR="00202F7B" w:rsidRPr="00F47707" w:rsidRDefault="00202F7B" w:rsidP="00202F7B">
      <w:pPr>
        <w:pStyle w:val="enumlev1"/>
      </w:pPr>
      <w:r w:rsidRPr="00F47707">
        <w:t>•</w:t>
      </w:r>
      <w:r w:rsidRPr="00F47707">
        <w:tab/>
        <w:t xml:space="preserve">L'amélioration de la </w:t>
      </w:r>
      <w:r w:rsidRPr="00F47707">
        <w:rPr>
          <w:rStyle w:val="Hyperlink"/>
        </w:rPr>
        <w:t xml:space="preserve">page </w:t>
      </w:r>
      <w:hyperlink r:id="rId9" w:history="1">
        <w:r w:rsidRPr="00F47707">
          <w:rPr>
            <w:rStyle w:val="Hyperlink"/>
          </w:rPr>
          <w:t>web consacrée à la coordination intersectorielle</w:t>
        </w:r>
      </w:hyperlink>
      <w:r w:rsidRPr="00F47707">
        <w:t xml:space="preserve"> au sein du Secrétariat</w:t>
      </w:r>
      <w:r w:rsidR="00370AA4" w:rsidRPr="00F47707">
        <w:t> </w:t>
      </w:r>
      <w:r w:rsidRPr="00F47707">
        <w:t>général, en coordination avec le Président du Groupe ISCG.</w:t>
      </w:r>
    </w:p>
    <w:p w14:paraId="7938AFF1" w14:textId="78B8F414" w:rsidR="00202F7B" w:rsidRPr="00F47707" w:rsidRDefault="00202F7B" w:rsidP="00202F7B">
      <w:pPr>
        <w:pStyle w:val="enumlev1"/>
      </w:pPr>
      <w:r w:rsidRPr="00F47707">
        <w:t>•</w:t>
      </w:r>
      <w:r w:rsidRPr="00F47707">
        <w:tab/>
        <w:t xml:space="preserve">La mise en correspondance des </w:t>
      </w:r>
      <w:r w:rsidR="00521839" w:rsidRPr="00F47707">
        <w:t>R</w:t>
      </w:r>
      <w:r w:rsidRPr="00F47707">
        <w:t>ésolutions des principales conférences/assemblées de l</w:t>
      </w:r>
      <w:r w:rsidR="00370AA4" w:rsidRPr="00F47707">
        <w:t>'</w:t>
      </w:r>
      <w:r w:rsidRPr="00F47707">
        <w:t>UIT et l'examen des groupes spéciaux internes du secrétariat, effectuée à la suite de la Conférence de plénipotentiaires de 2022 (et mis à jour après l</w:t>
      </w:r>
      <w:r w:rsidR="00370AA4" w:rsidRPr="00F47707">
        <w:t>'</w:t>
      </w:r>
      <w:r w:rsidRPr="00F47707">
        <w:t>AR-23), afin de proposer une stratégie tenant compte du nombre croissant de questions présentant un intérêt mutuel.</w:t>
      </w:r>
    </w:p>
    <w:p w14:paraId="0EC2A897" w14:textId="77777777" w:rsidR="00202F7B" w:rsidRPr="00F47707" w:rsidRDefault="00202F7B" w:rsidP="00202F7B">
      <w:pPr>
        <w:pStyle w:val="enumlev1"/>
      </w:pPr>
      <w:r w:rsidRPr="00F47707">
        <w:t>•</w:t>
      </w:r>
      <w:r w:rsidRPr="00F47707">
        <w:tab/>
        <w:t>La mise à jour, sur la page web; de la liste des thèmes appelant une coordination intersectorielle, conjointement avec les coordonnateurs désignés par les Secteurs et le Secrétariat général.</w:t>
      </w:r>
    </w:p>
    <w:p w14:paraId="5CCA5C08" w14:textId="1C137419" w:rsidR="00202F7B" w:rsidRPr="00F47707" w:rsidRDefault="00202F7B" w:rsidP="00202F7B">
      <w:pPr>
        <w:pStyle w:val="enumlev1"/>
      </w:pPr>
      <w:r w:rsidRPr="00F47707">
        <w:t>•</w:t>
      </w:r>
      <w:r w:rsidRPr="00F47707">
        <w:tab/>
        <w:t>L'examen de la composition du Groupe spécial de coordination intersectorielle (ISC</w:t>
      </w:r>
      <w:r w:rsidRPr="00F47707">
        <w:noBreakHyphen/>
        <w:t>TF) pour faire en sorte qu'elle soit plus ciblée et plus efficace.</w:t>
      </w:r>
    </w:p>
    <w:p w14:paraId="5A397B11" w14:textId="73D53D23" w:rsidR="00202F7B" w:rsidRPr="00F47707" w:rsidRDefault="00370AA4" w:rsidP="00370AA4">
      <w:pPr>
        <w:pStyle w:val="enumlev1"/>
        <w:keepLines/>
      </w:pPr>
      <w:r w:rsidRPr="00F47707">
        <w:lastRenderedPageBreak/>
        <w:t>•</w:t>
      </w:r>
      <w:r w:rsidRPr="00F47707">
        <w:tab/>
      </w:r>
      <w:r w:rsidR="00202F7B" w:rsidRPr="00F47707">
        <w:t>La mise à jour des outils de planification, de suivi et d</w:t>
      </w:r>
      <w:r w:rsidRPr="00F47707">
        <w:t>'</w:t>
      </w:r>
      <w:r w:rsidR="00202F7B" w:rsidRPr="00F47707">
        <w:t>établissement de rapports, par exemple un outil de suivi de la coordination intersectorielle, dans le cadre duquel les coordonnateurs du secrétariat pourraient rendre compte chaque année leurs priorités/activités principales à des fins de planification interne, et la plate-forme web permettant de faire rapport chaque année au Conseil sur la mise en œuvre des Résolutions de la Conférence de plénipotentiaires, y compris la coordination intersectorielle.</w:t>
      </w:r>
    </w:p>
    <w:p w14:paraId="6A33250C" w14:textId="71A6A862" w:rsidR="00202F7B" w:rsidRPr="00F47707" w:rsidRDefault="00202F7B" w:rsidP="00370AA4">
      <w:pPr>
        <w:pStyle w:val="enumlev1"/>
      </w:pPr>
      <w:r w:rsidRPr="00F47707">
        <w:t>•</w:t>
      </w:r>
      <w:r w:rsidRPr="00F47707">
        <w:tab/>
        <w:t>La révision de l</w:t>
      </w:r>
      <w:r w:rsidR="00370AA4" w:rsidRPr="00F47707">
        <w:t>'</w:t>
      </w:r>
      <w:r w:rsidRPr="00F47707">
        <w:t>Ordre de service correspondant, afin de traiter les thèmes d</w:t>
      </w:r>
      <w:r w:rsidR="00370AA4" w:rsidRPr="00F47707">
        <w:t>'</w:t>
      </w:r>
      <w:r w:rsidRPr="00F47707">
        <w:t>intérêt mutuel identifiés, par la mise en place d'un mécanisme de coordination solide, comprenant la planification, le suivi, l</w:t>
      </w:r>
      <w:r w:rsidR="00370AA4" w:rsidRPr="00F47707">
        <w:t>'</w:t>
      </w:r>
      <w:r w:rsidRPr="00F47707">
        <w:t>évaluation et l</w:t>
      </w:r>
      <w:r w:rsidR="00370AA4" w:rsidRPr="00F47707">
        <w:t>'</w:t>
      </w:r>
      <w:r w:rsidRPr="00F47707">
        <w:t>établissement de rapports, ce qui améliorera l</w:t>
      </w:r>
      <w:r w:rsidR="00370AA4" w:rsidRPr="00F47707">
        <w:t>'</w:t>
      </w:r>
      <w:r w:rsidRPr="00F47707">
        <w:t>efficacité organisationnelle et limitera les risques.</w:t>
      </w:r>
    </w:p>
    <w:p w14:paraId="47213073" w14:textId="09811F0D" w:rsidR="00202F7B" w:rsidRPr="00F47707" w:rsidRDefault="00202F7B" w:rsidP="00202F7B">
      <w:r w:rsidRPr="00F47707">
        <w:t>Les résultats concrets des travaux des équipes intersectorielles qui coordonnent les travaux menés dans l</w:t>
      </w:r>
      <w:r w:rsidR="00370AA4" w:rsidRPr="00F47707">
        <w:t>'</w:t>
      </w:r>
      <w:r w:rsidRPr="00F47707">
        <w:t>ensemble de l</w:t>
      </w:r>
      <w:r w:rsidR="00370AA4" w:rsidRPr="00F47707">
        <w:t>'</w:t>
      </w:r>
      <w:r w:rsidRPr="00F47707">
        <w:t xml:space="preserve">UIT figurent dans le Document </w:t>
      </w:r>
      <w:hyperlink r:id="rId10" w:history="1">
        <w:r w:rsidRPr="00F47707">
          <w:rPr>
            <w:rStyle w:val="Hyperlink"/>
          </w:rPr>
          <w:t>C24/35</w:t>
        </w:r>
      </w:hyperlink>
      <w:r w:rsidRPr="00F47707">
        <w:t xml:space="preserve"> du Conseil sur la mise en </w:t>
      </w:r>
      <w:r w:rsidR="00370AA4" w:rsidRPr="00F47707">
        <w:t>œuvre</w:t>
      </w:r>
      <w:r w:rsidRPr="00F47707">
        <w:t xml:space="preserve"> du Plan stratégique et des activités de l</w:t>
      </w:r>
      <w:r w:rsidR="00370AA4" w:rsidRPr="00F47707">
        <w:t>'</w:t>
      </w:r>
      <w:r w:rsidRPr="00F47707">
        <w:t xml:space="preserve">Union et dans le Document </w:t>
      </w:r>
      <w:hyperlink r:id="rId11" w:history="1">
        <w:r w:rsidRPr="00F47707">
          <w:rPr>
            <w:rStyle w:val="Hyperlink"/>
          </w:rPr>
          <w:t>C24/17</w:t>
        </w:r>
      </w:hyperlink>
      <w:r w:rsidRPr="00F47707">
        <w:t xml:space="preserve"> sur la mise en </w:t>
      </w:r>
      <w:r w:rsidR="00370AA4" w:rsidRPr="00F47707">
        <w:t>œuvre</w:t>
      </w:r>
      <w:r w:rsidRPr="00F47707">
        <w:t xml:space="preserve"> du concept d'une UIT unie dans l'action.</w:t>
      </w:r>
    </w:p>
    <w:p w14:paraId="5F4C859D" w14:textId="07381293" w:rsidR="00202F7B" w:rsidRPr="00F47707" w:rsidRDefault="00202F7B" w:rsidP="00370AA4">
      <w:pPr>
        <w:pStyle w:val="Heading1"/>
      </w:pPr>
      <w:r w:rsidRPr="00F47707">
        <w:t>3</w:t>
      </w:r>
      <w:r w:rsidRPr="00F47707">
        <w:tab/>
        <w:t>Coordination entre les membres</w:t>
      </w:r>
      <w:r w:rsidR="00370AA4" w:rsidRPr="00F47707">
        <w:t xml:space="preserve"> –</w:t>
      </w:r>
      <w:r w:rsidRPr="00F47707">
        <w:t xml:space="preserve"> Groupe de coordination intersectorielle sur les questions d'intérêt mutuel (ISCG)</w:t>
      </w:r>
    </w:p>
    <w:p w14:paraId="15AED013" w14:textId="05974EFD" w:rsidR="00202F7B" w:rsidRPr="00F47707" w:rsidRDefault="00202F7B" w:rsidP="00202F7B">
      <w:r w:rsidRPr="00F47707">
        <w:t>La coordination entre les membres continue d</w:t>
      </w:r>
      <w:r w:rsidR="00370AA4" w:rsidRPr="00F47707">
        <w:t>'</w:t>
      </w:r>
      <w:r w:rsidRPr="00F47707">
        <w:t>être assurée par le Groupe ISCG, présidé par</w:t>
      </w:r>
      <w:r w:rsidR="00370AA4" w:rsidRPr="00F47707">
        <w:t> </w:t>
      </w:r>
      <w:r w:rsidRPr="00F47707">
        <w:t>M.</w:t>
      </w:r>
      <w:r w:rsidR="00370AA4" w:rsidRPr="00F47707">
        <w:t> </w:t>
      </w:r>
      <w:r w:rsidRPr="00F47707">
        <w:t>Fabio</w:t>
      </w:r>
      <w:r w:rsidR="00370AA4" w:rsidRPr="00F47707">
        <w:t> </w:t>
      </w:r>
      <w:r w:rsidRPr="00F47707">
        <w:t>Bigi (Italie), en tant que groupe axé sur la soumission de contributions.</w:t>
      </w:r>
    </w:p>
    <w:p w14:paraId="6E711BED" w14:textId="03201E12" w:rsidR="00202F7B" w:rsidRPr="00F47707" w:rsidRDefault="00202F7B" w:rsidP="00202F7B">
      <w:r w:rsidRPr="00F47707">
        <w:t>Au moment de la session de 2024 du Conseil, le Groupe ISCG, aura tenu deux réunions en sa qualité de mécanisme de coordination entre les membres depuis le dernier rapport soumis au Conseil à sa session de 2023. Sa première réunion a eu lieu le 24 janvier 2024, conjointement avec le Groupe consultatif de la normalisation des télécommunications (GCNT), tandis que la seconde aura lieu le 21 mai 2024, conjointement avec le Groupe consultatif pour le développement des télécommunications (GCDT), au siège de l</w:t>
      </w:r>
      <w:r w:rsidR="00370AA4" w:rsidRPr="00F47707">
        <w:t>'</w:t>
      </w:r>
      <w:r w:rsidRPr="00F47707">
        <w:t>UIT (Genève). Pour ces réunions, des services de participation à distance et de sous-titrage via la plate</w:t>
      </w:r>
      <w:r w:rsidR="00FA343B" w:rsidRPr="00F47707">
        <w:noBreakHyphen/>
      </w:r>
      <w:r w:rsidRPr="00F47707">
        <w:t>forme Zoom ont été prévus. Des rapports sur les résultats et des appels à l</w:t>
      </w:r>
      <w:r w:rsidR="00370AA4" w:rsidRPr="00F47707">
        <w:t>'</w:t>
      </w:r>
      <w:r w:rsidRPr="00F47707">
        <w:t>action sont présentés régulièrement aux groupes consultatifs des Secteurs et au Groupe de travail du Conseil sur les ressources financières et les ressources humaines (GTC-FHR), selon que de besoin.</w:t>
      </w:r>
    </w:p>
    <w:p w14:paraId="044947B1" w14:textId="572E099E" w:rsidR="00202F7B" w:rsidRPr="00F47707" w:rsidRDefault="00202F7B" w:rsidP="00202F7B">
      <w:r w:rsidRPr="00F47707">
        <w:t>Le Groupe ISCG continue de faire de l</w:t>
      </w:r>
      <w:r w:rsidR="00370AA4" w:rsidRPr="00F47707">
        <w:t>'</w:t>
      </w:r>
      <w:r w:rsidRPr="00F47707">
        <w:t>accessibilité, des changements climatiques et des réunions virtuelles/de la participation à distance ses principaux sujets d</w:t>
      </w:r>
      <w:r w:rsidR="00370AA4" w:rsidRPr="00F47707">
        <w:t>'</w:t>
      </w:r>
      <w:r w:rsidRPr="00F47707">
        <w:t>intérêt commun, l</w:t>
      </w:r>
      <w:r w:rsidR="00370AA4" w:rsidRPr="00F47707">
        <w:t>'</w:t>
      </w:r>
      <w:r w:rsidRPr="00F47707">
        <w:t>objectif étant de recenser les besoins des membres et de fournir au secrétariat les avis nécessaires sur la meilleure façon d</w:t>
      </w:r>
      <w:r w:rsidR="00370AA4" w:rsidRPr="00F47707">
        <w:t>'</w:t>
      </w:r>
      <w:r w:rsidRPr="00F47707">
        <w:t>assurer la coordination. Comme l'a proposé le Groupe consultatif des radiocommunications (GCR) à sa réunion tenue en mars 2024, le Groupe</w:t>
      </w:r>
      <w:r w:rsidR="00370AA4" w:rsidRPr="00F47707">
        <w:t> </w:t>
      </w:r>
      <w:r w:rsidRPr="00F47707">
        <w:t>ISCG a décidé d</w:t>
      </w:r>
      <w:r w:rsidR="00370AA4" w:rsidRPr="00F47707">
        <w:t>'</w:t>
      </w:r>
      <w:r w:rsidRPr="00F47707">
        <w:t>inclure le suivi de la transformation numérique durable parmi les thèmes devant faire l</w:t>
      </w:r>
      <w:r w:rsidR="00370AA4" w:rsidRPr="00F47707">
        <w:t>'</w:t>
      </w:r>
      <w:r w:rsidRPr="00F47707">
        <w:t>objet d</w:t>
      </w:r>
      <w:r w:rsidR="00370AA4" w:rsidRPr="00F47707">
        <w:t>'</w:t>
      </w:r>
      <w:r w:rsidRPr="00F47707">
        <w:t>une approche et d</w:t>
      </w:r>
      <w:r w:rsidR="00370AA4" w:rsidRPr="00F47707">
        <w:t>'</w:t>
      </w:r>
      <w:r w:rsidRPr="00F47707">
        <w:t>une coordination à l</w:t>
      </w:r>
      <w:r w:rsidR="00370AA4" w:rsidRPr="00F47707">
        <w:t>'</w:t>
      </w:r>
      <w:r w:rsidRPr="00F47707">
        <w:t>échelle de l</w:t>
      </w:r>
      <w:r w:rsidR="00370AA4" w:rsidRPr="00F47707">
        <w:t>'</w:t>
      </w:r>
      <w:r w:rsidRPr="00F47707">
        <w:t>UIT.</w:t>
      </w:r>
    </w:p>
    <w:p w14:paraId="0A4FF6B2" w14:textId="5EEBA214" w:rsidR="00202F7B" w:rsidRPr="00F47707" w:rsidRDefault="00202F7B" w:rsidP="00202F7B">
      <w:r w:rsidRPr="00F47707">
        <w:t>Parmi les thèmes abordés, le Groupe ISCG a fait part de son intérêt en vue d'être associé au projet de nouveau bâtiment, afin de s'assurer que toutes les questions liées à l'accessibilité sont prises en considération, ainsi qu'à la stratégie visant à rendre le site web de l</w:t>
      </w:r>
      <w:r w:rsidR="00370AA4" w:rsidRPr="00F47707">
        <w:t>'</w:t>
      </w:r>
      <w:r w:rsidRPr="00F47707">
        <w:t>UIT plus sécurisé, plus facile à consulter, multilingue, harmonisé et axé sur l</w:t>
      </w:r>
      <w:r w:rsidR="00370AA4" w:rsidRPr="00F47707">
        <w:t>'</w:t>
      </w:r>
      <w:r w:rsidRPr="00F47707">
        <w:t>utilisateur, y compris en ce qui concerne l</w:t>
      </w:r>
      <w:r w:rsidR="00370AA4" w:rsidRPr="00F47707">
        <w:t>'</w:t>
      </w:r>
      <w:r w:rsidRPr="00F47707">
        <w:t>utilisation des six langues officielles de l</w:t>
      </w:r>
      <w:r w:rsidR="00370AA4" w:rsidRPr="00F47707">
        <w:t>'</w:t>
      </w:r>
      <w:r w:rsidRPr="00F47707">
        <w:t>Union sur un pied d</w:t>
      </w:r>
      <w:r w:rsidR="00370AA4" w:rsidRPr="00F47707">
        <w:t>'</w:t>
      </w:r>
      <w:r w:rsidRPr="00F47707">
        <w:t>égalité.</w:t>
      </w:r>
    </w:p>
    <w:p w14:paraId="38B7B047" w14:textId="6150807C" w:rsidR="00202F7B" w:rsidRPr="00F47707" w:rsidRDefault="00202F7B" w:rsidP="00202F7B">
      <w:r w:rsidRPr="00F47707">
        <w:lastRenderedPageBreak/>
        <w:t>Le Groupe ISCG a souligné qu</w:t>
      </w:r>
      <w:r w:rsidR="00370AA4" w:rsidRPr="00F47707">
        <w:t>'</w:t>
      </w:r>
      <w:r w:rsidRPr="00F47707">
        <w:t>il importait d</w:t>
      </w:r>
      <w:r w:rsidR="00370AA4" w:rsidRPr="00F47707">
        <w:t>'</w:t>
      </w:r>
      <w:r w:rsidRPr="00F47707">
        <w:t xml:space="preserve">adopter une approche plus proactive et a mis en avant son rôle de conseiller pour répondre à la nécessité de rationaliser les </w:t>
      </w:r>
      <w:r w:rsidR="00521839" w:rsidRPr="00F47707">
        <w:t>R</w:t>
      </w:r>
      <w:r w:rsidRPr="00F47707">
        <w:t>ésolutions et/ou de mieux attribuer les thèmes relevant des Secteurs et/ou de la Conférence de plénipotentiaires. En tant que groupe dirigé par les membres, le Groupe ISCG a pour principal objectif de faire part des préoccupations des membres et de proposer des moyens d</w:t>
      </w:r>
      <w:r w:rsidR="00370AA4" w:rsidRPr="00F47707">
        <w:t>'</w:t>
      </w:r>
      <w:r w:rsidRPr="00F47707">
        <w:t>améliorer la coordination intersectorielle.</w:t>
      </w:r>
    </w:p>
    <w:p w14:paraId="234FEAEA" w14:textId="4089CB70" w:rsidR="006A11AE" w:rsidRPr="00F47707" w:rsidRDefault="00202F7B" w:rsidP="00370AA4">
      <w:r w:rsidRPr="00F47707">
        <w:t xml:space="preserve">De plus amples informations sur le Groupe ISCG, telles que les rapports des réunions et les documents examinés, sont disponibles sur la </w:t>
      </w:r>
      <w:hyperlink r:id="rId12" w:history="1">
        <w:r w:rsidRPr="00F47707">
          <w:rPr>
            <w:rStyle w:val="Hyperlink"/>
          </w:rPr>
          <w:t>page web du Groupe</w:t>
        </w:r>
      </w:hyperlink>
      <w:r w:rsidRPr="00F47707">
        <w:t>.</w:t>
      </w:r>
    </w:p>
    <w:p w14:paraId="05309BCC" w14:textId="4BF3C5BC" w:rsidR="00897553" w:rsidRPr="00F47707" w:rsidRDefault="006A11AE" w:rsidP="006A11AE">
      <w:pPr>
        <w:jc w:val="center"/>
      </w:pPr>
      <w:r w:rsidRPr="00F47707">
        <w:t>______________</w:t>
      </w:r>
    </w:p>
    <w:sectPr w:rsidR="00897553" w:rsidRPr="00F47707" w:rsidSect="00D72F49">
      <w:headerReference w:type="even" r:id="rId13"/>
      <w:footerReference w:type="even" r:id="rId14"/>
      <w:footerReference w:type="default" r:id="rId15"/>
      <w:headerReference w:type="first" r:id="rId16"/>
      <w:footerReference w:type="first" r:id="rId17"/>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650277AA" w:rsidR="00732045" w:rsidRPr="00F47707" w:rsidRDefault="00521839">
    <w:pPr>
      <w:pStyle w:val="Footer"/>
      <w:rPr>
        <w:lang w:val="en-US"/>
      </w:rPr>
    </w:pPr>
    <w:r>
      <w:fldChar w:fldCharType="begin"/>
    </w:r>
    <w:r w:rsidRPr="00F47707">
      <w:rPr>
        <w:lang w:val="en-US"/>
      </w:rPr>
      <w:instrText xml:space="preserve"> FILENAME \p \* MERGEFORMAT </w:instrText>
    </w:r>
    <w:r>
      <w:fldChar w:fldCharType="separate"/>
    </w:r>
    <w:r w:rsidR="006B6399">
      <w:rPr>
        <w:lang w:val="en-US"/>
      </w:rPr>
      <w:t>P:\FRA\gDoc\SG\C24\24-00707F.docx</w:t>
    </w:r>
    <w:r>
      <w:fldChar w:fldCharType="end"/>
    </w:r>
    <w:r w:rsidR="00732045" w:rsidRPr="00F47707">
      <w:rPr>
        <w:lang w:val="en-US"/>
      </w:rPr>
      <w:tab/>
    </w:r>
    <w:r w:rsidR="002F1B76">
      <w:fldChar w:fldCharType="begin"/>
    </w:r>
    <w:r w:rsidR="00732045">
      <w:instrText xml:space="preserve"> savedate \@ dd.MM.yy </w:instrText>
    </w:r>
    <w:r w:rsidR="002F1B76">
      <w:fldChar w:fldCharType="separate"/>
    </w:r>
    <w:r w:rsidR="00364393">
      <w:t>10.05.24</w:t>
    </w:r>
    <w:r w:rsidR="002F1B76">
      <w:fldChar w:fldCharType="end"/>
    </w:r>
    <w:r w:rsidR="00732045" w:rsidRPr="00F47707">
      <w:rPr>
        <w:lang w:val="en-US"/>
      </w:rPr>
      <w:tab/>
    </w:r>
    <w:r w:rsidR="002F1B76">
      <w:fldChar w:fldCharType="begin"/>
    </w:r>
    <w:r w:rsidR="00732045">
      <w:instrText xml:space="preserve"> printdate \@ dd.MM.yy </w:instrText>
    </w:r>
    <w:r w:rsidR="002F1B76">
      <w:fldChar w:fldCharType="separate"/>
    </w:r>
    <w:r w:rsidR="006B6399">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1BB82DC0" w:rsidR="00A51849" w:rsidRDefault="00364393" w:rsidP="00A51849">
          <w:pPr>
            <w:pStyle w:val="Header"/>
            <w:jc w:val="left"/>
            <w:rPr>
              <w:noProof/>
            </w:rPr>
          </w:pPr>
          <w:r>
            <w:rPr>
              <w:noProof/>
            </w:rPr>
            <w:t>R2400707</w:t>
          </w:r>
        </w:p>
      </w:tc>
      <w:tc>
        <w:tcPr>
          <w:tcW w:w="8261" w:type="dxa"/>
        </w:tcPr>
        <w:p w14:paraId="0DB0A3C6" w14:textId="3C2B922A"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202F7B">
            <w:rPr>
              <w:bCs/>
            </w:rPr>
            <w:t>27</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464F5945"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364393"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1C08BBF7"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202F7B">
            <w:rPr>
              <w:bCs/>
            </w:rPr>
            <w:t>27</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3F1C7E22"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96578"/>
    <w:rsid w:val="000D0D0A"/>
    <w:rsid w:val="00103163"/>
    <w:rsid w:val="00106B19"/>
    <w:rsid w:val="001133EF"/>
    <w:rsid w:val="00115D93"/>
    <w:rsid w:val="001247A8"/>
    <w:rsid w:val="001378C0"/>
    <w:rsid w:val="0018694A"/>
    <w:rsid w:val="001A3287"/>
    <w:rsid w:val="001A6508"/>
    <w:rsid w:val="001D4C31"/>
    <w:rsid w:val="001E4D21"/>
    <w:rsid w:val="00202F7B"/>
    <w:rsid w:val="00207CD1"/>
    <w:rsid w:val="00226657"/>
    <w:rsid w:val="002477A2"/>
    <w:rsid w:val="00263A51"/>
    <w:rsid w:val="00267E02"/>
    <w:rsid w:val="002A5D44"/>
    <w:rsid w:val="002E0BC4"/>
    <w:rsid w:val="002F1B76"/>
    <w:rsid w:val="0033568E"/>
    <w:rsid w:val="00355FF5"/>
    <w:rsid w:val="00361350"/>
    <w:rsid w:val="00364393"/>
    <w:rsid w:val="00370AA4"/>
    <w:rsid w:val="003C3FAE"/>
    <w:rsid w:val="004038CB"/>
    <w:rsid w:val="0040546F"/>
    <w:rsid w:val="0042404A"/>
    <w:rsid w:val="0044618F"/>
    <w:rsid w:val="0046769A"/>
    <w:rsid w:val="00470D9F"/>
    <w:rsid w:val="00475FB3"/>
    <w:rsid w:val="004C37A9"/>
    <w:rsid w:val="004D1D50"/>
    <w:rsid w:val="004F259E"/>
    <w:rsid w:val="00511F1D"/>
    <w:rsid w:val="00520F36"/>
    <w:rsid w:val="00521839"/>
    <w:rsid w:val="00534E13"/>
    <w:rsid w:val="00540615"/>
    <w:rsid w:val="00540A6D"/>
    <w:rsid w:val="00566679"/>
    <w:rsid w:val="00571EEA"/>
    <w:rsid w:val="00575417"/>
    <w:rsid w:val="005768E1"/>
    <w:rsid w:val="00583449"/>
    <w:rsid w:val="005B1938"/>
    <w:rsid w:val="005C3890"/>
    <w:rsid w:val="005F7BFE"/>
    <w:rsid w:val="00600017"/>
    <w:rsid w:val="006235CA"/>
    <w:rsid w:val="006643AB"/>
    <w:rsid w:val="006A11AE"/>
    <w:rsid w:val="006B6399"/>
    <w:rsid w:val="006F0A53"/>
    <w:rsid w:val="007210CD"/>
    <w:rsid w:val="00732045"/>
    <w:rsid w:val="0073275D"/>
    <w:rsid w:val="007369DB"/>
    <w:rsid w:val="007956C2"/>
    <w:rsid w:val="007A187E"/>
    <w:rsid w:val="007C72C2"/>
    <w:rsid w:val="007D4436"/>
    <w:rsid w:val="007F257A"/>
    <w:rsid w:val="007F3665"/>
    <w:rsid w:val="00800037"/>
    <w:rsid w:val="0082299A"/>
    <w:rsid w:val="0083391C"/>
    <w:rsid w:val="00861D73"/>
    <w:rsid w:val="00874C67"/>
    <w:rsid w:val="00897553"/>
    <w:rsid w:val="008A4E87"/>
    <w:rsid w:val="008D76E6"/>
    <w:rsid w:val="0092392D"/>
    <w:rsid w:val="0093234A"/>
    <w:rsid w:val="00956A78"/>
    <w:rsid w:val="0097363B"/>
    <w:rsid w:val="00973F53"/>
    <w:rsid w:val="009A6BAA"/>
    <w:rsid w:val="009C307F"/>
    <w:rsid w:val="009C353C"/>
    <w:rsid w:val="00A2113E"/>
    <w:rsid w:val="00A23A51"/>
    <w:rsid w:val="00A24607"/>
    <w:rsid w:val="00A25CD3"/>
    <w:rsid w:val="00A51849"/>
    <w:rsid w:val="00A709FE"/>
    <w:rsid w:val="00A73C60"/>
    <w:rsid w:val="00A82767"/>
    <w:rsid w:val="00AA332F"/>
    <w:rsid w:val="00AA7BBB"/>
    <w:rsid w:val="00AB64A8"/>
    <w:rsid w:val="00AC0266"/>
    <w:rsid w:val="00AD24EC"/>
    <w:rsid w:val="00B309F9"/>
    <w:rsid w:val="00B32B60"/>
    <w:rsid w:val="00B61619"/>
    <w:rsid w:val="00BB4545"/>
    <w:rsid w:val="00BD5873"/>
    <w:rsid w:val="00BF4B60"/>
    <w:rsid w:val="00C04BE3"/>
    <w:rsid w:val="00C25D29"/>
    <w:rsid w:val="00C27A7C"/>
    <w:rsid w:val="00C42437"/>
    <w:rsid w:val="00CA08ED"/>
    <w:rsid w:val="00CF183B"/>
    <w:rsid w:val="00D16CF7"/>
    <w:rsid w:val="00D375CD"/>
    <w:rsid w:val="00D553A2"/>
    <w:rsid w:val="00D72F49"/>
    <w:rsid w:val="00D774D3"/>
    <w:rsid w:val="00D904E8"/>
    <w:rsid w:val="00DA08C3"/>
    <w:rsid w:val="00DB5A3E"/>
    <w:rsid w:val="00DC22AA"/>
    <w:rsid w:val="00DF74DD"/>
    <w:rsid w:val="00E25AD0"/>
    <w:rsid w:val="00E4428F"/>
    <w:rsid w:val="00E93668"/>
    <w:rsid w:val="00E95647"/>
    <w:rsid w:val="00EB6350"/>
    <w:rsid w:val="00F15B57"/>
    <w:rsid w:val="00F35EF4"/>
    <w:rsid w:val="00F37FE5"/>
    <w:rsid w:val="00F427DB"/>
    <w:rsid w:val="00F47707"/>
    <w:rsid w:val="00FA343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202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DEC-005-F.pdf"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en/council/Documents/basic-texts-2023/RES-191-F.pdf" TargetMode="External"/><Relationship Id="rId12" Type="http://schemas.openxmlformats.org/officeDocument/2006/relationships/hyperlink" Target="https://www.itu.int/en/general-secretariat/Pages/ISCG/default.aspx" TargetMode="Externa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www.itu.int/en/council/Documents/basic-texts-2023/RES-071-F.pdf" TargetMode="External"/><Relationship Id="rId11" Type="http://schemas.openxmlformats.org/officeDocument/2006/relationships/hyperlink" Target="https://www.itu.int/md/S24-CL-C-0017/fr"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itu.int/md/S24-CL-C-0035/fr"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itu.int/fr/general-secretariat/Pages/default.aspx"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1169</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8246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Xue, Kun</dc:creator>
  <cp:keywords>C2024, C24, Council-24</cp:keywords>
  <dc:description/>
  <cp:lastModifiedBy>Brouard, Ricarda</cp:lastModifiedBy>
  <cp:revision>2</cp:revision>
  <cp:lastPrinted>2000-07-18T08:55:00Z</cp:lastPrinted>
  <dcterms:created xsi:type="dcterms:W3CDTF">2024-05-23T16:03:00Z</dcterms:created>
  <dcterms:modified xsi:type="dcterms:W3CDTF">2024-05-23T16:03:00Z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