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5A0DFF2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>
              <w:rPr>
                <w:b/>
              </w:rPr>
              <w:t xml:space="preserve">Agenda item: </w:t>
            </w:r>
            <w:r w:rsidR="00C2568D">
              <w:rPr>
                <w:b/>
              </w:rPr>
              <w:t>PL 2</w:t>
            </w:r>
          </w:p>
        </w:tc>
        <w:tc>
          <w:tcPr>
            <w:tcW w:w="5245" w:type="dxa"/>
          </w:tcPr>
          <w:p w14:paraId="291AB2A2" w14:textId="0E730489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</w:t>
            </w:r>
            <w:r w:rsidR="00E23618">
              <w:rPr>
                <w:b/>
              </w:rPr>
              <w:t>4</w:t>
            </w:r>
            <w:r>
              <w:rPr>
                <w:b/>
              </w:rPr>
              <w:t>/</w:t>
            </w:r>
            <w:r w:rsidR="00C2568D">
              <w:rPr>
                <w:b/>
              </w:rPr>
              <w:t>27</w:t>
            </w:r>
            <w:r>
              <w:rPr>
                <w:b/>
              </w:rPr>
              <w:t>-E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5F417FE6" w:rsidR="00AD3606" w:rsidRPr="00E85629" w:rsidRDefault="00F0629A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6 May</w:t>
            </w:r>
            <w:r w:rsidR="00AD3606">
              <w:rPr>
                <w:b/>
              </w:rPr>
              <w:t xml:space="preserve"> 202</w:t>
            </w:r>
            <w:r w:rsidR="00E23618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77777777" w:rsidR="00AD3606" w:rsidRPr="006850BE" w:rsidRDefault="00AD3606" w:rsidP="006850BE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6850BE">
              <w:t>Report by the Secretary-General</w:t>
            </w:r>
          </w:p>
        </w:tc>
      </w:tr>
      <w:tr w:rsidR="00AD3606" w:rsidRPr="00813E5E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516D5EAF" w:rsidR="00AD3606" w:rsidRPr="006850BE" w:rsidRDefault="00D565BC" w:rsidP="006850BE">
            <w:pPr>
              <w:pStyle w:val="Subtitle"/>
              <w:framePr w:hSpace="0" w:wrap="auto" w:xAlign="left" w:yAlign="inline"/>
            </w:pPr>
            <w:bookmarkStart w:id="9" w:name="_Hlk164768518"/>
            <w:bookmarkStart w:id="10" w:name="dtitle1" w:colFirst="0" w:colLast="0"/>
            <w:bookmarkEnd w:id="8"/>
            <w:r w:rsidRPr="00D565BC">
              <w:t>STRATEGY FOR THE COORDINATION OF EFFORTS AMONG THE THREE SECTORS OF THE UNION</w:t>
            </w:r>
            <w:bookmarkEnd w:id="9"/>
          </w:p>
        </w:tc>
      </w:tr>
      <w:tr w:rsidR="00AD3606" w:rsidRPr="00813E5E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1404B6D2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2E09FE8B" w14:textId="24FFAAFE" w:rsidR="00AD3606" w:rsidRPr="00813E5E" w:rsidRDefault="00A614DF" w:rsidP="00F16BAB">
            <w:r w:rsidRPr="00A614DF">
              <w:t xml:space="preserve">This document presents </w:t>
            </w:r>
            <w:r w:rsidR="7C37AEDE">
              <w:t>a</w:t>
            </w:r>
            <w:r w:rsidR="001B6D9B">
              <w:t xml:space="preserve"> report on the implementation of Resolution 191 (Rev. Bucharest 2022) </w:t>
            </w:r>
            <w:r w:rsidR="00F0629A">
              <w:t xml:space="preserve">of the Plenipotentiary Conference </w:t>
            </w:r>
            <w:r w:rsidR="00EF68B2">
              <w:t xml:space="preserve">on </w:t>
            </w:r>
            <w:r w:rsidRPr="00A614DF">
              <w:t>the strategy for the coordination of efforts among the three Sectors of the Union and the General Secretariat</w:t>
            </w:r>
            <w:r w:rsidR="00AB4C23">
              <w:t>.</w:t>
            </w:r>
          </w:p>
          <w:p w14:paraId="5076D5C4" w14:textId="77777777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F16BAB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79F38DAD" w14:textId="2C40F388" w:rsidR="00AD3606" w:rsidRPr="005A482F" w:rsidRDefault="005A482F" w:rsidP="005A482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</w:pPr>
            <w:r w:rsidRPr="602F19C6">
              <w:rPr>
                <w:rStyle w:val="normaltextrun"/>
                <w:rFonts w:cs="Calibri"/>
                <w:lang w:eastAsia="en-GB"/>
              </w:rPr>
              <w:t xml:space="preserve">The Council is invited </w:t>
            </w:r>
            <w:r w:rsidRPr="602F19C6">
              <w:rPr>
                <w:rStyle w:val="normaltextrun"/>
                <w:rFonts w:cs="Calibri"/>
                <w:b/>
                <w:lang w:eastAsia="en-GB"/>
              </w:rPr>
              <w:t>to note</w:t>
            </w:r>
            <w:r w:rsidRPr="602F19C6">
              <w:rPr>
                <w:rStyle w:val="normaltextrun"/>
                <w:rFonts w:cs="Calibri"/>
                <w:lang w:eastAsia="en-GB"/>
              </w:rPr>
              <w:t xml:space="preserve"> th</w:t>
            </w:r>
            <w:r w:rsidR="2A93AB3D" w:rsidRPr="602F19C6">
              <w:rPr>
                <w:rStyle w:val="normaltextrun"/>
                <w:rFonts w:cs="Calibri"/>
                <w:lang w:eastAsia="en-GB"/>
              </w:rPr>
              <w:t>e</w:t>
            </w:r>
            <w:r w:rsidRPr="602F19C6">
              <w:rPr>
                <w:rStyle w:val="normaltextrun"/>
                <w:rFonts w:cs="Calibri"/>
                <w:lang w:eastAsia="en-GB"/>
              </w:rPr>
              <w:t xml:space="preserve"> report</w:t>
            </w:r>
            <w:r w:rsidR="00AB4C23">
              <w:rPr>
                <w:rStyle w:val="normaltextrun"/>
                <w:rFonts w:cs="Calibri"/>
                <w:lang w:eastAsia="en-GB"/>
              </w:rPr>
              <w:t>.</w:t>
            </w:r>
          </w:p>
          <w:p w14:paraId="0F8F1F03" w14:textId="5A731B96" w:rsid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Relevant link</w:t>
            </w:r>
            <w:r w:rsidR="00C2568D">
              <w:rPr>
                <w:b/>
                <w:bCs/>
                <w:sz w:val="26"/>
                <w:szCs w:val="26"/>
              </w:rPr>
              <w:t>(s)</w:t>
            </w:r>
            <w:r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00A55EA1" w14:textId="0B8BAA13" w:rsidR="00F16BAB" w:rsidRPr="00F16BAB" w:rsidRDefault="003577BD" w:rsidP="00F16BAB">
            <w:r>
              <w:rPr>
                <w:szCs w:val="24"/>
              </w:rPr>
              <w:t>Excellence in human resources and organizational innovation</w:t>
            </w:r>
            <w:r w:rsidR="00B0180D" w:rsidRPr="00B0180D">
              <w:t>.</w:t>
            </w:r>
          </w:p>
          <w:p w14:paraId="632C043A" w14:textId="3CE4696F" w:rsid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Financial implications</w:t>
            </w:r>
          </w:p>
          <w:p w14:paraId="2E347F1C" w14:textId="0408A408" w:rsidR="005B4AC9" w:rsidRPr="005B4AC9" w:rsidRDefault="00C2568D" w:rsidP="00F16BAB">
            <w:pPr>
              <w:spacing w:before="160"/>
              <w:rPr>
                <w:szCs w:val="24"/>
              </w:rPr>
            </w:pPr>
            <w:r w:rsidRPr="00C2568D">
              <w:rPr>
                <w:szCs w:val="24"/>
              </w:rPr>
              <w:t>Within the allocated budget 2024-2025.</w:t>
            </w:r>
          </w:p>
          <w:p w14:paraId="2AAB18B0" w14:textId="77777777" w:rsidR="00AD3606" w:rsidRPr="00813E5E" w:rsidRDefault="00AD3606" w:rsidP="00F16BAB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00DEE14C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08946456" w:rsidR="00AD3606" w:rsidRPr="00C2568D" w:rsidRDefault="00F0629A" w:rsidP="00F16BAB">
            <w:pPr>
              <w:spacing w:after="160"/>
              <w:rPr>
                <w:sz w:val="22"/>
                <w:szCs w:val="22"/>
              </w:rPr>
            </w:pPr>
            <w:hyperlink r:id="rId11" w:history="1">
              <w:r w:rsidR="00B75342" w:rsidRPr="00C2568D">
                <w:rPr>
                  <w:rStyle w:val="Hyperlink"/>
                  <w:i/>
                  <w:iCs/>
                  <w:sz w:val="22"/>
                  <w:szCs w:val="22"/>
                </w:rPr>
                <w:t>Resolution 71</w:t>
              </w:r>
            </w:hyperlink>
            <w:r w:rsidR="00B75342" w:rsidRPr="00C2568D">
              <w:rPr>
                <w:i/>
                <w:iCs/>
                <w:sz w:val="22"/>
                <w:szCs w:val="22"/>
              </w:rPr>
              <w:t xml:space="preserve"> (Rev. Bucharest, 2022)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 w:rsidR="00B75342" w:rsidRPr="00C2568D">
              <w:rPr>
                <w:i/>
                <w:iCs/>
                <w:sz w:val="22"/>
                <w:szCs w:val="22"/>
              </w:rPr>
              <w:t xml:space="preserve">Resolution </w:t>
            </w:r>
            <w:hyperlink r:id="rId12" w:history="1">
              <w:r w:rsidR="00B75342" w:rsidRPr="00C2568D">
                <w:rPr>
                  <w:rStyle w:val="Hyperlink"/>
                  <w:i/>
                  <w:iCs/>
                  <w:sz w:val="22"/>
                  <w:szCs w:val="22"/>
                </w:rPr>
                <w:t>191</w:t>
              </w:r>
            </w:hyperlink>
            <w:r w:rsidR="00B75342" w:rsidRPr="00C2568D">
              <w:rPr>
                <w:i/>
                <w:iCs/>
                <w:sz w:val="22"/>
                <w:szCs w:val="22"/>
              </w:rPr>
              <w:t xml:space="preserve"> (Rev. Bucharest, 2022), and </w:t>
            </w:r>
            <w:hyperlink r:id="rId13" w:history="1">
              <w:r w:rsidR="00B75342" w:rsidRPr="00C2568D">
                <w:rPr>
                  <w:rStyle w:val="Hyperlink"/>
                  <w:i/>
                  <w:iCs/>
                  <w:sz w:val="22"/>
                  <w:szCs w:val="22"/>
                </w:rPr>
                <w:t>Decision 5</w:t>
              </w:r>
            </w:hyperlink>
            <w:r w:rsidR="00B75342" w:rsidRPr="00C2568D">
              <w:rPr>
                <w:i/>
                <w:iCs/>
                <w:sz w:val="22"/>
                <w:szCs w:val="22"/>
              </w:rPr>
              <w:t xml:space="preserve"> (Rev. Bucharest, 2022) of the Plenipotentiary Conference</w:t>
            </w:r>
          </w:p>
        </w:tc>
      </w:tr>
    </w:tbl>
    <w:p w14:paraId="4CDB8B60" w14:textId="2A4D9B15" w:rsidR="00E227F3" w:rsidRPr="00EB35E5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1" w:name="_Hlk133421428"/>
      <w:bookmarkEnd w:id="2"/>
      <w:bookmarkEnd w:id="10"/>
    </w:p>
    <w:bookmarkEnd w:id="3"/>
    <w:bookmarkEnd w:id="4"/>
    <w:p w14:paraId="1D7ED322" w14:textId="77777777" w:rsidR="0090147A" w:rsidRPr="00EB35E5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EB35E5">
        <w:br w:type="page"/>
      </w:r>
    </w:p>
    <w:bookmarkEnd w:id="5"/>
    <w:bookmarkEnd w:id="11"/>
    <w:p w14:paraId="77234253" w14:textId="3742B309" w:rsidR="00441909" w:rsidRPr="006B7321" w:rsidRDefault="5830584F" w:rsidP="006B7321">
      <w:pPr>
        <w:pStyle w:val="ListParagraph"/>
        <w:numPr>
          <w:ilvl w:val="0"/>
          <w:numId w:val="10"/>
        </w:numPr>
        <w:jc w:val="both"/>
        <w:rPr>
          <w:b/>
          <w:bCs/>
          <w:lang w:val="en-US"/>
        </w:rPr>
      </w:pPr>
      <w:r w:rsidRPr="602F19C6">
        <w:rPr>
          <w:rStyle w:val="normaltextrun"/>
          <w:rFonts w:cs="Calibri"/>
          <w:b/>
          <w:bCs/>
          <w:sz w:val="28"/>
          <w:szCs w:val="28"/>
          <w:lang w:eastAsia="en-GB"/>
        </w:rPr>
        <w:lastRenderedPageBreak/>
        <w:t>Background</w:t>
      </w:r>
    </w:p>
    <w:p w14:paraId="0EDA242F" w14:textId="76E37293" w:rsidR="00864978" w:rsidRPr="00A94482" w:rsidRDefault="0028004C" w:rsidP="00A9448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b/>
          <w:lang w:eastAsia="en-GB"/>
        </w:rPr>
      </w:pPr>
      <w:r w:rsidRPr="602F19C6">
        <w:rPr>
          <w:rStyle w:val="normaltextrun"/>
          <w:rFonts w:cs="Calibri"/>
          <w:lang w:eastAsia="en-GB"/>
        </w:rPr>
        <w:t xml:space="preserve">The 2022 Plenipotentiary Conference (PP-22), through Resolution 191 (Rev. Bucharest, 2022), instructs the Secretary-General to continue enhancing a coordination and cooperation strategy for effective and efficient efforts in areas of mutual interest to the three Sectors and the General Secretariat, </w:t>
      </w:r>
      <w:r w:rsidR="00C85269" w:rsidRPr="602F19C6">
        <w:rPr>
          <w:rStyle w:val="normaltextrun"/>
          <w:rFonts w:cs="Calibri"/>
          <w:lang w:eastAsia="en-GB"/>
        </w:rPr>
        <w:t>to</w:t>
      </w:r>
      <w:r w:rsidRPr="602F19C6">
        <w:rPr>
          <w:rStyle w:val="normaltextrun"/>
          <w:rFonts w:cs="Calibri"/>
          <w:lang w:eastAsia="en-GB"/>
        </w:rPr>
        <w:t xml:space="preserve"> avoid duplication of effort and optimize the use of resources of the Union.</w:t>
      </w:r>
      <w:r>
        <w:t xml:space="preserve"> </w:t>
      </w:r>
      <w:r w:rsidRPr="602F19C6">
        <w:rPr>
          <w:rStyle w:val="normaltextrun"/>
          <w:rFonts w:cs="Calibri"/>
          <w:lang w:eastAsia="en-GB"/>
        </w:rPr>
        <w:t>Furthermore, the Secretary-General is instructed to identify all forms and examples of overlapping functions and activities among the Sectors as well as the General Secretariat, and to propose solutions to address them.</w:t>
      </w:r>
    </w:p>
    <w:p w14:paraId="493E67E6" w14:textId="09502738" w:rsidR="0386B3C1" w:rsidRDefault="0386B3C1" w:rsidP="602F19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Style w:val="normaltextrun"/>
          <w:rFonts w:cs="Calibri"/>
          <w:lang w:eastAsia="en-GB"/>
        </w:rPr>
      </w:pPr>
      <w:r w:rsidRPr="602F19C6">
        <w:rPr>
          <w:rStyle w:val="normaltextrun"/>
          <w:rFonts w:cs="Calibri"/>
          <w:lang w:eastAsia="en-GB"/>
        </w:rPr>
        <w:t>F</w:t>
      </w:r>
      <w:r w:rsidR="5E12B888" w:rsidRPr="602F19C6">
        <w:rPr>
          <w:rStyle w:val="normaltextrun"/>
          <w:rFonts w:cs="Calibri"/>
          <w:lang w:eastAsia="en-GB"/>
        </w:rPr>
        <w:t>inally</w:t>
      </w:r>
      <w:r w:rsidRPr="602F19C6">
        <w:rPr>
          <w:rStyle w:val="normaltextrun"/>
          <w:rFonts w:cs="Calibri"/>
          <w:lang w:eastAsia="en-GB"/>
        </w:rPr>
        <w:t>, Resolution 191 instructs the Secretary-General and the Directors of the three Bureau</w:t>
      </w:r>
      <w:r w:rsidR="00C2568D">
        <w:rPr>
          <w:rStyle w:val="normaltextrun"/>
          <w:rFonts w:cs="Calibri"/>
          <w:lang w:eastAsia="en-GB"/>
        </w:rPr>
        <w:t>x</w:t>
      </w:r>
      <w:r w:rsidRPr="602F19C6">
        <w:rPr>
          <w:rStyle w:val="normaltextrun"/>
          <w:rFonts w:cs="Calibri"/>
          <w:lang w:eastAsia="en-GB"/>
        </w:rPr>
        <w:t xml:space="preserve"> to ensure reporting to the Council of the coordination activities carried out among the different Sectors in each area identified as being of mutual interest, as well as the results obtained.</w:t>
      </w:r>
    </w:p>
    <w:p w14:paraId="03BAA1C7" w14:textId="7085274C" w:rsidR="2F257496" w:rsidRPr="00F9523A" w:rsidRDefault="2F257496" w:rsidP="00F9523A">
      <w:pPr>
        <w:pStyle w:val="ListParagraph"/>
        <w:numPr>
          <w:ilvl w:val="0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Style w:val="normaltextrun"/>
          <w:rFonts w:cs="Calibri"/>
          <w:b/>
          <w:bCs/>
          <w:szCs w:val="24"/>
          <w:lang w:eastAsia="en-GB"/>
        </w:rPr>
      </w:pPr>
      <w:r w:rsidRPr="00F9523A">
        <w:rPr>
          <w:rStyle w:val="normaltextrun"/>
          <w:rFonts w:cs="Calibri"/>
          <w:b/>
          <w:bCs/>
          <w:sz w:val="28"/>
          <w:szCs w:val="28"/>
          <w:lang w:eastAsia="en-GB"/>
        </w:rPr>
        <w:t>Coordination within the secretariat</w:t>
      </w:r>
      <w:r w:rsidRPr="602F19C6">
        <w:rPr>
          <w:rStyle w:val="normaltextrun"/>
          <w:rFonts w:cs="Calibri"/>
          <w:b/>
          <w:bCs/>
          <w:sz w:val="28"/>
          <w:szCs w:val="28"/>
          <w:lang w:eastAsia="en-GB"/>
        </w:rPr>
        <w:t xml:space="preserve"> - </w:t>
      </w:r>
      <w:r w:rsidRPr="00F9523A">
        <w:rPr>
          <w:rStyle w:val="normaltextrun"/>
          <w:rFonts w:cs="Calibri"/>
          <w:b/>
          <w:bCs/>
          <w:sz w:val="28"/>
          <w:szCs w:val="28"/>
          <w:lang w:eastAsia="en-GB"/>
        </w:rPr>
        <w:t>Inter-Sector</w:t>
      </w:r>
      <w:r w:rsidR="00D71C3C">
        <w:rPr>
          <w:rStyle w:val="normaltextrun"/>
          <w:rFonts w:cs="Calibri"/>
          <w:b/>
          <w:bCs/>
          <w:sz w:val="28"/>
          <w:szCs w:val="28"/>
          <w:lang w:eastAsia="en-GB"/>
        </w:rPr>
        <w:t>al</w:t>
      </w:r>
      <w:r w:rsidRPr="00F9523A">
        <w:rPr>
          <w:rStyle w:val="normaltextrun"/>
          <w:rFonts w:cs="Calibri"/>
          <w:b/>
          <w:bCs/>
          <w:sz w:val="28"/>
          <w:szCs w:val="28"/>
          <w:lang w:eastAsia="en-GB"/>
        </w:rPr>
        <w:t xml:space="preserve"> Coordination Task Force (ISC-TF)</w:t>
      </w:r>
    </w:p>
    <w:p w14:paraId="69E805BB" w14:textId="267840CD" w:rsidR="00D71C3C" w:rsidRDefault="22B47D1A" w:rsidP="00A511A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lang w:eastAsia="en-GB"/>
        </w:rPr>
      </w:pPr>
      <w:r w:rsidRPr="602F19C6">
        <w:rPr>
          <w:rStyle w:val="normaltextrun"/>
          <w:rFonts w:cs="Calibri"/>
          <w:lang w:eastAsia="en-GB"/>
        </w:rPr>
        <w:t>T</w:t>
      </w:r>
      <w:r w:rsidR="00A511A5" w:rsidRPr="602F19C6">
        <w:rPr>
          <w:rStyle w:val="normaltextrun"/>
          <w:rFonts w:cs="Calibri"/>
          <w:lang w:eastAsia="en-GB"/>
        </w:rPr>
        <w:t>he Inter-Sectoral Coordination Task Force (ISC-TF)</w:t>
      </w:r>
      <w:r w:rsidR="53341141" w:rsidRPr="602F19C6">
        <w:rPr>
          <w:rStyle w:val="normaltextrun"/>
          <w:rFonts w:cs="Calibri"/>
          <w:lang w:eastAsia="en-GB"/>
        </w:rPr>
        <w:t xml:space="preserve"> is</w:t>
      </w:r>
      <w:r w:rsidR="005F1D29" w:rsidRPr="602F19C6">
        <w:rPr>
          <w:rStyle w:val="normaltextrun"/>
          <w:rFonts w:cs="Calibri"/>
          <w:lang w:eastAsia="en-GB"/>
        </w:rPr>
        <w:t xml:space="preserve"> chaired by the Deputy </w:t>
      </w:r>
      <w:r w:rsidR="00061011" w:rsidRPr="602F19C6">
        <w:rPr>
          <w:rStyle w:val="normaltextrun"/>
          <w:rFonts w:cs="Calibri"/>
          <w:lang w:eastAsia="en-GB"/>
        </w:rPr>
        <w:t>Secretary-General and</w:t>
      </w:r>
      <w:r w:rsidR="2DB9ACEB" w:rsidRPr="602F19C6">
        <w:rPr>
          <w:rStyle w:val="normaltextrun"/>
          <w:rFonts w:cs="Calibri"/>
          <w:lang w:eastAsia="en-GB"/>
        </w:rPr>
        <w:t xml:space="preserve"> </w:t>
      </w:r>
      <w:r w:rsidR="00D71C3C">
        <w:rPr>
          <w:rStyle w:val="normaltextrun"/>
          <w:rFonts w:cs="Calibri"/>
          <w:lang w:eastAsia="en-GB"/>
        </w:rPr>
        <w:t>comprises</w:t>
      </w:r>
      <w:r w:rsidR="00A30552" w:rsidRPr="602F19C6">
        <w:rPr>
          <w:rStyle w:val="normaltextrun"/>
          <w:rFonts w:cs="Calibri"/>
          <w:lang w:eastAsia="en-GB"/>
        </w:rPr>
        <w:t xml:space="preserve"> </w:t>
      </w:r>
      <w:r w:rsidR="00C059D3">
        <w:rPr>
          <w:rStyle w:val="normaltextrun"/>
          <w:rFonts w:cs="Calibri"/>
          <w:lang w:eastAsia="en-GB"/>
        </w:rPr>
        <w:t xml:space="preserve">representatives </w:t>
      </w:r>
      <w:r w:rsidR="00A30552" w:rsidRPr="602F19C6">
        <w:rPr>
          <w:rStyle w:val="normaltextrun"/>
          <w:rFonts w:cs="Calibri"/>
          <w:lang w:eastAsia="en-GB"/>
        </w:rPr>
        <w:t xml:space="preserve">from the </w:t>
      </w:r>
      <w:r w:rsidR="0047689C" w:rsidRPr="602F19C6">
        <w:rPr>
          <w:rStyle w:val="normaltextrun"/>
          <w:rFonts w:cs="Calibri"/>
          <w:lang w:eastAsia="en-GB"/>
        </w:rPr>
        <w:t>Bureau</w:t>
      </w:r>
      <w:r w:rsidR="00C2568D">
        <w:rPr>
          <w:rStyle w:val="normaltextrun"/>
          <w:rFonts w:cs="Calibri"/>
          <w:lang w:eastAsia="en-GB"/>
        </w:rPr>
        <w:t>x</w:t>
      </w:r>
      <w:r w:rsidR="0047689C" w:rsidRPr="602F19C6">
        <w:rPr>
          <w:rStyle w:val="normaltextrun"/>
          <w:rFonts w:cs="Calibri"/>
          <w:lang w:eastAsia="en-GB"/>
        </w:rPr>
        <w:t xml:space="preserve"> and the </w:t>
      </w:r>
      <w:r w:rsidR="00A30552" w:rsidRPr="602F19C6">
        <w:rPr>
          <w:rStyle w:val="normaltextrun"/>
          <w:rFonts w:cs="Calibri"/>
          <w:lang w:eastAsia="en-GB"/>
        </w:rPr>
        <w:t>General Secretariat</w:t>
      </w:r>
      <w:r w:rsidR="00D71C3C">
        <w:rPr>
          <w:rStyle w:val="normaltextrun"/>
          <w:rFonts w:cs="Calibri"/>
          <w:lang w:eastAsia="en-GB"/>
        </w:rPr>
        <w:t>.</w:t>
      </w:r>
    </w:p>
    <w:p w14:paraId="2EEE750F" w14:textId="15C4DB98" w:rsidR="005D13C8" w:rsidRDefault="00D71C3C" w:rsidP="00A511A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lang w:eastAsia="en-GB"/>
        </w:rPr>
      </w:pPr>
      <w:r>
        <w:rPr>
          <w:rStyle w:val="normaltextrun"/>
          <w:rFonts w:cs="Calibri"/>
          <w:lang w:eastAsia="en-GB"/>
        </w:rPr>
        <w:t>The ISC-TF</w:t>
      </w:r>
      <w:r w:rsidR="184D5412" w:rsidRPr="602F19C6">
        <w:rPr>
          <w:rStyle w:val="normaltextrun"/>
          <w:rFonts w:cs="Calibri"/>
          <w:lang w:eastAsia="en-GB"/>
        </w:rPr>
        <w:t xml:space="preserve"> is</w:t>
      </w:r>
      <w:r w:rsidR="005F1D29" w:rsidRPr="602F19C6">
        <w:rPr>
          <w:rStyle w:val="normaltextrun"/>
          <w:rFonts w:cs="Calibri"/>
          <w:lang w:eastAsia="en-GB"/>
        </w:rPr>
        <w:t xml:space="preserve"> the </w:t>
      </w:r>
      <w:r w:rsidR="006219E7" w:rsidRPr="602F19C6">
        <w:rPr>
          <w:rStyle w:val="normaltextrun"/>
          <w:rFonts w:cs="Calibri"/>
          <w:lang w:eastAsia="en-GB"/>
        </w:rPr>
        <w:t>body</w:t>
      </w:r>
      <w:r w:rsidR="002C6432" w:rsidRPr="602F19C6">
        <w:rPr>
          <w:rStyle w:val="normaltextrun"/>
          <w:rFonts w:cs="Calibri"/>
          <w:lang w:eastAsia="en-GB"/>
        </w:rPr>
        <w:t xml:space="preserve"> t</w:t>
      </w:r>
      <w:r w:rsidR="006219E7" w:rsidRPr="602F19C6">
        <w:rPr>
          <w:rStyle w:val="normaltextrun"/>
          <w:rFonts w:cs="Calibri"/>
          <w:lang w:eastAsia="en-GB"/>
        </w:rPr>
        <w:t xml:space="preserve">hat </w:t>
      </w:r>
      <w:r w:rsidR="00555CE2" w:rsidRPr="602F19C6">
        <w:rPr>
          <w:rStyle w:val="normaltextrun"/>
          <w:rFonts w:cs="Calibri"/>
          <w:lang w:eastAsia="en-GB"/>
        </w:rPr>
        <w:t>coordinat</w:t>
      </w:r>
      <w:r w:rsidR="002C6432" w:rsidRPr="602F19C6">
        <w:rPr>
          <w:rStyle w:val="normaltextrun"/>
          <w:rFonts w:cs="Calibri"/>
          <w:lang w:eastAsia="en-GB"/>
        </w:rPr>
        <w:t>e</w:t>
      </w:r>
      <w:r w:rsidR="006219E7" w:rsidRPr="602F19C6">
        <w:rPr>
          <w:rStyle w:val="normaltextrun"/>
          <w:rFonts w:cs="Calibri"/>
          <w:lang w:eastAsia="en-GB"/>
        </w:rPr>
        <w:t>s</w:t>
      </w:r>
      <w:r w:rsidR="002C6432" w:rsidRPr="602F19C6">
        <w:rPr>
          <w:rStyle w:val="normaltextrun"/>
          <w:rFonts w:cs="Calibri"/>
          <w:lang w:eastAsia="en-GB"/>
        </w:rPr>
        <w:t xml:space="preserve"> </w:t>
      </w:r>
      <w:r w:rsidR="00555CE2" w:rsidRPr="602F19C6">
        <w:rPr>
          <w:rStyle w:val="normaltextrun"/>
          <w:rFonts w:cs="Calibri"/>
          <w:lang w:eastAsia="en-GB"/>
        </w:rPr>
        <w:t xml:space="preserve">within the secretariat, </w:t>
      </w:r>
      <w:r w:rsidR="006219E7" w:rsidRPr="602F19C6">
        <w:rPr>
          <w:rStyle w:val="normaltextrun"/>
          <w:rFonts w:cs="Calibri"/>
          <w:lang w:eastAsia="en-GB"/>
        </w:rPr>
        <w:t>and that l</w:t>
      </w:r>
      <w:r w:rsidR="00A511A5" w:rsidRPr="602F19C6">
        <w:rPr>
          <w:rStyle w:val="normaltextrun"/>
          <w:rFonts w:cs="Calibri"/>
          <w:lang w:eastAsia="en-GB"/>
        </w:rPr>
        <w:t>iaises with the I</w:t>
      </w:r>
      <w:r w:rsidR="00603055" w:rsidRPr="602F19C6">
        <w:rPr>
          <w:rStyle w:val="normaltextrun"/>
          <w:rFonts w:cs="Calibri"/>
          <w:lang w:eastAsia="en-GB"/>
        </w:rPr>
        <w:t>nter</w:t>
      </w:r>
      <w:r w:rsidR="001E04C6" w:rsidRPr="602F19C6">
        <w:rPr>
          <w:rStyle w:val="normaltextrun"/>
          <w:rFonts w:cs="Calibri"/>
          <w:lang w:eastAsia="en-GB"/>
        </w:rPr>
        <w:t>-</w:t>
      </w:r>
      <w:r w:rsidR="00A511A5" w:rsidRPr="602F19C6">
        <w:rPr>
          <w:rStyle w:val="normaltextrun"/>
          <w:rFonts w:cs="Calibri"/>
          <w:lang w:eastAsia="en-GB"/>
        </w:rPr>
        <w:t>S</w:t>
      </w:r>
      <w:r w:rsidR="001E04C6" w:rsidRPr="602F19C6">
        <w:rPr>
          <w:rStyle w:val="normaltextrun"/>
          <w:rFonts w:cs="Calibri"/>
          <w:lang w:eastAsia="en-GB"/>
        </w:rPr>
        <w:t xml:space="preserve">ector </w:t>
      </w:r>
      <w:r w:rsidR="00A511A5" w:rsidRPr="602F19C6">
        <w:rPr>
          <w:rStyle w:val="normaltextrun"/>
          <w:rFonts w:cs="Calibri"/>
          <w:lang w:eastAsia="en-GB"/>
        </w:rPr>
        <w:t>C</w:t>
      </w:r>
      <w:r w:rsidR="001E04C6" w:rsidRPr="602F19C6">
        <w:rPr>
          <w:rStyle w:val="normaltextrun"/>
          <w:rFonts w:cs="Calibri"/>
          <w:lang w:eastAsia="en-GB"/>
        </w:rPr>
        <w:t xml:space="preserve">oordination </w:t>
      </w:r>
      <w:r w:rsidR="00A511A5" w:rsidRPr="602F19C6">
        <w:rPr>
          <w:rStyle w:val="normaltextrun"/>
          <w:rFonts w:cs="Calibri"/>
          <w:lang w:eastAsia="en-GB"/>
        </w:rPr>
        <w:t>G</w:t>
      </w:r>
      <w:r w:rsidR="001E04C6" w:rsidRPr="602F19C6">
        <w:rPr>
          <w:rStyle w:val="normaltextrun"/>
          <w:rFonts w:cs="Calibri"/>
          <w:lang w:eastAsia="en-GB"/>
        </w:rPr>
        <w:t>roup (ISCG)</w:t>
      </w:r>
      <w:r w:rsidR="00A511A5" w:rsidRPr="602F19C6">
        <w:rPr>
          <w:rStyle w:val="normaltextrun"/>
          <w:rFonts w:cs="Calibri"/>
          <w:lang w:eastAsia="en-GB"/>
        </w:rPr>
        <w:t xml:space="preserve"> to identify the membership’s </w:t>
      </w:r>
      <w:r w:rsidR="005D13C8" w:rsidRPr="602F19C6">
        <w:rPr>
          <w:rStyle w:val="normaltextrun"/>
          <w:rFonts w:cs="Calibri"/>
          <w:lang w:eastAsia="en-GB"/>
        </w:rPr>
        <w:t>n</w:t>
      </w:r>
      <w:r w:rsidR="00A511A5" w:rsidRPr="602F19C6">
        <w:rPr>
          <w:rStyle w:val="normaltextrun"/>
          <w:rFonts w:cs="Calibri"/>
          <w:lang w:eastAsia="en-GB"/>
        </w:rPr>
        <w:t xml:space="preserve">eeds and provide options to improve cooperation and coordination </w:t>
      </w:r>
      <w:r w:rsidR="00FB202A" w:rsidRPr="602F19C6">
        <w:rPr>
          <w:rStyle w:val="normaltextrun"/>
          <w:rFonts w:cs="Calibri"/>
          <w:lang w:eastAsia="en-GB"/>
        </w:rPr>
        <w:t xml:space="preserve">across </w:t>
      </w:r>
      <w:r w:rsidR="006219E7" w:rsidRPr="602F19C6">
        <w:rPr>
          <w:rStyle w:val="normaltextrun"/>
          <w:rFonts w:cs="Calibri"/>
          <w:lang w:eastAsia="en-GB"/>
        </w:rPr>
        <w:t>ITU</w:t>
      </w:r>
      <w:r w:rsidR="00FB202A" w:rsidRPr="602F19C6">
        <w:rPr>
          <w:rStyle w:val="normaltextrun"/>
          <w:rFonts w:cs="Calibri"/>
          <w:lang w:eastAsia="en-GB"/>
        </w:rPr>
        <w:t>.</w:t>
      </w:r>
    </w:p>
    <w:p w14:paraId="5F28D3FA" w14:textId="6BBCD041" w:rsidR="008E0EF1" w:rsidRDefault="003A5DEE" w:rsidP="00A511A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szCs w:val="24"/>
          <w:lang w:eastAsia="en-GB"/>
        </w:rPr>
      </w:pPr>
      <w:r w:rsidRPr="003A5DEE">
        <w:rPr>
          <w:rStyle w:val="normaltextrun"/>
          <w:rFonts w:cs="Calibri"/>
          <w:szCs w:val="24"/>
          <w:lang w:eastAsia="en-GB"/>
        </w:rPr>
        <w:t xml:space="preserve">Since the report presented to Council last year, the secretariat continues to work to organize and find the best way to ensure the governance of the intersectoral coordination. </w:t>
      </w:r>
      <w:r w:rsidR="00EA76BB">
        <w:rPr>
          <w:rStyle w:val="normaltextrun"/>
          <w:rFonts w:cs="Calibri"/>
          <w:szCs w:val="24"/>
          <w:lang w:eastAsia="en-GB"/>
        </w:rPr>
        <w:t>These efforts</w:t>
      </w:r>
      <w:r w:rsidR="008E0EF1">
        <w:rPr>
          <w:rStyle w:val="normaltextrun"/>
          <w:rFonts w:cs="Calibri"/>
          <w:szCs w:val="24"/>
          <w:lang w:eastAsia="en-GB"/>
        </w:rPr>
        <w:t xml:space="preserve"> include:</w:t>
      </w:r>
    </w:p>
    <w:p w14:paraId="7214063E" w14:textId="7E680F84" w:rsidR="004F04CF" w:rsidRDefault="31DEA403" w:rsidP="00F0629A">
      <w:pPr>
        <w:pStyle w:val="ListParagraph"/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714" w:hanging="357"/>
        <w:contextualSpacing w:val="0"/>
        <w:jc w:val="both"/>
        <w:textAlignment w:val="auto"/>
        <w:rPr>
          <w:rFonts w:eastAsia="Calibri" w:cs="Calibri"/>
          <w:szCs w:val="24"/>
        </w:rPr>
      </w:pPr>
      <w:r w:rsidRPr="602F19C6">
        <w:rPr>
          <w:rFonts w:eastAsia="Calibri" w:cs="Calibri"/>
          <w:szCs w:val="24"/>
        </w:rPr>
        <w:t xml:space="preserve">Improvement </w:t>
      </w:r>
      <w:r w:rsidR="00B45D5F">
        <w:rPr>
          <w:rFonts w:eastAsia="Calibri" w:cs="Calibri"/>
          <w:szCs w:val="24"/>
        </w:rPr>
        <w:t xml:space="preserve">of the </w:t>
      </w:r>
      <w:hyperlink r:id="rId14" w:history="1">
        <w:r w:rsidR="00B45D5F" w:rsidRPr="00B6412D">
          <w:rPr>
            <w:rStyle w:val="Hyperlink"/>
            <w:rFonts w:eastAsia="Calibri" w:cs="Calibri"/>
            <w:szCs w:val="24"/>
          </w:rPr>
          <w:t xml:space="preserve">Intersectoral </w:t>
        </w:r>
        <w:r w:rsidR="00033DCF" w:rsidRPr="00B6412D">
          <w:rPr>
            <w:rStyle w:val="Hyperlink"/>
            <w:rFonts w:eastAsia="Calibri" w:cs="Calibri"/>
            <w:szCs w:val="24"/>
          </w:rPr>
          <w:t xml:space="preserve">coordination </w:t>
        </w:r>
        <w:r w:rsidRPr="00B6412D">
          <w:rPr>
            <w:rStyle w:val="Hyperlink"/>
            <w:rFonts w:eastAsia="Calibri" w:cs="Calibri"/>
            <w:szCs w:val="24"/>
          </w:rPr>
          <w:t>webpage</w:t>
        </w:r>
      </w:hyperlink>
      <w:r w:rsidRPr="602F19C6">
        <w:rPr>
          <w:rFonts w:eastAsia="Calibri" w:cs="Calibri"/>
          <w:szCs w:val="24"/>
        </w:rPr>
        <w:t xml:space="preserve"> </w:t>
      </w:r>
      <w:r w:rsidR="00033DCF">
        <w:rPr>
          <w:rFonts w:eastAsia="Calibri" w:cs="Calibri"/>
          <w:szCs w:val="24"/>
        </w:rPr>
        <w:t>under the General Secretariat</w:t>
      </w:r>
      <w:r w:rsidR="00B513E0">
        <w:rPr>
          <w:rFonts w:eastAsia="Calibri" w:cs="Calibri"/>
          <w:szCs w:val="24"/>
        </w:rPr>
        <w:t xml:space="preserve"> and</w:t>
      </w:r>
      <w:r w:rsidRPr="602F19C6">
        <w:rPr>
          <w:rFonts w:eastAsia="Calibri" w:cs="Calibri"/>
          <w:szCs w:val="24"/>
        </w:rPr>
        <w:t xml:space="preserve"> in coordination with the Chair of the ISCG</w:t>
      </w:r>
      <w:r w:rsidR="00A01B72">
        <w:rPr>
          <w:rStyle w:val="normaltextrun"/>
          <w:rFonts w:cs="Calibri"/>
          <w:lang w:eastAsia="en-GB"/>
        </w:rPr>
        <w:t>.</w:t>
      </w:r>
    </w:p>
    <w:p w14:paraId="12E28819" w14:textId="413547D8" w:rsidR="004F04CF" w:rsidRDefault="00B513E0" w:rsidP="00F0629A">
      <w:pPr>
        <w:pStyle w:val="ListParagraph"/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714" w:hanging="357"/>
        <w:contextualSpacing w:val="0"/>
        <w:jc w:val="both"/>
        <w:textAlignment w:val="auto"/>
        <w:rPr>
          <w:rStyle w:val="normaltextrun"/>
          <w:rFonts w:cs="Calibri"/>
          <w:lang w:eastAsia="en-GB"/>
        </w:rPr>
      </w:pPr>
      <w:r>
        <w:rPr>
          <w:rStyle w:val="normaltextrun"/>
          <w:rFonts w:cs="Calibri"/>
          <w:lang w:eastAsia="en-GB"/>
        </w:rPr>
        <w:t>M</w:t>
      </w:r>
      <w:r w:rsidR="004F04CF" w:rsidRPr="602F19C6">
        <w:rPr>
          <w:rStyle w:val="normaltextrun"/>
          <w:rFonts w:cs="Calibri"/>
          <w:lang w:eastAsia="en-GB"/>
        </w:rPr>
        <w:t>apping of resolutions, from main ITU Conferences/Assemblies, as well as a review of the secretariat’s internal task forces and groups, carried out after the ITU Plenipotentiary Conference 2022</w:t>
      </w:r>
      <w:r w:rsidR="001A0B10" w:rsidRPr="602F19C6">
        <w:rPr>
          <w:rStyle w:val="normaltextrun"/>
          <w:rFonts w:cs="Calibri"/>
          <w:lang w:eastAsia="en-GB"/>
        </w:rPr>
        <w:t xml:space="preserve"> (and updated after R</w:t>
      </w:r>
      <w:r w:rsidR="00D81605" w:rsidRPr="602F19C6">
        <w:rPr>
          <w:rStyle w:val="normaltextrun"/>
          <w:rFonts w:cs="Calibri"/>
          <w:lang w:eastAsia="en-GB"/>
        </w:rPr>
        <w:t>A</w:t>
      </w:r>
      <w:r w:rsidR="001A0B10" w:rsidRPr="602F19C6">
        <w:rPr>
          <w:rStyle w:val="normaltextrun"/>
          <w:rFonts w:cs="Calibri"/>
          <w:lang w:eastAsia="en-GB"/>
        </w:rPr>
        <w:t>-23)</w:t>
      </w:r>
      <w:r w:rsidR="004F04CF" w:rsidRPr="602F19C6">
        <w:rPr>
          <w:rStyle w:val="normaltextrun"/>
          <w:rFonts w:cs="Calibri"/>
          <w:lang w:eastAsia="en-GB"/>
        </w:rPr>
        <w:t>, to propose a strategy that addresses the growing number of areas of mutual interest.</w:t>
      </w:r>
    </w:p>
    <w:p w14:paraId="0D39E6C4" w14:textId="1F203878" w:rsidR="007A05C7" w:rsidRDefault="00B513E0" w:rsidP="00F0629A">
      <w:pPr>
        <w:pStyle w:val="ListParagraph"/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714" w:hanging="357"/>
        <w:contextualSpacing w:val="0"/>
        <w:jc w:val="both"/>
        <w:textAlignment w:val="auto"/>
        <w:rPr>
          <w:rStyle w:val="normaltextrun"/>
          <w:rFonts w:cs="Calibri"/>
          <w:lang w:eastAsia="en-GB"/>
        </w:rPr>
      </w:pPr>
      <w:r w:rsidRPr="5C00CA42">
        <w:rPr>
          <w:rStyle w:val="normaltextrun"/>
          <w:rFonts w:cs="Calibri"/>
          <w:lang w:eastAsia="en-GB"/>
        </w:rPr>
        <w:t>U</w:t>
      </w:r>
      <w:r w:rsidR="005F0B82" w:rsidRPr="5C00CA42">
        <w:rPr>
          <w:rStyle w:val="normaltextrun"/>
          <w:rFonts w:cs="Calibri"/>
          <w:lang w:eastAsia="en-GB"/>
        </w:rPr>
        <w:t>pdate</w:t>
      </w:r>
      <w:r w:rsidR="3E5050EF" w:rsidRPr="5C00CA42">
        <w:rPr>
          <w:rStyle w:val="normaltextrun"/>
          <w:rFonts w:cs="Calibri"/>
          <w:lang w:eastAsia="en-GB"/>
        </w:rPr>
        <w:t xml:space="preserve"> of the</w:t>
      </w:r>
      <w:r w:rsidR="005F0B82" w:rsidRPr="5C00CA42">
        <w:rPr>
          <w:rStyle w:val="normaltextrun"/>
          <w:rFonts w:cs="Calibri"/>
          <w:lang w:eastAsia="en-GB"/>
        </w:rPr>
        <w:t xml:space="preserve"> list </w:t>
      </w:r>
      <w:r w:rsidR="00A511A5" w:rsidRPr="5C00CA42">
        <w:rPr>
          <w:rStyle w:val="normaltextrun"/>
          <w:rFonts w:cs="Calibri"/>
          <w:lang w:eastAsia="en-GB"/>
        </w:rPr>
        <w:t xml:space="preserve">of themes calling for intersectoral coordination together with the Focal Points appointed by the Sectors and the General Secretariat </w:t>
      </w:r>
      <w:r w:rsidR="004C0FB3" w:rsidRPr="5C00CA42">
        <w:rPr>
          <w:rStyle w:val="normaltextrun"/>
          <w:rFonts w:cs="Calibri"/>
          <w:lang w:eastAsia="en-GB"/>
        </w:rPr>
        <w:t>published on the</w:t>
      </w:r>
      <w:r w:rsidR="0085163C" w:rsidRPr="5C00CA42">
        <w:rPr>
          <w:rStyle w:val="normaltextrun"/>
          <w:rFonts w:cs="Calibri"/>
          <w:lang w:eastAsia="en-GB"/>
        </w:rPr>
        <w:t xml:space="preserve"> web</w:t>
      </w:r>
      <w:r w:rsidR="04E56FF0" w:rsidRPr="5C00CA42">
        <w:rPr>
          <w:rStyle w:val="normaltextrun"/>
          <w:rFonts w:cs="Calibri"/>
          <w:lang w:eastAsia="en-GB"/>
        </w:rPr>
        <w:t>page</w:t>
      </w:r>
      <w:r w:rsidR="00A511A5" w:rsidRPr="5C00CA42">
        <w:rPr>
          <w:rStyle w:val="normaltextrun"/>
          <w:rFonts w:cs="Calibri"/>
          <w:lang w:eastAsia="en-GB"/>
        </w:rPr>
        <w:t>.</w:t>
      </w:r>
    </w:p>
    <w:p w14:paraId="483551A5" w14:textId="77777777" w:rsidR="008A5787" w:rsidRDefault="001E0C5E" w:rsidP="00F0629A">
      <w:pPr>
        <w:pStyle w:val="ListParagraph"/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714" w:hanging="357"/>
        <w:contextualSpacing w:val="0"/>
        <w:jc w:val="both"/>
        <w:textAlignment w:val="auto"/>
        <w:rPr>
          <w:rStyle w:val="normaltextrun"/>
          <w:rFonts w:cs="Calibri"/>
          <w:lang w:eastAsia="en-GB"/>
        </w:rPr>
      </w:pPr>
      <w:r>
        <w:rPr>
          <w:rStyle w:val="normaltextrun"/>
          <w:rFonts w:cs="Calibri"/>
          <w:lang w:eastAsia="en-GB"/>
        </w:rPr>
        <w:t>R</w:t>
      </w:r>
      <w:r w:rsidR="007A05C7" w:rsidRPr="602F19C6">
        <w:rPr>
          <w:rStyle w:val="normaltextrun"/>
          <w:rFonts w:cs="Calibri"/>
          <w:lang w:eastAsia="en-GB"/>
        </w:rPr>
        <w:t xml:space="preserve">eview of the composition of the Inter-Sectoral Coordination Task Force (ISC-TF) to make it more focused, </w:t>
      </w:r>
      <w:r w:rsidR="0085163C" w:rsidRPr="602F19C6">
        <w:rPr>
          <w:rStyle w:val="normaltextrun"/>
          <w:rFonts w:cs="Calibri"/>
          <w:lang w:eastAsia="en-GB"/>
        </w:rPr>
        <w:t>efficient,</w:t>
      </w:r>
      <w:r w:rsidR="007A05C7" w:rsidRPr="602F19C6">
        <w:rPr>
          <w:rStyle w:val="normaltextrun"/>
          <w:rFonts w:cs="Calibri"/>
          <w:lang w:eastAsia="en-GB"/>
        </w:rPr>
        <w:t xml:space="preserve"> and effective</w:t>
      </w:r>
      <w:r>
        <w:rPr>
          <w:rStyle w:val="normaltextrun"/>
          <w:rFonts w:cs="Calibri"/>
          <w:lang w:eastAsia="en-GB"/>
        </w:rPr>
        <w:t>.</w:t>
      </w:r>
      <w:r w:rsidR="007A05C7" w:rsidRPr="602F19C6">
        <w:rPr>
          <w:rStyle w:val="normaltextrun"/>
          <w:rFonts w:cs="Calibri"/>
          <w:lang w:eastAsia="en-GB"/>
        </w:rPr>
        <w:t xml:space="preserve"> </w:t>
      </w:r>
    </w:p>
    <w:p w14:paraId="438D0A6D" w14:textId="322319A7" w:rsidR="00AD58DE" w:rsidRPr="007A05C7" w:rsidRDefault="005A7222" w:rsidP="00F0629A">
      <w:pPr>
        <w:pStyle w:val="ListParagraph"/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714" w:hanging="357"/>
        <w:contextualSpacing w:val="0"/>
        <w:jc w:val="both"/>
        <w:textAlignment w:val="auto"/>
        <w:rPr>
          <w:rStyle w:val="normaltextrun"/>
          <w:rFonts w:cs="Calibri"/>
          <w:lang w:eastAsia="en-GB"/>
        </w:rPr>
      </w:pPr>
      <w:r w:rsidRPr="5C00CA42">
        <w:rPr>
          <w:rStyle w:val="normaltextrun"/>
          <w:rFonts w:cs="Calibri"/>
          <w:lang w:eastAsia="en-GB"/>
        </w:rPr>
        <w:t>Update</w:t>
      </w:r>
      <w:r w:rsidR="18352D8C" w:rsidRPr="5C00CA42">
        <w:rPr>
          <w:rStyle w:val="normaltextrun"/>
          <w:rFonts w:cs="Calibri"/>
          <w:lang w:eastAsia="en-GB"/>
        </w:rPr>
        <w:t xml:space="preserve"> of the</w:t>
      </w:r>
      <w:r w:rsidRPr="5C00CA42">
        <w:rPr>
          <w:rStyle w:val="normaltextrun"/>
          <w:rFonts w:cs="Calibri"/>
          <w:lang w:eastAsia="en-GB"/>
        </w:rPr>
        <w:t xml:space="preserve"> tools </w:t>
      </w:r>
      <w:r w:rsidR="00F31DE9" w:rsidRPr="5C00CA42">
        <w:rPr>
          <w:rStyle w:val="normaltextrun"/>
          <w:rFonts w:cs="Calibri"/>
          <w:lang w:eastAsia="en-GB"/>
        </w:rPr>
        <w:t xml:space="preserve">for planning, </w:t>
      </w:r>
      <w:r w:rsidR="008A5787" w:rsidRPr="5C00CA42">
        <w:rPr>
          <w:rStyle w:val="normaltextrun"/>
          <w:rFonts w:cs="Calibri"/>
          <w:lang w:eastAsia="en-GB"/>
        </w:rPr>
        <w:t>monitoring,</w:t>
      </w:r>
      <w:r w:rsidR="00F31DE9" w:rsidRPr="5C00CA42">
        <w:rPr>
          <w:rStyle w:val="normaltextrun"/>
          <w:rFonts w:cs="Calibri"/>
          <w:lang w:eastAsia="en-GB"/>
        </w:rPr>
        <w:t xml:space="preserve"> and reporting, such as </w:t>
      </w:r>
      <w:r w:rsidR="00FC6927" w:rsidRPr="5C00CA42">
        <w:rPr>
          <w:rStyle w:val="normaltextrun"/>
          <w:rFonts w:cs="Calibri"/>
          <w:lang w:eastAsia="en-GB"/>
        </w:rPr>
        <w:t>an Intersectoral Coordination T</w:t>
      </w:r>
      <w:r w:rsidR="77F2E90E" w:rsidRPr="5C00CA42">
        <w:rPr>
          <w:rStyle w:val="normaltextrun"/>
          <w:rFonts w:cs="Calibri"/>
          <w:lang w:eastAsia="en-GB"/>
        </w:rPr>
        <w:t>r</w:t>
      </w:r>
      <w:r w:rsidR="00FC6927" w:rsidRPr="5C00CA42">
        <w:rPr>
          <w:rStyle w:val="normaltextrun"/>
          <w:rFonts w:cs="Calibri"/>
          <w:lang w:eastAsia="en-GB"/>
        </w:rPr>
        <w:t xml:space="preserve">acker where </w:t>
      </w:r>
      <w:r w:rsidR="00207071" w:rsidRPr="5C00CA42">
        <w:rPr>
          <w:rStyle w:val="normaltextrun"/>
          <w:rFonts w:cs="Calibri"/>
          <w:lang w:eastAsia="en-GB"/>
        </w:rPr>
        <w:t xml:space="preserve">the secretariat </w:t>
      </w:r>
      <w:r w:rsidR="00E03C1D" w:rsidRPr="5C00CA42">
        <w:rPr>
          <w:rStyle w:val="normaltextrun"/>
          <w:rFonts w:cs="Calibri"/>
          <w:lang w:eastAsia="en-GB"/>
        </w:rPr>
        <w:t xml:space="preserve">Focal Points inform their main priorities/activities per year for </w:t>
      </w:r>
      <w:r w:rsidR="00207071" w:rsidRPr="5C00CA42">
        <w:rPr>
          <w:rStyle w:val="normaltextrun"/>
          <w:rFonts w:cs="Calibri"/>
          <w:lang w:eastAsia="en-GB"/>
        </w:rPr>
        <w:t xml:space="preserve">internal </w:t>
      </w:r>
      <w:r w:rsidR="00E03C1D" w:rsidRPr="5C00CA42">
        <w:rPr>
          <w:rStyle w:val="normaltextrun"/>
          <w:rFonts w:cs="Calibri"/>
          <w:lang w:eastAsia="en-GB"/>
        </w:rPr>
        <w:t>planning purposes</w:t>
      </w:r>
      <w:r w:rsidR="00793D61" w:rsidRPr="5C00CA42">
        <w:rPr>
          <w:rStyle w:val="normaltextrun"/>
          <w:rFonts w:cs="Calibri"/>
          <w:lang w:eastAsia="en-GB"/>
        </w:rPr>
        <w:t xml:space="preserve">, </w:t>
      </w:r>
      <w:r w:rsidR="00E03C1D" w:rsidRPr="5C00CA42">
        <w:rPr>
          <w:rStyle w:val="normaltextrun"/>
          <w:rFonts w:cs="Calibri"/>
          <w:lang w:eastAsia="en-GB"/>
        </w:rPr>
        <w:t>and the web platform to report on the implementation of PP</w:t>
      </w:r>
      <w:r w:rsidR="00F14EA6" w:rsidRPr="5C00CA42">
        <w:rPr>
          <w:rStyle w:val="normaltextrun"/>
          <w:rFonts w:cs="Calibri"/>
          <w:lang w:eastAsia="en-GB"/>
        </w:rPr>
        <w:t xml:space="preserve"> </w:t>
      </w:r>
      <w:r w:rsidR="00E03C1D" w:rsidRPr="5C00CA42">
        <w:rPr>
          <w:rStyle w:val="normaltextrun"/>
          <w:rFonts w:cs="Calibri"/>
          <w:lang w:eastAsia="en-GB"/>
        </w:rPr>
        <w:t>Resolution</w:t>
      </w:r>
      <w:r w:rsidR="00793D61" w:rsidRPr="5C00CA42">
        <w:rPr>
          <w:rStyle w:val="normaltextrun"/>
          <w:rFonts w:cs="Calibri"/>
          <w:lang w:eastAsia="en-GB"/>
        </w:rPr>
        <w:t>s</w:t>
      </w:r>
      <w:r w:rsidR="00FE537D" w:rsidRPr="5C00CA42">
        <w:rPr>
          <w:rStyle w:val="normaltextrun"/>
          <w:rFonts w:cs="Calibri"/>
          <w:lang w:eastAsia="en-GB"/>
        </w:rPr>
        <w:t>, including intersectoral coordination, on an annual basis to</w:t>
      </w:r>
      <w:r w:rsidR="00F14EA6" w:rsidRPr="5C00CA42">
        <w:rPr>
          <w:rStyle w:val="normaltextrun"/>
          <w:rFonts w:cs="Calibri"/>
          <w:lang w:eastAsia="en-GB"/>
        </w:rPr>
        <w:t xml:space="preserve"> the</w:t>
      </w:r>
      <w:r w:rsidR="00FE537D" w:rsidRPr="5C00CA42">
        <w:rPr>
          <w:rStyle w:val="normaltextrun"/>
          <w:rFonts w:cs="Calibri"/>
          <w:lang w:eastAsia="en-GB"/>
        </w:rPr>
        <w:t xml:space="preserve"> Council. </w:t>
      </w:r>
    </w:p>
    <w:p w14:paraId="1183F0DA" w14:textId="4F9F8E5E" w:rsidR="2567AD68" w:rsidRDefault="2567AD68" w:rsidP="00F0629A">
      <w:pPr>
        <w:pStyle w:val="ListParagraph"/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left="714" w:hanging="357"/>
        <w:contextualSpacing w:val="0"/>
        <w:jc w:val="both"/>
        <w:rPr>
          <w:rFonts w:eastAsia="Calibri" w:cs="Calibri"/>
          <w:color w:val="0C0C0C"/>
        </w:rPr>
      </w:pPr>
      <w:r w:rsidRPr="5C00CA42">
        <w:rPr>
          <w:rStyle w:val="normaltextrun"/>
          <w:rFonts w:cs="Calibri"/>
          <w:lang w:eastAsia="en-GB"/>
        </w:rPr>
        <w:t>Revis</w:t>
      </w:r>
      <w:r w:rsidR="76CF5F3B" w:rsidRPr="5C00CA42">
        <w:rPr>
          <w:rStyle w:val="normaltextrun"/>
          <w:rFonts w:cs="Calibri"/>
          <w:lang w:eastAsia="en-GB"/>
        </w:rPr>
        <w:t>ion of the related</w:t>
      </w:r>
      <w:r w:rsidRPr="5C00CA42">
        <w:rPr>
          <w:rStyle w:val="normaltextrun"/>
          <w:rFonts w:cs="Calibri"/>
          <w:lang w:eastAsia="en-GB"/>
        </w:rPr>
        <w:t xml:space="preserve"> Service Order, </w:t>
      </w:r>
      <w:r w:rsidR="5FA147A2" w:rsidRPr="5C00CA42">
        <w:rPr>
          <w:rFonts w:eastAsia="Calibri" w:cs="Calibri"/>
          <w:color w:val="0C0C0C"/>
        </w:rPr>
        <w:t>to address the identified</w:t>
      </w:r>
      <w:r w:rsidR="004138E7" w:rsidRPr="5C00CA42">
        <w:rPr>
          <w:rFonts w:eastAsia="Calibri" w:cs="Calibri"/>
          <w:color w:val="0C0C0C"/>
        </w:rPr>
        <w:t xml:space="preserve"> themes</w:t>
      </w:r>
      <w:r w:rsidR="00DE2DA2" w:rsidRPr="5C00CA42">
        <w:rPr>
          <w:rFonts w:eastAsia="Calibri" w:cs="Calibri"/>
          <w:color w:val="0C0C0C"/>
        </w:rPr>
        <w:t xml:space="preserve"> of mutual interest </w:t>
      </w:r>
      <w:r w:rsidR="5FA147A2" w:rsidRPr="5C00CA42">
        <w:rPr>
          <w:rFonts w:eastAsia="Calibri" w:cs="Calibri"/>
          <w:color w:val="0C0C0C"/>
        </w:rPr>
        <w:t>by implementing a robust mechanism for coordination</w:t>
      </w:r>
      <w:r w:rsidR="00AF303B" w:rsidRPr="5C00CA42">
        <w:rPr>
          <w:rFonts w:eastAsia="Calibri" w:cs="Calibri"/>
          <w:color w:val="0C0C0C"/>
        </w:rPr>
        <w:t xml:space="preserve">, including </w:t>
      </w:r>
      <w:r w:rsidR="5FA147A2" w:rsidRPr="5C00CA42">
        <w:rPr>
          <w:rFonts w:eastAsia="Calibri" w:cs="Calibri"/>
          <w:color w:val="0C0C0C"/>
        </w:rPr>
        <w:t xml:space="preserve">planning, monitoring, evaluation, and reporting, thereby enhancing organizational </w:t>
      </w:r>
      <w:proofErr w:type="gramStart"/>
      <w:r w:rsidR="5FA147A2" w:rsidRPr="5C00CA42">
        <w:rPr>
          <w:rFonts w:eastAsia="Calibri" w:cs="Calibri"/>
          <w:color w:val="0C0C0C"/>
        </w:rPr>
        <w:t>effectiveness</w:t>
      </w:r>
      <w:proofErr w:type="gramEnd"/>
      <w:r w:rsidR="5FA147A2" w:rsidRPr="5C00CA42">
        <w:rPr>
          <w:rFonts w:eastAsia="Calibri" w:cs="Calibri"/>
          <w:color w:val="0C0C0C"/>
        </w:rPr>
        <w:t xml:space="preserve"> and minimizing potential risks</w:t>
      </w:r>
      <w:r w:rsidR="00AF303B" w:rsidRPr="5C00CA42">
        <w:rPr>
          <w:rFonts w:eastAsia="Calibri" w:cs="Calibri"/>
          <w:color w:val="0C0C0C"/>
        </w:rPr>
        <w:t>.</w:t>
      </w:r>
    </w:p>
    <w:p w14:paraId="6FB9BDDB" w14:textId="6AECC481" w:rsidR="00444CCE" w:rsidRPr="00EA76BB" w:rsidRDefault="50BE53D4" w:rsidP="00EA76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lang w:eastAsia="en-GB"/>
        </w:rPr>
      </w:pPr>
      <w:r w:rsidRPr="0760FF6B">
        <w:rPr>
          <w:rStyle w:val="normaltextrun"/>
          <w:rFonts w:cs="Calibri"/>
          <w:lang w:eastAsia="en-GB"/>
        </w:rPr>
        <w:lastRenderedPageBreak/>
        <w:t>C</w:t>
      </w:r>
      <w:r w:rsidR="00C60C5D" w:rsidRPr="0760FF6B">
        <w:rPr>
          <w:rStyle w:val="normaltextrun"/>
          <w:rFonts w:cs="Calibri"/>
          <w:lang w:eastAsia="en-GB"/>
        </w:rPr>
        <w:t xml:space="preserve">oncrete </w:t>
      </w:r>
      <w:r w:rsidR="0060394B">
        <w:rPr>
          <w:rStyle w:val="normaltextrun"/>
          <w:rFonts w:cs="Calibri"/>
          <w:lang w:eastAsia="en-GB"/>
        </w:rPr>
        <w:t>results</w:t>
      </w:r>
      <w:r w:rsidR="0060394B" w:rsidRPr="0760FF6B">
        <w:rPr>
          <w:rStyle w:val="normaltextrun"/>
          <w:rFonts w:cs="Calibri"/>
          <w:lang w:eastAsia="en-GB"/>
        </w:rPr>
        <w:t xml:space="preserve"> </w:t>
      </w:r>
      <w:r w:rsidR="00C60C5D" w:rsidRPr="0760FF6B">
        <w:rPr>
          <w:rStyle w:val="normaltextrun"/>
          <w:rFonts w:cs="Calibri"/>
          <w:lang w:eastAsia="en-GB"/>
        </w:rPr>
        <w:t xml:space="preserve">of inter-Sector teams coordinating the work </w:t>
      </w:r>
      <w:r w:rsidR="00372E4D" w:rsidRPr="0760FF6B">
        <w:rPr>
          <w:rStyle w:val="normaltextrun"/>
          <w:rFonts w:cs="Calibri"/>
          <w:lang w:eastAsia="en-GB"/>
        </w:rPr>
        <w:t xml:space="preserve">across ITU </w:t>
      </w:r>
      <w:r w:rsidR="00C60C5D" w:rsidRPr="0760FF6B">
        <w:rPr>
          <w:rStyle w:val="normaltextrun"/>
          <w:rFonts w:cs="Calibri"/>
          <w:lang w:eastAsia="en-GB"/>
        </w:rPr>
        <w:t>can be found on</w:t>
      </w:r>
      <w:r w:rsidR="00AE2B10">
        <w:rPr>
          <w:rStyle w:val="normaltextrun"/>
          <w:rFonts w:cs="Calibri"/>
          <w:lang w:eastAsia="en-GB"/>
        </w:rPr>
        <w:t xml:space="preserve"> Council documents </w:t>
      </w:r>
      <w:hyperlink r:id="rId15" w:history="1">
        <w:r w:rsidR="00C2568D" w:rsidRPr="00C2568D">
          <w:rPr>
            <w:rStyle w:val="Hyperlink"/>
            <w:rFonts w:cs="Calibri"/>
            <w:lang w:eastAsia="en-GB"/>
          </w:rPr>
          <w:t>C24/</w:t>
        </w:r>
        <w:r w:rsidR="00AE2B10" w:rsidRPr="00C2568D">
          <w:rPr>
            <w:rStyle w:val="Hyperlink"/>
            <w:rFonts w:cs="Calibri"/>
            <w:lang w:eastAsia="en-GB"/>
          </w:rPr>
          <w:t>35</w:t>
        </w:r>
      </w:hyperlink>
      <w:r w:rsidR="00AE2B10">
        <w:rPr>
          <w:rStyle w:val="normaltextrun"/>
          <w:rFonts w:cs="Calibri"/>
          <w:lang w:eastAsia="en-GB"/>
        </w:rPr>
        <w:t xml:space="preserve"> on </w:t>
      </w:r>
      <w:r w:rsidR="00281CB3">
        <w:rPr>
          <w:rStyle w:val="normaltextrun"/>
          <w:rFonts w:cs="Calibri"/>
          <w:lang w:eastAsia="en-GB"/>
        </w:rPr>
        <w:t>the implementation of the strategic plan and the activities of the Union, and on</w:t>
      </w:r>
      <w:r w:rsidR="00C60C5D" w:rsidRPr="0760FF6B">
        <w:rPr>
          <w:rStyle w:val="normaltextrun"/>
          <w:rFonts w:cs="Calibri"/>
          <w:lang w:eastAsia="en-GB"/>
        </w:rPr>
        <w:t xml:space="preserve"> document </w:t>
      </w:r>
      <w:hyperlink r:id="rId16" w:history="1">
        <w:r w:rsidR="00C2568D" w:rsidRPr="00C2568D">
          <w:rPr>
            <w:rStyle w:val="Hyperlink"/>
            <w:rFonts w:cs="Calibri"/>
            <w:lang w:eastAsia="en-GB"/>
          </w:rPr>
          <w:t>C24/17</w:t>
        </w:r>
      </w:hyperlink>
      <w:r w:rsidR="00C60C5D" w:rsidRPr="0760FF6B">
        <w:rPr>
          <w:rStyle w:val="normaltextrun"/>
          <w:rFonts w:cs="Calibri"/>
          <w:lang w:eastAsia="en-GB"/>
        </w:rPr>
        <w:t xml:space="preserve"> on the implementation of the “One</w:t>
      </w:r>
      <w:r w:rsidR="0A6A9E07" w:rsidRPr="0760FF6B">
        <w:rPr>
          <w:rStyle w:val="normaltextrun"/>
          <w:rFonts w:cs="Calibri"/>
          <w:lang w:eastAsia="en-GB"/>
        </w:rPr>
        <w:t xml:space="preserve"> </w:t>
      </w:r>
      <w:r w:rsidR="00C60C5D" w:rsidRPr="0760FF6B">
        <w:rPr>
          <w:rStyle w:val="normaltextrun"/>
          <w:rFonts w:cs="Calibri"/>
          <w:lang w:eastAsia="en-GB"/>
        </w:rPr>
        <w:t xml:space="preserve">ITU” concept. </w:t>
      </w:r>
    </w:p>
    <w:p w14:paraId="51D1BFB3" w14:textId="525908A5" w:rsidR="00A94482" w:rsidRPr="006B7321" w:rsidRDefault="00A619D5" w:rsidP="006B7321">
      <w:pPr>
        <w:pStyle w:val="ListParagraph"/>
        <w:numPr>
          <w:ilvl w:val="0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 w:after="120"/>
        <w:jc w:val="both"/>
        <w:textAlignment w:val="auto"/>
        <w:rPr>
          <w:rStyle w:val="normaltextrun"/>
          <w:rFonts w:cs="Calibri"/>
          <w:b/>
          <w:bCs/>
          <w:szCs w:val="24"/>
          <w:lang w:eastAsia="en-GB"/>
        </w:rPr>
      </w:pPr>
      <w:r>
        <w:rPr>
          <w:rStyle w:val="normaltextrun"/>
          <w:rFonts w:cs="Calibri"/>
          <w:b/>
          <w:bCs/>
          <w:sz w:val="28"/>
          <w:szCs w:val="28"/>
          <w:lang w:eastAsia="en-GB"/>
        </w:rPr>
        <w:t xml:space="preserve">Coordination </w:t>
      </w:r>
      <w:r w:rsidR="00C43AE6">
        <w:rPr>
          <w:rStyle w:val="normaltextrun"/>
          <w:rFonts w:cs="Calibri"/>
          <w:b/>
          <w:bCs/>
          <w:sz w:val="28"/>
          <w:szCs w:val="28"/>
          <w:lang w:eastAsia="en-GB"/>
        </w:rPr>
        <w:t xml:space="preserve">among </w:t>
      </w:r>
      <w:r>
        <w:rPr>
          <w:rStyle w:val="normaltextrun"/>
          <w:rFonts w:cs="Calibri"/>
          <w:b/>
          <w:bCs/>
          <w:sz w:val="28"/>
          <w:szCs w:val="28"/>
          <w:lang w:eastAsia="en-GB"/>
        </w:rPr>
        <w:t xml:space="preserve">the membership - </w:t>
      </w:r>
      <w:r w:rsidR="00A94482" w:rsidRPr="006B7321">
        <w:rPr>
          <w:rStyle w:val="normaltextrun"/>
          <w:rFonts w:cs="Calibri"/>
          <w:b/>
          <w:bCs/>
          <w:sz w:val="28"/>
          <w:szCs w:val="28"/>
          <w:lang w:eastAsia="en-GB"/>
        </w:rPr>
        <w:t>Inter-Sector Coordination Group</w:t>
      </w:r>
      <w:r>
        <w:rPr>
          <w:rStyle w:val="normaltextrun"/>
          <w:rFonts w:cs="Calibri"/>
          <w:b/>
          <w:bCs/>
          <w:sz w:val="28"/>
          <w:szCs w:val="28"/>
          <w:lang w:eastAsia="en-GB"/>
        </w:rPr>
        <w:t xml:space="preserve"> (ISCG)</w:t>
      </w:r>
    </w:p>
    <w:p w14:paraId="0100B388" w14:textId="257EC3FA" w:rsidR="007F2DC7" w:rsidRPr="007F2DC7" w:rsidRDefault="5F131261" w:rsidP="602F19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lang w:eastAsia="en-GB"/>
        </w:rPr>
      </w:pPr>
      <w:r w:rsidRPr="602F19C6">
        <w:rPr>
          <w:rStyle w:val="normaltextrun"/>
          <w:rFonts w:cs="Calibri"/>
          <w:lang w:eastAsia="en-GB"/>
        </w:rPr>
        <w:t>T</w:t>
      </w:r>
      <w:r w:rsidR="75027C74" w:rsidRPr="602F19C6">
        <w:rPr>
          <w:rStyle w:val="normaltextrun"/>
          <w:rFonts w:cs="Calibri"/>
          <w:lang w:eastAsia="en-GB"/>
        </w:rPr>
        <w:t>he membership coordination continues to be under the ISCG, chaired by Mr Fabio Bigi (Italy), as a contribution-driven group.</w:t>
      </w:r>
    </w:p>
    <w:p w14:paraId="236563D2" w14:textId="78915A16" w:rsidR="007F2DC7" w:rsidRPr="007F2DC7" w:rsidRDefault="00A94482" w:rsidP="007F2D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lang w:eastAsia="en-GB"/>
        </w:rPr>
      </w:pPr>
      <w:r w:rsidRPr="602F19C6">
        <w:rPr>
          <w:rStyle w:val="normaltextrun"/>
          <w:rFonts w:cs="Calibri"/>
          <w:lang w:eastAsia="en-GB"/>
        </w:rPr>
        <w:t xml:space="preserve">The ISCG, in its capacity as the membership coordination mechanism, </w:t>
      </w:r>
      <w:r w:rsidR="003D18F9">
        <w:rPr>
          <w:rStyle w:val="normaltextrun"/>
          <w:rFonts w:cs="Calibri"/>
          <w:lang w:eastAsia="en-GB"/>
        </w:rPr>
        <w:t xml:space="preserve">will have </w:t>
      </w:r>
      <w:r w:rsidRPr="602F19C6">
        <w:rPr>
          <w:rStyle w:val="normaltextrun"/>
          <w:rFonts w:cs="Calibri"/>
          <w:lang w:eastAsia="en-GB"/>
        </w:rPr>
        <w:t xml:space="preserve">met </w:t>
      </w:r>
      <w:r w:rsidR="00620CD1" w:rsidRPr="602F19C6">
        <w:rPr>
          <w:rStyle w:val="normaltextrun"/>
          <w:rFonts w:cs="Calibri"/>
          <w:lang w:eastAsia="en-GB"/>
        </w:rPr>
        <w:t xml:space="preserve">twice </w:t>
      </w:r>
      <w:r w:rsidR="00F63C31" w:rsidRPr="602F19C6">
        <w:rPr>
          <w:rStyle w:val="normaltextrun"/>
          <w:rFonts w:cs="Calibri"/>
          <w:lang w:eastAsia="en-GB"/>
        </w:rPr>
        <w:t>since the last report presented to Council 2023</w:t>
      </w:r>
      <w:r w:rsidR="00C43AE6">
        <w:rPr>
          <w:rStyle w:val="normaltextrun"/>
          <w:rFonts w:cs="Calibri"/>
          <w:lang w:eastAsia="en-GB"/>
        </w:rPr>
        <w:t xml:space="preserve"> -o</w:t>
      </w:r>
      <w:r w:rsidRPr="602F19C6">
        <w:rPr>
          <w:rStyle w:val="normaltextrun"/>
          <w:rFonts w:cs="Calibri"/>
          <w:lang w:eastAsia="en-GB"/>
        </w:rPr>
        <w:t>n 2</w:t>
      </w:r>
      <w:r w:rsidR="00EC295D" w:rsidRPr="602F19C6">
        <w:rPr>
          <w:rStyle w:val="normaltextrun"/>
          <w:rFonts w:cs="Calibri"/>
          <w:lang w:eastAsia="en-GB"/>
        </w:rPr>
        <w:t>4</w:t>
      </w:r>
      <w:r w:rsidR="008001E0" w:rsidRPr="602F19C6">
        <w:rPr>
          <w:rStyle w:val="normaltextrun"/>
          <w:rFonts w:cs="Calibri"/>
          <w:lang w:eastAsia="en-GB"/>
        </w:rPr>
        <w:t xml:space="preserve"> </w:t>
      </w:r>
      <w:r w:rsidR="00EC295D" w:rsidRPr="602F19C6">
        <w:rPr>
          <w:rStyle w:val="normaltextrun"/>
          <w:rFonts w:cs="Calibri"/>
          <w:lang w:eastAsia="en-GB"/>
        </w:rPr>
        <w:t>January</w:t>
      </w:r>
      <w:r w:rsidR="008001E0" w:rsidRPr="602F19C6">
        <w:rPr>
          <w:rStyle w:val="normaltextrun"/>
          <w:rFonts w:cs="Calibri"/>
          <w:lang w:eastAsia="en-GB"/>
        </w:rPr>
        <w:t xml:space="preserve"> 2024</w:t>
      </w:r>
      <w:r w:rsidRPr="602F19C6">
        <w:rPr>
          <w:rStyle w:val="normaltextrun"/>
          <w:rFonts w:cs="Calibri"/>
          <w:lang w:eastAsia="en-GB"/>
        </w:rPr>
        <w:t xml:space="preserve">, in conjunction with the </w:t>
      </w:r>
      <w:r w:rsidR="008001E0" w:rsidRPr="602F19C6">
        <w:rPr>
          <w:rStyle w:val="normaltextrun"/>
          <w:rFonts w:cs="Calibri"/>
          <w:lang w:eastAsia="en-GB"/>
        </w:rPr>
        <w:t xml:space="preserve">Telecommunication Standardization Advisory Group (TSAG); and on 21 </w:t>
      </w:r>
      <w:r w:rsidR="00207F5F" w:rsidRPr="602F19C6">
        <w:rPr>
          <w:rStyle w:val="normaltextrun"/>
          <w:rFonts w:cs="Calibri"/>
          <w:lang w:eastAsia="en-GB"/>
        </w:rPr>
        <w:t>May 2024, in conjunction with the Telecommunication Development Advisory Group (TDAG)</w:t>
      </w:r>
      <w:r w:rsidR="008D3B2D" w:rsidRPr="602F19C6">
        <w:rPr>
          <w:rStyle w:val="normaltextrun"/>
          <w:rFonts w:cs="Calibri"/>
          <w:lang w:eastAsia="en-GB"/>
        </w:rPr>
        <w:t xml:space="preserve">. Both meetings </w:t>
      </w:r>
      <w:r w:rsidR="000F2763" w:rsidRPr="602F19C6">
        <w:rPr>
          <w:rStyle w:val="normaltextrun"/>
          <w:rFonts w:cs="Calibri"/>
          <w:lang w:eastAsia="en-GB"/>
        </w:rPr>
        <w:t>held in ITU Headquarters (Geneva</w:t>
      </w:r>
      <w:r w:rsidR="006F2C82" w:rsidRPr="602F19C6">
        <w:rPr>
          <w:rStyle w:val="normaltextrun"/>
          <w:rFonts w:cs="Calibri"/>
          <w:lang w:eastAsia="en-GB"/>
        </w:rPr>
        <w:t>) and</w:t>
      </w:r>
      <w:r w:rsidR="007F2DC7" w:rsidRPr="007F2DC7">
        <w:t xml:space="preserve"> </w:t>
      </w:r>
      <w:r w:rsidR="007F2DC7" w:rsidRPr="602F19C6">
        <w:rPr>
          <w:rStyle w:val="normaltextrun"/>
          <w:rFonts w:cs="Calibri"/>
          <w:lang w:eastAsia="en-GB"/>
        </w:rPr>
        <w:t>allow</w:t>
      </w:r>
      <w:r w:rsidR="009755E5">
        <w:rPr>
          <w:rStyle w:val="normaltextrun"/>
          <w:rFonts w:cs="Calibri"/>
          <w:lang w:eastAsia="en-GB"/>
        </w:rPr>
        <w:t>ing</w:t>
      </w:r>
      <w:r w:rsidR="007F2DC7" w:rsidRPr="602F19C6">
        <w:rPr>
          <w:rStyle w:val="normaltextrun"/>
          <w:rFonts w:cs="Calibri"/>
          <w:lang w:eastAsia="en-GB"/>
        </w:rPr>
        <w:t xml:space="preserve"> remote participation and captioning through the Zoom platform.</w:t>
      </w:r>
      <w:r w:rsidR="006F2C82" w:rsidRPr="602F19C6">
        <w:rPr>
          <w:rStyle w:val="normaltextrun"/>
          <w:rFonts w:cs="Calibri"/>
          <w:lang w:eastAsia="en-GB"/>
        </w:rPr>
        <w:t xml:space="preserve"> </w:t>
      </w:r>
      <w:r w:rsidR="00F15342" w:rsidRPr="602F19C6">
        <w:rPr>
          <w:rStyle w:val="normaltextrun"/>
          <w:rFonts w:cs="Calibri"/>
          <w:lang w:eastAsia="en-GB"/>
        </w:rPr>
        <w:t>Outcome reports and call</w:t>
      </w:r>
      <w:r w:rsidR="00582AEA">
        <w:rPr>
          <w:rStyle w:val="normaltextrun"/>
          <w:rFonts w:cs="Calibri"/>
          <w:lang w:eastAsia="en-GB"/>
        </w:rPr>
        <w:t>s</w:t>
      </w:r>
      <w:r w:rsidR="00F15342" w:rsidRPr="602F19C6">
        <w:rPr>
          <w:rStyle w:val="normaltextrun"/>
          <w:rFonts w:cs="Calibri"/>
          <w:lang w:eastAsia="en-GB"/>
        </w:rPr>
        <w:t xml:space="preserve"> for action are presented </w:t>
      </w:r>
      <w:r w:rsidR="007F5127" w:rsidRPr="602F19C6">
        <w:rPr>
          <w:rStyle w:val="normaltextrun"/>
          <w:rFonts w:cs="Calibri"/>
          <w:lang w:eastAsia="en-GB"/>
        </w:rPr>
        <w:t xml:space="preserve">regularly </w:t>
      </w:r>
      <w:r w:rsidR="00F15342" w:rsidRPr="602F19C6">
        <w:rPr>
          <w:rStyle w:val="normaltextrun"/>
          <w:rFonts w:cs="Calibri"/>
          <w:lang w:eastAsia="en-GB"/>
        </w:rPr>
        <w:t>to the Sector’s advisory groups</w:t>
      </w:r>
      <w:r w:rsidR="00621079" w:rsidRPr="602F19C6">
        <w:rPr>
          <w:rStyle w:val="normaltextrun"/>
          <w:rFonts w:cs="Calibri"/>
          <w:lang w:eastAsia="en-GB"/>
        </w:rPr>
        <w:t>,</w:t>
      </w:r>
      <w:r w:rsidR="00F15342" w:rsidRPr="602F19C6">
        <w:rPr>
          <w:rStyle w:val="normaltextrun"/>
          <w:rFonts w:cs="Calibri"/>
          <w:lang w:eastAsia="en-GB"/>
        </w:rPr>
        <w:t xml:space="preserve"> and to the </w:t>
      </w:r>
      <w:r w:rsidR="00C2568D">
        <w:rPr>
          <w:rStyle w:val="normaltextrun"/>
          <w:rFonts w:cs="Calibri"/>
          <w:lang w:eastAsia="en-GB"/>
        </w:rPr>
        <w:t>Council Working group on Financial and Human Resources (</w:t>
      </w:r>
      <w:r w:rsidR="00F15342" w:rsidRPr="602F19C6">
        <w:rPr>
          <w:rStyle w:val="normaltextrun"/>
          <w:rFonts w:cs="Calibri"/>
          <w:lang w:eastAsia="en-GB"/>
        </w:rPr>
        <w:t>CWG-FHR</w:t>
      </w:r>
      <w:r w:rsidR="00C2568D">
        <w:rPr>
          <w:rStyle w:val="normaltextrun"/>
          <w:rFonts w:cs="Calibri"/>
          <w:lang w:eastAsia="en-GB"/>
        </w:rPr>
        <w:t>)</w:t>
      </w:r>
      <w:r w:rsidR="00621079" w:rsidRPr="602F19C6">
        <w:rPr>
          <w:rStyle w:val="normaltextrun"/>
          <w:rFonts w:cs="Calibri"/>
          <w:lang w:eastAsia="en-GB"/>
        </w:rPr>
        <w:t>,</w:t>
      </w:r>
      <w:r w:rsidR="00F15342" w:rsidRPr="602F19C6">
        <w:rPr>
          <w:rStyle w:val="normaltextrun"/>
          <w:rFonts w:cs="Calibri"/>
          <w:lang w:eastAsia="en-GB"/>
        </w:rPr>
        <w:t xml:space="preserve"> whenever needed.</w:t>
      </w:r>
    </w:p>
    <w:p w14:paraId="76B41F99" w14:textId="3356EBBF" w:rsidR="00A94482" w:rsidRPr="007F2DC7" w:rsidRDefault="007F2DC7" w:rsidP="007F2D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szCs w:val="24"/>
          <w:lang w:eastAsia="en-GB"/>
        </w:rPr>
      </w:pPr>
      <w:r>
        <w:rPr>
          <w:rStyle w:val="normaltextrun"/>
          <w:rFonts w:cs="Calibri"/>
          <w:szCs w:val="24"/>
          <w:lang w:eastAsia="en-GB"/>
        </w:rPr>
        <w:t xml:space="preserve">The ISCG </w:t>
      </w:r>
      <w:r w:rsidR="00A94482" w:rsidRPr="007F2DC7">
        <w:rPr>
          <w:rStyle w:val="normaltextrun"/>
          <w:rFonts w:cs="Calibri"/>
          <w:szCs w:val="24"/>
          <w:lang w:eastAsia="en-GB"/>
        </w:rPr>
        <w:t>continue</w:t>
      </w:r>
      <w:r w:rsidR="006F2C82">
        <w:rPr>
          <w:rStyle w:val="normaltextrun"/>
          <w:rFonts w:cs="Calibri"/>
          <w:szCs w:val="24"/>
          <w:lang w:eastAsia="en-GB"/>
        </w:rPr>
        <w:t>s t</w:t>
      </w:r>
      <w:r w:rsidR="00A94482" w:rsidRPr="007F2DC7">
        <w:rPr>
          <w:rStyle w:val="normaltextrun"/>
          <w:rFonts w:cs="Calibri"/>
          <w:szCs w:val="24"/>
          <w:lang w:eastAsia="en-GB"/>
        </w:rPr>
        <w:t xml:space="preserve">o </w:t>
      </w:r>
      <w:r w:rsidR="006F2C82">
        <w:rPr>
          <w:rStyle w:val="normaltextrun"/>
          <w:rFonts w:cs="Calibri"/>
          <w:szCs w:val="24"/>
          <w:lang w:eastAsia="en-GB"/>
        </w:rPr>
        <w:t xml:space="preserve">address </w:t>
      </w:r>
      <w:r w:rsidR="00A94482" w:rsidRPr="007F2DC7">
        <w:rPr>
          <w:rStyle w:val="normaltextrun"/>
          <w:rFonts w:cs="Calibri"/>
          <w:szCs w:val="24"/>
          <w:lang w:eastAsia="en-GB"/>
        </w:rPr>
        <w:t xml:space="preserve">accessibility, climate change and </w:t>
      </w:r>
      <w:r w:rsidR="001E1198">
        <w:rPr>
          <w:rStyle w:val="normaltextrun"/>
          <w:rFonts w:cs="Calibri"/>
          <w:szCs w:val="24"/>
          <w:lang w:eastAsia="en-GB"/>
        </w:rPr>
        <w:t xml:space="preserve">virtual </w:t>
      </w:r>
      <w:r w:rsidR="00A94482" w:rsidRPr="007F2DC7">
        <w:rPr>
          <w:rStyle w:val="normaltextrun"/>
          <w:rFonts w:cs="Calibri"/>
          <w:szCs w:val="24"/>
          <w:lang w:eastAsia="en-GB"/>
        </w:rPr>
        <w:t>meetings</w:t>
      </w:r>
      <w:r w:rsidR="001E1198">
        <w:rPr>
          <w:rStyle w:val="normaltextrun"/>
          <w:rFonts w:cs="Calibri"/>
          <w:szCs w:val="24"/>
          <w:lang w:eastAsia="en-GB"/>
        </w:rPr>
        <w:t>/remote participation</w:t>
      </w:r>
      <w:r w:rsidR="00A94482" w:rsidRPr="007F2DC7">
        <w:rPr>
          <w:rStyle w:val="normaltextrun"/>
          <w:rFonts w:cs="Calibri"/>
          <w:szCs w:val="24"/>
          <w:lang w:eastAsia="en-GB"/>
        </w:rPr>
        <w:t xml:space="preserve">, </w:t>
      </w:r>
      <w:r w:rsidR="006F2C82">
        <w:rPr>
          <w:rStyle w:val="normaltextrun"/>
          <w:rFonts w:cs="Calibri"/>
          <w:szCs w:val="24"/>
          <w:lang w:eastAsia="en-GB"/>
        </w:rPr>
        <w:t xml:space="preserve">as its main topics of </w:t>
      </w:r>
      <w:r w:rsidR="001E1198">
        <w:rPr>
          <w:rStyle w:val="normaltextrun"/>
          <w:rFonts w:cs="Calibri"/>
          <w:szCs w:val="24"/>
          <w:lang w:eastAsia="en-GB"/>
        </w:rPr>
        <w:t xml:space="preserve">common interest </w:t>
      </w:r>
      <w:r w:rsidR="008716E5" w:rsidRPr="008716E5">
        <w:rPr>
          <w:rStyle w:val="normaltextrun"/>
          <w:rFonts w:cs="Calibri"/>
          <w:szCs w:val="24"/>
          <w:lang w:eastAsia="en-GB"/>
        </w:rPr>
        <w:t xml:space="preserve">with the aim of identifying members' needs and providing the secretariat with the necessary advice </w:t>
      </w:r>
      <w:r w:rsidR="008716E5">
        <w:rPr>
          <w:rStyle w:val="normaltextrun"/>
          <w:rFonts w:cs="Calibri"/>
          <w:szCs w:val="24"/>
          <w:lang w:eastAsia="en-GB"/>
        </w:rPr>
        <w:t>on how to best</w:t>
      </w:r>
      <w:r w:rsidR="001E1198">
        <w:rPr>
          <w:rStyle w:val="normaltextrun"/>
          <w:rFonts w:cs="Calibri"/>
          <w:szCs w:val="24"/>
          <w:lang w:eastAsia="en-GB"/>
        </w:rPr>
        <w:t xml:space="preserve"> </w:t>
      </w:r>
      <w:r w:rsidR="006F2C82">
        <w:rPr>
          <w:rStyle w:val="normaltextrun"/>
          <w:rFonts w:cs="Calibri"/>
          <w:szCs w:val="24"/>
          <w:lang w:eastAsia="en-GB"/>
        </w:rPr>
        <w:t>coordinat</w:t>
      </w:r>
      <w:r w:rsidR="001E1198">
        <w:rPr>
          <w:rStyle w:val="normaltextrun"/>
          <w:rFonts w:cs="Calibri"/>
          <w:szCs w:val="24"/>
          <w:lang w:eastAsia="en-GB"/>
        </w:rPr>
        <w:t>e</w:t>
      </w:r>
      <w:r w:rsidR="008716E5">
        <w:rPr>
          <w:rStyle w:val="normaltextrun"/>
          <w:rFonts w:cs="Calibri"/>
          <w:szCs w:val="24"/>
          <w:lang w:eastAsia="en-GB"/>
        </w:rPr>
        <w:t xml:space="preserve">. </w:t>
      </w:r>
      <w:r w:rsidR="00D618C9">
        <w:rPr>
          <w:rStyle w:val="normaltextrun"/>
          <w:rFonts w:cs="Calibri"/>
          <w:szCs w:val="24"/>
          <w:lang w:eastAsia="en-GB"/>
        </w:rPr>
        <w:t xml:space="preserve">As proposed by the Radiocommunication Advisory </w:t>
      </w:r>
      <w:r w:rsidR="000E1AF7">
        <w:rPr>
          <w:rStyle w:val="normaltextrun"/>
          <w:rFonts w:cs="Calibri"/>
          <w:szCs w:val="24"/>
          <w:lang w:eastAsia="en-GB"/>
        </w:rPr>
        <w:t xml:space="preserve">Group (RAG) meeting held in March 2024, </w:t>
      </w:r>
      <w:r w:rsidR="008716E5">
        <w:rPr>
          <w:rStyle w:val="normaltextrun"/>
          <w:rFonts w:cs="Calibri"/>
          <w:szCs w:val="24"/>
          <w:lang w:eastAsia="en-GB"/>
        </w:rPr>
        <w:t xml:space="preserve">the ISCG agreed </w:t>
      </w:r>
      <w:r w:rsidR="001E1198">
        <w:rPr>
          <w:rStyle w:val="normaltextrun"/>
          <w:rFonts w:cs="Calibri"/>
          <w:szCs w:val="24"/>
          <w:lang w:eastAsia="en-GB"/>
        </w:rPr>
        <w:t xml:space="preserve">to </w:t>
      </w:r>
      <w:r w:rsidR="00721E7D">
        <w:rPr>
          <w:rStyle w:val="normaltextrun"/>
          <w:rFonts w:cs="Calibri"/>
          <w:szCs w:val="24"/>
          <w:lang w:eastAsia="en-GB"/>
        </w:rPr>
        <w:t>include the follow up on Sustainable Digital Transformation as a theme that requires</w:t>
      </w:r>
      <w:r w:rsidR="00B76D4C">
        <w:rPr>
          <w:rStyle w:val="normaltextrun"/>
          <w:rFonts w:cs="Calibri"/>
          <w:szCs w:val="24"/>
          <w:lang w:eastAsia="en-GB"/>
        </w:rPr>
        <w:t xml:space="preserve"> an ITU-wide approach and</w:t>
      </w:r>
      <w:r w:rsidR="00721E7D">
        <w:rPr>
          <w:rStyle w:val="normaltextrun"/>
          <w:rFonts w:cs="Calibri"/>
          <w:szCs w:val="24"/>
          <w:lang w:eastAsia="en-GB"/>
        </w:rPr>
        <w:t xml:space="preserve"> coordination</w:t>
      </w:r>
      <w:r w:rsidR="00A94482" w:rsidRPr="007F2DC7">
        <w:rPr>
          <w:rStyle w:val="normaltextrun"/>
          <w:rFonts w:cs="Calibri"/>
          <w:szCs w:val="24"/>
          <w:lang w:eastAsia="en-GB"/>
        </w:rPr>
        <w:t xml:space="preserve">. </w:t>
      </w:r>
    </w:p>
    <w:p w14:paraId="54BE0490" w14:textId="6AC658D8" w:rsidR="00895684" w:rsidRDefault="007200E5" w:rsidP="00A9448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lang w:eastAsia="en-GB"/>
        </w:rPr>
      </w:pPr>
      <w:r>
        <w:rPr>
          <w:rStyle w:val="normaltextrun"/>
          <w:rFonts w:cs="Calibri"/>
          <w:lang w:eastAsia="en-GB"/>
        </w:rPr>
        <w:t>T</w:t>
      </w:r>
      <w:r w:rsidR="00D05347">
        <w:rPr>
          <w:rStyle w:val="normaltextrun"/>
          <w:rFonts w:cs="Calibri"/>
          <w:lang w:eastAsia="en-GB"/>
        </w:rPr>
        <w:t xml:space="preserve">he </w:t>
      </w:r>
      <w:r w:rsidR="00A94482" w:rsidRPr="4FC2335B">
        <w:rPr>
          <w:rStyle w:val="normaltextrun"/>
          <w:rFonts w:cs="Calibri"/>
          <w:lang w:eastAsia="en-GB"/>
        </w:rPr>
        <w:t xml:space="preserve">ISCG </w:t>
      </w:r>
      <w:r w:rsidR="007342DE">
        <w:rPr>
          <w:rStyle w:val="normaltextrun"/>
          <w:rFonts w:cs="Calibri"/>
          <w:lang w:eastAsia="en-GB"/>
        </w:rPr>
        <w:t xml:space="preserve">also </w:t>
      </w:r>
      <w:r w:rsidR="00A94482" w:rsidRPr="4FC2335B">
        <w:rPr>
          <w:rStyle w:val="normaltextrun"/>
          <w:rFonts w:cs="Calibri"/>
          <w:lang w:eastAsia="en-GB"/>
        </w:rPr>
        <w:t xml:space="preserve">expressed interest </w:t>
      </w:r>
      <w:r w:rsidR="00A94482">
        <w:rPr>
          <w:rStyle w:val="normaltextrun"/>
          <w:rFonts w:cs="Calibri"/>
          <w:lang w:eastAsia="en-GB"/>
        </w:rPr>
        <w:t>in</w:t>
      </w:r>
      <w:r w:rsidR="00A94482" w:rsidRPr="4FC2335B">
        <w:rPr>
          <w:rStyle w:val="normaltextrun"/>
          <w:rFonts w:cs="Calibri"/>
          <w:lang w:eastAsia="en-GB"/>
        </w:rPr>
        <w:t xml:space="preserve"> be</w:t>
      </w:r>
      <w:r w:rsidR="00A94482">
        <w:rPr>
          <w:rStyle w:val="normaltextrun"/>
          <w:rFonts w:cs="Calibri"/>
          <w:lang w:eastAsia="en-GB"/>
        </w:rPr>
        <w:t>ing</w:t>
      </w:r>
      <w:r w:rsidR="00A94482" w:rsidRPr="4FC2335B">
        <w:rPr>
          <w:rStyle w:val="normaltextrun"/>
          <w:rFonts w:cs="Calibri"/>
          <w:lang w:eastAsia="en-GB"/>
        </w:rPr>
        <w:t xml:space="preserve"> involved in the new building project </w:t>
      </w:r>
      <w:r w:rsidR="007342DE">
        <w:rPr>
          <w:rStyle w:val="normaltextrun"/>
          <w:rFonts w:cs="Calibri"/>
          <w:lang w:eastAsia="en-GB"/>
        </w:rPr>
        <w:t>to</w:t>
      </w:r>
      <w:r w:rsidR="00A94482" w:rsidRPr="4FC2335B">
        <w:rPr>
          <w:rStyle w:val="normaltextrun"/>
          <w:rFonts w:cs="Calibri"/>
          <w:lang w:eastAsia="en-GB"/>
        </w:rPr>
        <w:t xml:space="preserve"> ensure </w:t>
      </w:r>
      <w:r w:rsidR="00A94482">
        <w:rPr>
          <w:rStyle w:val="normaltextrun"/>
          <w:rFonts w:cs="Calibri"/>
          <w:lang w:eastAsia="en-GB"/>
        </w:rPr>
        <w:t xml:space="preserve">that </w:t>
      </w:r>
      <w:r w:rsidR="00A94482" w:rsidRPr="4FC2335B">
        <w:rPr>
          <w:rStyle w:val="normaltextrun"/>
          <w:rFonts w:cs="Calibri"/>
          <w:lang w:eastAsia="en-GB"/>
        </w:rPr>
        <w:t>all accessibility matters are taken into consideration</w:t>
      </w:r>
      <w:r w:rsidR="007342DE">
        <w:rPr>
          <w:rStyle w:val="normaltextrun"/>
          <w:rFonts w:cs="Calibri"/>
          <w:lang w:eastAsia="en-GB"/>
        </w:rPr>
        <w:t xml:space="preserve">; </w:t>
      </w:r>
      <w:r w:rsidR="00BA2DD3">
        <w:rPr>
          <w:rStyle w:val="normaltextrun"/>
          <w:rFonts w:cs="Calibri"/>
          <w:lang w:eastAsia="en-GB"/>
        </w:rPr>
        <w:t>and on the</w:t>
      </w:r>
      <w:r w:rsidR="007130BB">
        <w:rPr>
          <w:rStyle w:val="normaltextrun"/>
          <w:rFonts w:cs="Calibri"/>
          <w:lang w:eastAsia="en-GB"/>
        </w:rPr>
        <w:t xml:space="preserve"> s</w:t>
      </w:r>
      <w:r w:rsidR="007130BB" w:rsidRPr="007130BB">
        <w:rPr>
          <w:rStyle w:val="normaltextrun"/>
          <w:rFonts w:cs="Calibri"/>
          <w:lang w:eastAsia="en-GB"/>
        </w:rPr>
        <w:t>trategy to make the ITU website more secure, searchable, multilingual, harmonized and user-centric</w:t>
      </w:r>
      <w:r w:rsidR="00A94482" w:rsidRPr="4FC2335B">
        <w:rPr>
          <w:rStyle w:val="normaltextrun"/>
          <w:rFonts w:cs="Calibri"/>
          <w:lang w:eastAsia="en-GB"/>
        </w:rPr>
        <w:t>, including the use of the six official languages of the Union on an equal footing</w:t>
      </w:r>
      <w:r w:rsidR="00895684">
        <w:rPr>
          <w:rStyle w:val="normaltextrun"/>
          <w:rFonts w:cs="Calibri"/>
          <w:lang w:eastAsia="en-GB"/>
        </w:rPr>
        <w:t>.</w:t>
      </w:r>
      <w:r w:rsidR="00FF6ECC">
        <w:rPr>
          <w:rStyle w:val="normaltextrun"/>
          <w:rFonts w:cs="Calibri"/>
          <w:lang w:eastAsia="en-GB"/>
        </w:rPr>
        <w:t xml:space="preserve"> </w:t>
      </w:r>
    </w:p>
    <w:p w14:paraId="33A61B47" w14:textId="2CEC2BD3" w:rsidR="00CC40E4" w:rsidRDefault="00CC40E4" w:rsidP="00A9448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lang w:eastAsia="en-GB"/>
        </w:rPr>
      </w:pPr>
      <w:r>
        <w:rPr>
          <w:rStyle w:val="normaltextrun"/>
          <w:rFonts w:cs="Calibri"/>
          <w:lang w:eastAsia="en-GB"/>
        </w:rPr>
        <w:t xml:space="preserve">The ISCG highlighted </w:t>
      </w:r>
      <w:r w:rsidR="00C23D11">
        <w:rPr>
          <w:rStyle w:val="normaltextrun"/>
          <w:rFonts w:cs="Calibri"/>
          <w:lang w:eastAsia="en-GB"/>
        </w:rPr>
        <w:t>the importance of having a more proactive approach</w:t>
      </w:r>
      <w:r w:rsidR="00817494">
        <w:rPr>
          <w:rStyle w:val="normaltextrun"/>
          <w:rFonts w:cs="Calibri"/>
          <w:lang w:eastAsia="en-GB"/>
        </w:rPr>
        <w:t xml:space="preserve">, and </w:t>
      </w:r>
      <w:r w:rsidR="00C23D11">
        <w:rPr>
          <w:rStyle w:val="normaltextrun"/>
          <w:rFonts w:cs="Calibri"/>
          <w:lang w:eastAsia="en-GB"/>
        </w:rPr>
        <w:t xml:space="preserve">on its </w:t>
      </w:r>
      <w:r>
        <w:rPr>
          <w:rStyle w:val="normaltextrun"/>
          <w:rFonts w:cs="Calibri"/>
          <w:lang w:eastAsia="en-GB"/>
        </w:rPr>
        <w:t xml:space="preserve">role as </w:t>
      </w:r>
      <w:r w:rsidR="00C23D11">
        <w:rPr>
          <w:rStyle w:val="normaltextrun"/>
          <w:rFonts w:cs="Calibri"/>
          <w:lang w:eastAsia="en-GB"/>
        </w:rPr>
        <w:t>adviser</w:t>
      </w:r>
      <w:r w:rsidR="00244C5B">
        <w:rPr>
          <w:rStyle w:val="normaltextrun"/>
          <w:rFonts w:cs="Calibri"/>
          <w:lang w:eastAsia="en-GB"/>
        </w:rPr>
        <w:t xml:space="preserve"> to address the need to </w:t>
      </w:r>
      <w:r w:rsidR="00C23D11" w:rsidRPr="00C23D11">
        <w:rPr>
          <w:rStyle w:val="normaltextrun"/>
          <w:rFonts w:cs="Calibri"/>
          <w:lang w:eastAsia="en-GB"/>
        </w:rPr>
        <w:t>streamline resolutions and/or better allocate themes under the Sectors and/or under the Plenipotentiary Conference.</w:t>
      </w:r>
      <w:r w:rsidR="00244C5B">
        <w:rPr>
          <w:rStyle w:val="normaltextrun"/>
          <w:rFonts w:cs="Calibri"/>
          <w:lang w:eastAsia="en-GB"/>
        </w:rPr>
        <w:t xml:space="preserve"> As a </w:t>
      </w:r>
      <w:r w:rsidR="00244C5B" w:rsidRPr="00244C5B">
        <w:rPr>
          <w:rStyle w:val="normaltextrun"/>
          <w:rFonts w:cs="Calibri"/>
          <w:lang w:eastAsia="en-GB"/>
        </w:rPr>
        <w:t>membership-driven group,</w:t>
      </w:r>
      <w:r w:rsidR="00814657">
        <w:rPr>
          <w:rStyle w:val="normaltextrun"/>
          <w:rFonts w:cs="Calibri"/>
          <w:lang w:eastAsia="en-GB"/>
        </w:rPr>
        <w:t xml:space="preserve"> the ISCG’s main objective is </w:t>
      </w:r>
      <w:r w:rsidR="00244C5B" w:rsidRPr="00244C5B">
        <w:rPr>
          <w:rStyle w:val="normaltextrun"/>
          <w:rFonts w:cs="Calibri"/>
          <w:lang w:eastAsia="en-GB"/>
        </w:rPr>
        <w:t>to convey the membership concerns and suggest ways to improve intersectoral coordination.</w:t>
      </w:r>
    </w:p>
    <w:p w14:paraId="772D2E29" w14:textId="023C0957" w:rsidR="00A94482" w:rsidRPr="00227364" w:rsidRDefault="00814657" w:rsidP="00A9448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lang w:eastAsia="en-GB"/>
        </w:rPr>
      </w:pPr>
      <w:r>
        <w:rPr>
          <w:rStyle w:val="normaltextrun"/>
          <w:rFonts w:cs="Calibri"/>
          <w:lang w:eastAsia="en-GB"/>
        </w:rPr>
        <w:t>F</w:t>
      </w:r>
      <w:r w:rsidR="00A94482" w:rsidRPr="4FC2335B">
        <w:rPr>
          <w:rStyle w:val="normaltextrun"/>
          <w:rFonts w:cs="Calibri"/>
          <w:lang w:eastAsia="en-GB"/>
        </w:rPr>
        <w:t xml:space="preserve">urther information on ISCG, </w:t>
      </w:r>
      <w:r w:rsidR="00744844">
        <w:rPr>
          <w:rStyle w:val="normaltextrun"/>
          <w:rFonts w:cs="Calibri"/>
          <w:lang w:eastAsia="en-GB"/>
        </w:rPr>
        <w:t xml:space="preserve">such as meetings’ reports and documents discussed, </w:t>
      </w:r>
      <w:r>
        <w:rPr>
          <w:rStyle w:val="normaltextrun"/>
          <w:rFonts w:cs="Calibri"/>
          <w:lang w:eastAsia="en-GB"/>
        </w:rPr>
        <w:t xml:space="preserve">can be found on </w:t>
      </w:r>
      <w:r w:rsidR="00A94482" w:rsidRPr="4FC2335B">
        <w:rPr>
          <w:rStyle w:val="normaltextrun"/>
          <w:rFonts w:cs="Calibri"/>
          <w:lang w:eastAsia="en-GB"/>
        </w:rPr>
        <w:t xml:space="preserve">the </w:t>
      </w:r>
      <w:hyperlink r:id="rId17">
        <w:r w:rsidR="00061011" w:rsidRPr="4FC2335B">
          <w:rPr>
            <w:rStyle w:val="Hyperlink"/>
            <w:rFonts w:cs="Calibri"/>
            <w:lang w:eastAsia="en-GB"/>
          </w:rPr>
          <w:t>ISCG web</w:t>
        </w:r>
        <w:r w:rsidR="00061011">
          <w:rPr>
            <w:rStyle w:val="Hyperlink"/>
            <w:rFonts w:cs="Calibri"/>
            <w:lang w:eastAsia="en-GB"/>
          </w:rPr>
          <w:t>page</w:t>
        </w:r>
      </w:hyperlink>
      <w:r w:rsidR="00A94482" w:rsidRPr="4FC2335B">
        <w:rPr>
          <w:rStyle w:val="normaltextrun"/>
          <w:rFonts w:cs="Calibri"/>
          <w:lang w:eastAsia="en-GB"/>
        </w:rPr>
        <w:t xml:space="preserve">. </w:t>
      </w:r>
    </w:p>
    <w:p w14:paraId="257674B4" w14:textId="20A43F8C" w:rsidR="00A514A4" w:rsidRPr="00441909" w:rsidRDefault="00C2568D" w:rsidP="00C256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lang w:val="en-US"/>
        </w:rPr>
      </w:pPr>
      <w:r>
        <w:rPr>
          <w:lang w:val="en-US"/>
        </w:rPr>
        <w:t>____________</w:t>
      </w:r>
    </w:p>
    <w:sectPr w:rsidR="00A514A4" w:rsidRPr="00441909" w:rsidSect="009D2C0B">
      <w:footerReference w:type="default" r:id="rId18"/>
      <w:headerReference w:type="first" r:id="rId19"/>
      <w:footerReference w:type="first" r:id="rId2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5E06" w14:textId="77777777" w:rsidR="009D2C0B" w:rsidRDefault="009D2C0B">
      <w:r>
        <w:separator/>
      </w:r>
    </w:p>
  </w:endnote>
  <w:endnote w:type="continuationSeparator" w:id="0">
    <w:p w14:paraId="1C91A74F" w14:textId="77777777" w:rsidR="009D2C0B" w:rsidRDefault="009D2C0B">
      <w:r>
        <w:continuationSeparator/>
      </w:r>
    </w:p>
  </w:endnote>
  <w:endnote w:type="continuationNotice" w:id="1">
    <w:p w14:paraId="268E379E" w14:textId="77777777" w:rsidR="009D2C0B" w:rsidRDefault="009D2C0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2B1834">
      <w:trPr>
        <w:jc w:val="center"/>
      </w:trPr>
      <w:tc>
        <w:tcPr>
          <w:tcW w:w="1803" w:type="dxa"/>
          <w:vAlign w:val="center"/>
        </w:tcPr>
        <w:p w14:paraId="727FD637" w14:textId="62E47AAB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4D87841F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</w:t>
          </w:r>
          <w:r w:rsidR="00C2568D">
            <w:rPr>
              <w:bCs/>
            </w:rPr>
            <w:t>27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F0629A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22196FBD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C2568D">
            <w:rPr>
              <w:bCs/>
            </w:rPr>
            <w:t>27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10FF" w14:textId="77777777" w:rsidR="009D2C0B" w:rsidRDefault="009D2C0B">
      <w:r>
        <w:t>____________________</w:t>
      </w:r>
    </w:p>
  </w:footnote>
  <w:footnote w:type="continuationSeparator" w:id="0">
    <w:p w14:paraId="692B79FD" w14:textId="77777777" w:rsidR="009D2C0B" w:rsidRDefault="009D2C0B">
      <w:r>
        <w:continuationSeparator/>
      </w:r>
    </w:p>
  </w:footnote>
  <w:footnote w:type="continuationNotice" w:id="1">
    <w:p w14:paraId="7DB1EDFB" w14:textId="77777777" w:rsidR="009D2C0B" w:rsidRDefault="009D2C0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6D4BB9D4" w14:textId="77777777" w:rsidTr="002B1834">
      <w:trPr>
        <w:trHeight w:val="1104"/>
        <w:jc w:val="center"/>
      </w:trPr>
      <w:tc>
        <w:tcPr>
          <w:tcW w:w="4390" w:type="dxa"/>
          <w:vAlign w:val="center"/>
        </w:tcPr>
        <w:p w14:paraId="3E21B143" w14:textId="41A3D2F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noProof/>
            </w:rPr>
            <w:drawing>
              <wp:inline distT="0" distB="0" distL="0" distR="0" wp14:anchorId="44E11463" wp14:editId="40423983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A3A2C" w14:textId="782E9795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25E43F9A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EBBF8F9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0D24EB89" w14:textId="4136AD56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D5D31C" id="Rectangle 5" o:spid="_x0000_s1026" style="position:absolute;margin-left:1.05pt;margin-top:50.8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C46CE"/>
    <w:multiLevelType w:val="hybridMultilevel"/>
    <w:tmpl w:val="9774C85C"/>
    <w:lvl w:ilvl="0" w:tplc="B874D1EA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44BB2"/>
    <w:multiLevelType w:val="multilevel"/>
    <w:tmpl w:val="7E424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877156"/>
    <w:multiLevelType w:val="hybridMultilevel"/>
    <w:tmpl w:val="E7065DBE"/>
    <w:lvl w:ilvl="0" w:tplc="DE829BA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3D3560"/>
    <w:multiLevelType w:val="multilevel"/>
    <w:tmpl w:val="E330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66B56"/>
    <w:multiLevelType w:val="hybridMultilevel"/>
    <w:tmpl w:val="4502CD24"/>
    <w:lvl w:ilvl="0" w:tplc="B874D1EA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B371C"/>
    <w:multiLevelType w:val="hybridMultilevel"/>
    <w:tmpl w:val="79702E26"/>
    <w:lvl w:ilvl="0" w:tplc="8A64A354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FA36FC"/>
    <w:multiLevelType w:val="hybridMultilevel"/>
    <w:tmpl w:val="28CC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D69DC"/>
    <w:multiLevelType w:val="hybridMultilevel"/>
    <w:tmpl w:val="A8F66F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0B796B"/>
    <w:multiLevelType w:val="hybridMultilevel"/>
    <w:tmpl w:val="20DE429A"/>
    <w:lvl w:ilvl="0" w:tplc="5C709210">
      <w:start w:val="1"/>
      <w:numFmt w:val="decimal"/>
      <w:lvlText w:val="%1."/>
      <w:lvlJc w:val="left"/>
      <w:pPr>
        <w:ind w:left="720" w:hanging="360"/>
      </w:pPr>
    </w:lvl>
    <w:lvl w:ilvl="1" w:tplc="1C961EF0">
      <w:start w:val="1"/>
      <w:numFmt w:val="lowerLetter"/>
      <w:lvlText w:val="%2."/>
      <w:lvlJc w:val="left"/>
      <w:pPr>
        <w:ind w:left="1440" w:hanging="360"/>
      </w:pPr>
    </w:lvl>
    <w:lvl w:ilvl="2" w:tplc="302C8F78">
      <w:start w:val="1"/>
      <w:numFmt w:val="lowerRoman"/>
      <w:lvlText w:val="%3."/>
      <w:lvlJc w:val="right"/>
      <w:pPr>
        <w:ind w:left="2160" w:hanging="180"/>
      </w:pPr>
    </w:lvl>
    <w:lvl w:ilvl="3" w:tplc="56BE2A04">
      <w:start w:val="1"/>
      <w:numFmt w:val="decimal"/>
      <w:lvlText w:val="%4."/>
      <w:lvlJc w:val="left"/>
      <w:pPr>
        <w:ind w:left="2880" w:hanging="360"/>
      </w:pPr>
    </w:lvl>
    <w:lvl w:ilvl="4" w:tplc="692AF1E2">
      <w:start w:val="1"/>
      <w:numFmt w:val="lowerLetter"/>
      <w:lvlText w:val="%5."/>
      <w:lvlJc w:val="left"/>
      <w:pPr>
        <w:ind w:left="3600" w:hanging="360"/>
      </w:pPr>
    </w:lvl>
    <w:lvl w:ilvl="5" w:tplc="EC2E3522">
      <w:start w:val="1"/>
      <w:numFmt w:val="lowerRoman"/>
      <w:lvlText w:val="%6."/>
      <w:lvlJc w:val="right"/>
      <w:pPr>
        <w:ind w:left="4320" w:hanging="180"/>
      </w:pPr>
    </w:lvl>
    <w:lvl w:ilvl="6" w:tplc="A1D4D8A4">
      <w:start w:val="1"/>
      <w:numFmt w:val="decimal"/>
      <w:lvlText w:val="%7."/>
      <w:lvlJc w:val="left"/>
      <w:pPr>
        <w:ind w:left="5040" w:hanging="360"/>
      </w:pPr>
    </w:lvl>
    <w:lvl w:ilvl="7" w:tplc="AD1CBFC6">
      <w:start w:val="1"/>
      <w:numFmt w:val="lowerLetter"/>
      <w:lvlText w:val="%8."/>
      <w:lvlJc w:val="left"/>
      <w:pPr>
        <w:ind w:left="5760" w:hanging="360"/>
      </w:pPr>
    </w:lvl>
    <w:lvl w:ilvl="8" w:tplc="86B06FB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05D9B"/>
    <w:multiLevelType w:val="multilevel"/>
    <w:tmpl w:val="F75AE1B2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7861DC"/>
    <w:multiLevelType w:val="hybridMultilevel"/>
    <w:tmpl w:val="F80688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A34135"/>
    <w:multiLevelType w:val="hybridMultilevel"/>
    <w:tmpl w:val="EBC8D6C6"/>
    <w:lvl w:ilvl="0" w:tplc="0CF6A0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428D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A0A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2A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C4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43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6B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24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44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96722"/>
    <w:multiLevelType w:val="hybridMultilevel"/>
    <w:tmpl w:val="64708D02"/>
    <w:lvl w:ilvl="0" w:tplc="F46EB3D6">
      <w:start w:val="1"/>
      <w:numFmt w:val="decimal"/>
      <w:lvlText w:val="%1."/>
      <w:lvlJc w:val="left"/>
      <w:pPr>
        <w:ind w:left="720" w:hanging="360"/>
      </w:pPr>
    </w:lvl>
    <w:lvl w:ilvl="1" w:tplc="B1FA4780">
      <w:start w:val="1"/>
      <w:numFmt w:val="lowerLetter"/>
      <w:lvlText w:val="%2."/>
      <w:lvlJc w:val="left"/>
      <w:pPr>
        <w:ind w:left="1440" w:hanging="360"/>
      </w:pPr>
    </w:lvl>
    <w:lvl w:ilvl="2" w:tplc="797CF540">
      <w:start w:val="1"/>
      <w:numFmt w:val="lowerRoman"/>
      <w:lvlText w:val="%3."/>
      <w:lvlJc w:val="right"/>
      <w:pPr>
        <w:ind w:left="2160" w:hanging="180"/>
      </w:pPr>
    </w:lvl>
    <w:lvl w:ilvl="3" w:tplc="4F469FE0">
      <w:start w:val="1"/>
      <w:numFmt w:val="decimal"/>
      <w:lvlText w:val="%4."/>
      <w:lvlJc w:val="left"/>
      <w:pPr>
        <w:ind w:left="2880" w:hanging="360"/>
      </w:pPr>
    </w:lvl>
    <w:lvl w:ilvl="4" w:tplc="C00E508A">
      <w:start w:val="1"/>
      <w:numFmt w:val="lowerLetter"/>
      <w:lvlText w:val="%5."/>
      <w:lvlJc w:val="left"/>
      <w:pPr>
        <w:ind w:left="3600" w:hanging="360"/>
      </w:pPr>
    </w:lvl>
    <w:lvl w:ilvl="5" w:tplc="4BD46F2A">
      <w:start w:val="1"/>
      <w:numFmt w:val="lowerRoman"/>
      <w:lvlText w:val="%6."/>
      <w:lvlJc w:val="right"/>
      <w:pPr>
        <w:ind w:left="4320" w:hanging="180"/>
      </w:pPr>
    </w:lvl>
    <w:lvl w:ilvl="6" w:tplc="2F44B7EA">
      <w:start w:val="1"/>
      <w:numFmt w:val="decimal"/>
      <w:lvlText w:val="%7."/>
      <w:lvlJc w:val="left"/>
      <w:pPr>
        <w:ind w:left="5040" w:hanging="360"/>
      </w:pPr>
    </w:lvl>
    <w:lvl w:ilvl="7" w:tplc="07DAAFE4">
      <w:start w:val="1"/>
      <w:numFmt w:val="lowerLetter"/>
      <w:lvlText w:val="%8."/>
      <w:lvlJc w:val="left"/>
      <w:pPr>
        <w:ind w:left="5760" w:hanging="360"/>
      </w:pPr>
    </w:lvl>
    <w:lvl w:ilvl="8" w:tplc="545EED8C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0"/>
  </w:num>
  <w:num w:numId="2" w16cid:durableId="1149204526">
    <w:abstractNumId w:val="4"/>
  </w:num>
  <w:num w:numId="3" w16cid:durableId="1353218875">
    <w:abstractNumId w:val="10"/>
  </w:num>
  <w:num w:numId="4" w16cid:durableId="328143588">
    <w:abstractNumId w:val="11"/>
  </w:num>
  <w:num w:numId="5" w16cid:durableId="2082286446">
    <w:abstractNumId w:val="8"/>
  </w:num>
  <w:num w:numId="6" w16cid:durableId="1663505927">
    <w:abstractNumId w:val="6"/>
  </w:num>
  <w:num w:numId="7" w16cid:durableId="726802593">
    <w:abstractNumId w:val="3"/>
  </w:num>
  <w:num w:numId="8" w16cid:durableId="1405949551">
    <w:abstractNumId w:val="1"/>
  </w:num>
  <w:num w:numId="9" w16cid:durableId="1869442650">
    <w:abstractNumId w:val="5"/>
  </w:num>
  <w:num w:numId="10" w16cid:durableId="1914122636">
    <w:abstractNumId w:val="2"/>
  </w:num>
  <w:num w:numId="11" w16cid:durableId="1890266443">
    <w:abstractNumId w:val="7"/>
  </w:num>
  <w:num w:numId="12" w16cid:durableId="696933442">
    <w:abstractNumId w:val="12"/>
  </w:num>
  <w:num w:numId="13" w16cid:durableId="225074709">
    <w:abstractNumId w:val="9"/>
  </w:num>
  <w:num w:numId="14" w16cid:durableId="7114605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217E4"/>
    <w:rsid w:val="00033DCF"/>
    <w:rsid w:val="00036125"/>
    <w:rsid w:val="000404FF"/>
    <w:rsid w:val="000421E5"/>
    <w:rsid w:val="0004698E"/>
    <w:rsid w:val="00061011"/>
    <w:rsid w:val="00063016"/>
    <w:rsid w:val="00066795"/>
    <w:rsid w:val="0007324A"/>
    <w:rsid w:val="00073F07"/>
    <w:rsid w:val="00076AF6"/>
    <w:rsid w:val="00085CF2"/>
    <w:rsid w:val="00093A10"/>
    <w:rsid w:val="00093D0A"/>
    <w:rsid w:val="000A423D"/>
    <w:rsid w:val="000B1705"/>
    <w:rsid w:val="000B4AE4"/>
    <w:rsid w:val="000D75B2"/>
    <w:rsid w:val="000E1AF7"/>
    <w:rsid w:val="000E667C"/>
    <w:rsid w:val="000F2763"/>
    <w:rsid w:val="00105E8B"/>
    <w:rsid w:val="001121F5"/>
    <w:rsid w:val="00131C62"/>
    <w:rsid w:val="001400DC"/>
    <w:rsid w:val="00140CE1"/>
    <w:rsid w:val="00172992"/>
    <w:rsid w:val="0017539C"/>
    <w:rsid w:val="00175AC2"/>
    <w:rsid w:val="0017609F"/>
    <w:rsid w:val="001931CE"/>
    <w:rsid w:val="001A0B10"/>
    <w:rsid w:val="001A38C0"/>
    <w:rsid w:val="001A7D1D"/>
    <w:rsid w:val="001B51DD"/>
    <w:rsid w:val="001B6D9B"/>
    <w:rsid w:val="001C3BDB"/>
    <w:rsid w:val="001C628E"/>
    <w:rsid w:val="001C65E1"/>
    <w:rsid w:val="001E04C6"/>
    <w:rsid w:val="001E0C5E"/>
    <w:rsid w:val="001E0F7B"/>
    <w:rsid w:val="001E1198"/>
    <w:rsid w:val="002001C7"/>
    <w:rsid w:val="00207071"/>
    <w:rsid w:val="00207F5F"/>
    <w:rsid w:val="002119FD"/>
    <w:rsid w:val="002130E0"/>
    <w:rsid w:val="00244C5B"/>
    <w:rsid w:val="00264425"/>
    <w:rsid w:val="00265875"/>
    <w:rsid w:val="0027303B"/>
    <w:rsid w:val="0028004C"/>
    <w:rsid w:val="0028109B"/>
    <w:rsid w:val="00281C30"/>
    <w:rsid w:val="00281CB3"/>
    <w:rsid w:val="00283AA0"/>
    <w:rsid w:val="00286D06"/>
    <w:rsid w:val="002A2188"/>
    <w:rsid w:val="002B1834"/>
    <w:rsid w:val="002B1F58"/>
    <w:rsid w:val="002C1379"/>
    <w:rsid w:val="002C1C7A"/>
    <w:rsid w:val="002C54E2"/>
    <w:rsid w:val="002C6432"/>
    <w:rsid w:val="002D199E"/>
    <w:rsid w:val="0030160F"/>
    <w:rsid w:val="00320223"/>
    <w:rsid w:val="00322D0D"/>
    <w:rsid w:val="00330BA1"/>
    <w:rsid w:val="00346B31"/>
    <w:rsid w:val="00347AD9"/>
    <w:rsid w:val="003577BD"/>
    <w:rsid w:val="00361465"/>
    <w:rsid w:val="00372E4D"/>
    <w:rsid w:val="00381690"/>
    <w:rsid w:val="003877F5"/>
    <w:rsid w:val="003942D4"/>
    <w:rsid w:val="003958A8"/>
    <w:rsid w:val="003A5DEE"/>
    <w:rsid w:val="003A7A70"/>
    <w:rsid w:val="003B7F53"/>
    <w:rsid w:val="003C2533"/>
    <w:rsid w:val="003D18F9"/>
    <w:rsid w:val="003D5678"/>
    <w:rsid w:val="003D5A7F"/>
    <w:rsid w:val="003F601E"/>
    <w:rsid w:val="004016E2"/>
    <w:rsid w:val="0040435A"/>
    <w:rsid w:val="00412529"/>
    <w:rsid w:val="004138E7"/>
    <w:rsid w:val="00416A24"/>
    <w:rsid w:val="00431D9E"/>
    <w:rsid w:val="00433CE8"/>
    <w:rsid w:val="004340DC"/>
    <w:rsid w:val="004348CE"/>
    <w:rsid w:val="00434A5C"/>
    <w:rsid w:val="00441909"/>
    <w:rsid w:val="00444CCE"/>
    <w:rsid w:val="004544D9"/>
    <w:rsid w:val="0047198D"/>
    <w:rsid w:val="00472BAD"/>
    <w:rsid w:val="0047689C"/>
    <w:rsid w:val="00484009"/>
    <w:rsid w:val="00490E72"/>
    <w:rsid w:val="00491157"/>
    <w:rsid w:val="004921C8"/>
    <w:rsid w:val="00495B0B"/>
    <w:rsid w:val="00497C59"/>
    <w:rsid w:val="004A1B8B"/>
    <w:rsid w:val="004C0FB3"/>
    <w:rsid w:val="004D1851"/>
    <w:rsid w:val="004D599D"/>
    <w:rsid w:val="004E2EA5"/>
    <w:rsid w:val="004E3AEB"/>
    <w:rsid w:val="004E4002"/>
    <w:rsid w:val="004F04CF"/>
    <w:rsid w:val="0050223C"/>
    <w:rsid w:val="005243FF"/>
    <w:rsid w:val="00555CE2"/>
    <w:rsid w:val="00564FBC"/>
    <w:rsid w:val="00577061"/>
    <w:rsid w:val="005800BC"/>
    <w:rsid w:val="00582442"/>
    <w:rsid w:val="00582AEA"/>
    <w:rsid w:val="00585B71"/>
    <w:rsid w:val="005A359A"/>
    <w:rsid w:val="005A482F"/>
    <w:rsid w:val="005A7222"/>
    <w:rsid w:val="005B4AC9"/>
    <w:rsid w:val="005D13C8"/>
    <w:rsid w:val="005F0B82"/>
    <w:rsid w:val="005F1D29"/>
    <w:rsid w:val="005F3269"/>
    <w:rsid w:val="005F40F7"/>
    <w:rsid w:val="00603055"/>
    <w:rsid w:val="0060394B"/>
    <w:rsid w:val="00610620"/>
    <w:rsid w:val="00620CD1"/>
    <w:rsid w:val="00621079"/>
    <w:rsid w:val="006219E7"/>
    <w:rsid w:val="00623AE3"/>
    <w:rsid w:val="0064737F"/>
    <w:rsid w:val="00651D83"/>
    <w:rsid w:val="006535F1"/>
    <w:rsid w:val="0065557D"/>
    <w:rsid w:val="00660D50"/>
    <w:rsid w:val="00662984"/>
    <w:rsid w:val="00662B60"/>
    <w:rsid w:val="0066545D"/>
    <w:rsid w:val="006716BB"/>
    <w:rsid w:val="006828F0"/>
    <w:rsid w:val="006841D5"/>
    <w:rsid w:val="006850BE"/>
    <w:rsid w:val="0069395E"/>
    <w:rsid w:val="006B1859"/>
    <w:rsid w:val="006B197C"/>
    <w:rsid w:val="006B6680"/>
    <w:rsid w:val="006B6DCC"/>
    <w:rsid w:val="006B7321"/>
    <w:rsid w:val="006F2C82"/>
    <w:rsid w:val="00702DEF"/>
    <w:rsid w:val="00706861"/>
    <w:rsid w:val="007130BB"/>
    <w:rsid w:val="00714B80"/>
    <w:rsid w:val="007200E5"/>
    <w:rsid w:val="00721E7D"/>
    <w:rsid w:val="007342DE"/>
    <w:rsid w:val="007348C1"/>
    <w:rsid w:val="00744844"/>
    <w:rsid w:val="0075051B"/>
    <w:rsid w:val="0076545B"/>
    <w:rsid w:val="00787DFF"/>
    <w:rsid w:val="00793188"/>
    <w:rsid w:val="00793D61"/>
    <w:rsid w:val="00794D34"/>
    <w:rsid w:val="007A05C7"/>
    <w:rsid w:val="007A2778"/>
    <w:rsid w:val="007A6330"/>
    <w:rsid w:val="007C1EAE"/>
    <w:rsid w:val="007D3B4B"/>
    <w:rsid w:val="007F2DC7"/>
    <w:rsid w:val="007F3F1D"/>
    <w:rsid w:val="007F5127"/>
    <w:rsid w:val="008001E0"/>
    <w:rsid w:val="00813E5E"/>
    <w:rsid w:val="00814657"/>
    <w:rsid w:val="00815BD3"/>
    <w:rsid w:val="00817494"/>
    <w:rsid w:val="0083581B"/>
    <w:rsid w:val="0085163C"/>
    <w:rsid w:val="0086263A"/>
    <w:rsid w:val="00863874"/>
    <w:rsid w:val="00864978"/>
    <w:rsid w:val="00864AFF"/>
    <w:rsid w:val="00865925"/>
    <w:rsid w:val="008716E5"/>
    <w:rsid w:val="00891C35"/>
    <w:rsid w:val="00895684"/>
    <w:rsid w:val="008A5787"/>
    <w:rsid w:val="008B4A6A"/>
    <w:rsid w:val="008C2D09"/>
    <w:rsid w:val="008C7E27"/>
    <w:rsid w:val="008D3B2D"/>
    <w:rsid w:val="008D46C5"/>
    <w:rsid w:val="008E0141"/>
    <w:rsid w:val="008E0EF1"/>
    <w:rsid w:val="008F7448"/>
    <w:rsid w:val="0090147A"/>
    <w:rsid w:val="009026E2"/>
    <w:rsid w:val="00904DE5"/>
    <w:rsid w:val="009173EF"/>
    <w:rsid w:val="009231E3"/>
    <w:rsid w:val="00932906"/>
    <w:rsid w:val="00935387"/>
    <w:rsid w:val="00935B99"/>
    <w:rsid w:val="00961B0B"/>
    <w:rsid w:val="00962D33"/>
    <w:rsid w:val="00965071"/>
    <w:rsid w:val="009755E5"/>
    <w:rsid w:val="009835A9"/>
    <w:rsid w:val="009A4687"/>
    <w:rsid w:val="009B38C3"/>
    <w:rsid w:val="009D2C0B"/>
    <w:rsid w:val="009E17BD"/>
    <w:rsid w:val="009E485A"/>
    <w:rsid w:val="009F4ABE"/>
    <w:rsid w:val="00A01B72"/>
    <w:rsid w:val="00A04CEC"/>
    <w:rsid w:val="00A06965"/>
    <w:rsid w:val="00A06B01"/>
    <w:rsid w:val="00A26D75"/>
    <w:rsid w:val="00A27F92"/>
    <w:rsid w:val="00A30552"/>
    <w:rsid w:val="00A316E2"/>
    <w:rsid w:val="00A32257"/>
    <w:rsid w:val="00A36D20"/>
    <w:rsid w:val="00A5058C"/>
    <w:rsid w:val="00A511A5"/>
    <w:rsid w:val="00A514A4"/>
    <w:rsid w:val="00A55622"/>
    <w:rsid w:val="00A614DF"/>
    <w:rsid w:val="00A619D5"/>
    <w:rsid w:val="00A7228D"/>
    <w:rsid w:val="00A83502"/>
    <w:rsid w:val="00A838DF"/>
    <w:rsid w:val="00A94482"/>
    <w:rsid w:val="00AB15A0"/>
    <w:rsid w:val="00AB4C23"/>
    <w:rsid w:val="00AB60BC"/>
    <w:rsid w:val="00AD15B3"/>
    <w:rsid w:val="00AD3606"/>
    <w:rsid w:val="00AD4A3D"/>
    <w:rsid w:val="00AD58DE"/>
    <w:rsid w:val="00AE2B10"/>
    <w:rsid w:val="00AE3C4D"/>
    <w:rsid w:val="00AF303B"/>
    <w:rsid w:val="00AF6E49"/>
    <w:rsid w:val="00B0180D"/>
    <w:rsid w:val="00B04A67"/>
    <w:rsid w:val="00B0583C"/>
    <w:rsid w:val="00B258F2"/>
    <w:rsid w:val="00B40A81"/>
    <w:rsid w:val="00B44910"/>
    <w:rsid w:val="00B45D5F"/>
    <w:rsid w:val="00B470C7"/>
    <w:rsid w:val="00B513E0"/>
    <w:rsid w:val="00B570BA"/>
    <w:rsid w:val="00B6412D"/>
    <w:rsid w:val="00B72267"/>
    <w:rsid w:val="00B75342"/>
    <w:rsid w:val="00B76D4C"/>
    <w:rsid w:val="00B76EB6"/>
    <w:rsid w:val="00B7737B"/>
    <w:rsid w:val="00B80F94"/>
    <w:rsid w:val="00B824C8"/>
    <w:rsid w:val="00B84B9D"/>
    <w:rsid w:val="00B97D8B"/>
    <w:rsid w:val="00BA2DD3"/>
    <w:rsid w:val="00BC1440"/>
    <w:rsid w:val="00BC251A"/>
    <w:rsid w:val="00BC63F8"/>
    <w:rsid w:val="00BD032B"/>
    <w:rsid w:val="00BD57FB"/>
    <w:rsid w:val="00BE2640"/>
    <w:rsid w:val="00BE4940"/>
    <w:rsid w:val="00C01189"/>
    <w:rsid w:val="00C059D3"/>
    <w:rsid w:val="00C11DDD"/>
    <w:rsid w:val="00C23D11"/>
    <w:rsid w:val="00C2568D"/>
    <w:rsid w:val="00C277A0"/>
    <w:rsid w:val="00C27F38"/>
    <w:rsid w:val="00C374DE"/>
    <w:rsid w:val="00C43AE6"/>
    <w:rsid w:val="00C45DA8"/>
    <w:rsid w:val="00C47AD4"/>
    <w:rsid w:val="00C52D81"/>
    <w:rsid w:val="00C55198"/>
    <w:rsid w:val="00C60C5D"/>
    <w:rsid w:val="00C615B3"/>
    <w:rsid w:val="00C714FE"/>
    <w:rsid w:val="00C85269"/>
    <w:rsid w:val="00CA53CB"/>
    <w:rsid w:val="00CA6393"/>
    <w:rsid w:val="00CA65FB"/>
    <w:rsid w:val="00CB18FF"/>
    <w:rsid w:val="00CC40E4"/>
    <w:rsid w:val="00CD0C08"/>
    <w:rsid w:val="00CD6B35"/>
    <w:rsid w:val="00CE03FB"/>
    <w:rsid w:val="00CE433C"/>
    <w:rsid w:val="00CF0161"/>
    <w:rsid w:val="00CF33F3"/>
    <w:rsid w:val="00D05347"/>
    <w:rsid w:val="00D06183"/>
    <w:rsid w:val="00D22C42"/>
    <w:rsid w:val="00D45D09"/>
    <w:rsid w:val="00D565BC"/>
    <w:rsid w:val="00D618C9"/>
    <w:rsid w:val="00D65041"/>
    <w:rsid w:val="00D71C3C"/>
    <w:rsid w:val="00D743AB"/>
    <w:rsid w:val="00D81605"/>
    <w:rsid w:val="00DB1936"/>
    <w:rsid w:val="00DB384B"/>
    <w:rsid w:val="00DC724D"/>
    <w:rsid w:val="00DE2DA2"/>
    <w:rsid w:val="00DF0189"/>
    <w:rsid w:val="00E03C1D"/>
    <w:rsid w:val="00E06FD5"/>
    <w:rsid w:val="00E10E80"/>
    <w:rsid w:val="00E124F0"/>
    <w:rsid w:val="00E227F3"/>
    <w:rsid w:val="00E23618"/>
    <w:rsid w:val="00E51C44"/>
    <w:rsid w:val="00E545C6"/>
    <w:rsid w:val="00E54CA4"/>
    <w:rsid w:val="00E60F04"/>
    <w:rsid w:val="00E65B24"/>
    <w:rsid w:val="00E854E4"/>
    <w:rsid w:val="00E86DBF"/>
    <w:rsid w:val="00EA76BB"/>
    <w:rsid w:val="00EB0D6F"/>
    <w:rsid w:val="00EB2232"/>
    <w:rsid w:val="00EB35E5"/>
    <w:rsid w:val="00EC295D"/>
    <w:rsid w:val="00EC5337"/>
    <w:rsid w:val="00EE49E8"/>
    <w:rsid w:val="00EF68B2"/>
    <w:rsid w:val="00F0629A"/>
    <w:rsid w:val="00F14EA6"/>
    <w:rsid w:val="00F15342"/>
    <w:rsid w:val="00F16BAB"/>
    <w:rsid w:val="00F20989"/>
    <w:rsid w:val="00F2150A"/>
    <w:rsid w:val="00F231D8"/>
    <w:rsid w:val="00F31DE9"/>
    <w:rsid w:val="00F32E4D"/>
    <w:rsid w:val="00F44C00"/>
    <w:rsid w:val="00F45D2C"/>
    <w:rsid w:val="00F46C5F"/>
    <w:rsid w:val="00F6209A"/>
    <w:rsid w:val="00F62C64"/>
    <w:rsid w:val="00F632C0"/>
    <w:rsid w:val="00F63C31"/>
    <w:rsid w:val="00F667D0"/>
    <w:rsid w:val="00F74710"/>
    <w:rsid w:val="00F80C9C"/>
    <w:rsid w:val="00F94A63"/>
    <w:rsid w:val="00F9523A"/>
    <w:rsid w:val="00FA1C28"/>
    <w:rsid w:val="00FB1279"/>
    <w:rsid w:val="00FB202A"/>
    <w:rsid w:val="00FB5079"/>
    <w:rsid w:val="00FB6B76"/>
    <w:rsid w:val="00FB7596"/>
    <w:rsid w:val="00FC6927"/>
    <w:rsid w:val="00FE4077"/>
    <w:rsid w:val="00FE500D"/>
    <w:rsid w:val="00FE537D"/>
    <w:rsid w:val="00FE77D2"/>
    <w:rsid w:val="00FF6ECC"/>
    <w:rsid w:val="031C7368"/>
    <w:rsid w:val="03709C09"/>
    <w:rsid w:val="0386B3C1"/>
    <w:rsid w:val="04E56FF0"/>
    <w:rsid w:val="06172152"/>
    <w:rsid w:val="0760FF6B"/>
    <w:rsid w:val="0A6A9E07"/>
    <w:rsid w:val="18352D8C"/>
    <w:rsid w:val="184D5412"/>
    <w:rsid w:val="1CA69341"/>
    <w:rsid w:val="21F32631"/>
    <w:rsid w:val="220FFFD2"/>
    <w:rsid w:val="22B47D1A"/>
    <w:rsid w:val="2461A354"/>
    <w:rsid w:val="2567AD68"/>
    <w:rsid w:val="2825B0EE"/>
    <w:rsid w:val="2A93AB3D"/>
    <w:rsid w:val="2DB9ACEB"/>
    <w:rsid w:val="2F257496"/>
    <w:rsid w:val="3132D32B"/>
    <w:rsid w:val="31DEA403"/>
    <w:rsid w:val="31FD8AA5"/>
    <w:rsid w:val="348AB2D7"/>
    <w:rsid w:val="3E5050EF"/>
    <w:rsid w:val="4A919A0E"/>
    <w:rsid w:val="4C863E11"/>
    <w:rsid w:val="4DD965A6"/>
    <w:rsid w:val="4E83A091"/>
    <w:rsid w:val="50619E9F"/>
    <w:rsid w:val="50BE53D4"/>
    <w:rsid w:val="51A7FACC"/>
    <w:rsid w:val="53341141"/>
    <w:rsid w:val="561ADFAC"/>
    <w:rsid w:val="5830584F"/>
    <w:rsid w:val="58AAA3F2"/>
    <w:rsid w:val="5C00CA42"/>
    <w:rsid w:val="5E12B888"/>
    <w:rsid w:val="5E5D969E"/>
    <w:rsid w:val="5F131261"/>
    <w:rsid w:val="5FA147A2"/>
    <w:rsid w:val="602F19C6"/>
    <w:rsid w:val="60AE7DB8"/>
    <w:rsid w:val="62E5253F"/>
    <w:rsid w:val="64271719"/>
    <w:rsid w:val="6549AB23"/>
    <w:rsid w:val="66D6A798"/>
    <w:rsid w:val="680020C0"/>
    <w:rsid w:val="6B633D0D"/>
    <w:rsid w:val="6BD6B37B"/>
    <w:rsid w:val="7039AD38"/>
    <w:rsid w:val="73AF8B3F"/>
    <w:rsid w:val="75027C74"/>
    <w:rsid w:val="76B7A9DB"/>
    <w:rsid w:val="76CF5F3B"/>
    <w:rsid w:val="77F2E90E"/>
    <w:rsid w:val="789A1FDC"/>
    <w:rsid w:val="78F55F82"/>
    <w:rsid w:val="7B409AA9"/>
    <w:rsid w:val="7BBE4DC1"/>
    <w:rsid w:val="7C37A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70D8913B-9BDB-48B8-B730-5C5A191A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normaltextrun">
    <w:name w:val="normaltextrun"/>
    <w:basedOn w:val="DefaultParagraphFont"/>
    <w:rsid w:val="0066545D"/>
  </w:style>
  <w:style w:type="character" w:styleId="UnresolvedMention">
    <w:name w:val="Unresolved Mention"/>
    <w:basedOn w:val="DefaultParagraphFont"/>
    <w:uiPriority w:val="99"/>
    <w:semiHidden/>
    <w:unhideWhenUsed/>
    <w:rsid w:val="007A27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F601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60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601E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6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601E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06965"/>
    <w:pPr>
      <w:ind w:left="720"/>
      <w:contextualSpacing/>
    </w:pPr>
  </w:style>
  <w:style w:type="paragraph" w:styleId="Revision">
    <w:name w:val="Revision"/>
    <w:hidden/>
    <w:uiPriority w:val="99"/>
    <w:semiHidden/>
    <w:rsid w:val="00A838DF"/>
    <w:rPr>
      <w:rFonts w:ascii="Calibri" w:hAnsi="Calibri"/>
      <w:sz w:val="24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AE3C4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Documents/basic-texts-2023/DEC-005-E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-2023/RES-191-E.pdf" TargetMode="External"/><Relationship Id="rId17" Type="http://schemas.openxmlformats.org/officeDocument/2006/relationships/hyperlink" Target="https://www.itu.int/en/general-secretariat/Pages/ISCG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CL-C-0017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Documents/basic-texts-2023/RES-071-E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4-CL-C-0035/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general-secretariat/Pages/default.asp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6" ma:contentTypeDescription="Crée un document." ma:contentTypeScope="" ma:versionID="21eb84d73e7a675104c7fde3a9d4b3aa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a3edfd7e1c0ee2ea79557039166d9c4a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09C1-0589-4D84-BD49-6DC0B63DA612}">
  <ds:schemaRefs>
    <ds:schemaRef ds:uri="98b04e1e-0540-4930-9623-702d547a0a33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085b46e1-7f22-4e81-9ba5-912dc5a5fd9a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AF875B-F338-45DC-BE13-78A74FE8C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0E0B5-5439-45A7-877C-B0819D0A6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for the coordination of efforts among the three Sectors of the Union</vt:lpstr>
    </vt:vector>
  </TitlesOfParts>
  <Manager>General Secretariat - Pool</Manager>
  <Company>International Telecommunication Union (ITU)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for the coordination of efforts among the three Sectors of the Union</dc:title>
  <dc:subject>Council 2024</dc:subject>
  <dc:creator>author</dc:creator>
  <cp:keywords>C2024, C24, Council-24</cp:keywords>
  <dc:description/>
  <cp:lastModifiedBy>Brouard, Ricarda</cp:lastModifiedBy>
  <cp:revision>3</cp:revision>
  <cp:lastPrinted>2000-07-18T13:30:00Z</cp:lastPrinted>
  <dcterms:created xsi:type="dcterms:W3CDTF">2024-05-06T15:28:00Z</dcterms:created>
  <dcterms:modified xsi:type="dcterms:W3CDTF">2024-05-06T15:32:00Z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0x010100927A014BF6FE3A4AB656F5985E3C82C4</vt:lpwstr>
  </property>
  <property fmtid="{D5CDD505-2E9C-101B-9397-08002B2CF9AE}" pid="9" name="MediaServiceImageTags">
    <vt:lpwstr/>
  </property>
</Properties>
</file>