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777777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p>
        </w:tc>
        <w:tc>
          <w:tcPr>
            <w:tcW w:w="5245" w:type="dxa"/>
          </w:tcPr>
          <w:p w14:paraId="5BFD5B79" w14:textId="64D1DAE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56B84">
              <w:rPr>
                <w:b/>
                <w:lang w:val="fr-CH"/>
              </w:rPr>
              <w:t>27</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5A834DC0"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856B84">
              <w:rPr>
                <w:b/>
                <w:lang w:eastAsia="zh-CN"/>
              </w:rPr>
              <w:t>5</w:t>
            </w:r>
            <w:r w:rsidR="00C45EB2">
              <w:rPr>
                <w:rFonts w:hint="eastAsia"/>
                <w:b/>
                <w:lang w:eastAsia="zh-CN"/>
              </w:rPr>
              <w:t>月</w:t>
            </w:r>
            <w:r w:rsidR="00856B84">
              <w:rPr>
                <w:b/>
                <w:lang w:eastAsia="zh-CN"/>
              </w:rPr>
              <w:t>6</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7AB498A4" w:rsidR="00E24D59" w:rsidRPr="00856B84" w:rsidRDefault="00E24D59" w:rsidP="00E31DCE">
            <w:pPr>
              <w:tabs>
                <w:tab w:val="left" w:pos="851"/>
              </w:tabs>
              <w:spacing w:before="0" w:line="240" w:lineRule="atLeast"/>
              <w:jc w:val="right"/>
              <w:rPr>
                <w:b/>
                <w:lang w:val="en-US" w:eastAsia="zh-CN"/>
              </w:rPr>
            </w:pPr>
            <w:proofErr w:type="spellStart"/>
            <w:r w:rsidRPr="00E24D59">
              <w:rPr>
                <w:rFonts w:cstheme="minorHAnsi"/>
                <w:b/>
                <w:bCs/>
                <w:lang w:val="ru-RU"/>
              </w:rPr>
              <w:t>原文：</w:t>
            </w:r>
            <w:r w:rsidR="00856B84">
              <w:rPr>
                <w:b/>
                <w:bCs/>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6F94473"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A607CA0" w14:textId="77777777" w:rsidTr="00E31DCE">
        <w:trPr>
          <w:cantSplit/>
        </w:trPr>
        <w:tc>
          <w:tcPr>
            <w:tcW w:w="9214" w:type="dxa"/>
            <w:gridSpan w:val="2"/>
            <w:tcMar>
              <w:left w:w="0" w:type="dxa"/>
            </w:tcMar>
          </w:tcPr>
          <w:p w14:paraId="61A82356" w14:textId="556FA559" w:rsidR="00E24D59" w:rsidRPr="00856B84" w:rsidRDefault="00856B84" w:rsidP="00E31DCE">
            <w:pPr>
              <w:pStyle w:val="Subtitle"/>
              <w:framePr w:hSpace="0" w:wrap="auto" w:hAnchor="text" w:xAlign="left" w:yAlign="inline"/>
              <w:rPr>
                <w:rFonts w:ascii="SimSun" w:eastAsia="SimSun" w:hAnsi="SimSun"/>
                <w:lang w:val="en-US" w:eastAsia="zh-CN"/>
              </w:rPr>
            </w:pPr>
            <w:bookmarkStart w:id="6" w:name="dtitle1" w:colFirst="0" w:colLast="0"/>
            <w:bookmarkEnd w:id="5"/>
            <w:r w:rsidRPr="00856B84">
              <w:rPr>
                <w:rFonts w:ascii="SimSun" w:eastAsia="SimSun" w:hAnsi="SimSun" w:cstheme="minorHAnsi" w:hint="eastAsia"/>
                <w:lang w:eastAsia="zh-CN"/>
              </w:rPr>
              <w:t>协调国际电联三个部门工作的战略</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6F1D19D5" w14:textId="72209837" w:rsidR="008F64AD" w:rsidRPr="00856B84" w:rsidRDefault="00856B84" w:rsidP="00DD6C79">
            <w:pPr>
              <w:ind w:firstLineChars="200" w:firstLine="480"/>
              <w:rPr>
                <w:b/>
                <w:bCs/>
                <w:lang w:eastAsia="zh-CN"/>
              </w:rPr>
            </w:pPr>
            <w:r w:rsidRPr="00856B84">
              <w:rPr>
                <w:lang w:val="zh-CN" w:eastAsia="zh-CN"/>
              </w:rPr>
              <w:t>本文件是实施有关</w:t>
            </w:r>
            <w:r w:rsidR="00FD7B61">
              <w:rPr>
                <w:rFonts w:hint="eastAsia"/>
                <w:lang w:val="zh-CN" w:eastAsia="zh-CN"/>
              </w:rPr>
              <w:t>“</w:t>
            </w:r>
            <w:r w:rsidRPr="00856B84">
              <w:rPr>
                <w:lang w:val="zh-CN" w:eastAsia="zh-CN"/>
              </w:rPr>
              <w:t>协调国际电联三个部门工作</w:t>
            </w:r>
            <w:r w:rsidRPr="00856B84">
              <w:rPr>
                <w:rFonts w:hint="eastAsia"/>
                <w:lang w:val="zh-CN" w:eastAsia="zh-CN"/>
              </w:rPr>
              <w:t>的</w:t>
            </w:r>
            <w:r w:rsidRPr="00856B84">
              <w:rPr>
                <w:lang w:val="zh-CN" w:eastAsia="zh-CN"/>
              </w:rPr>
              <w:t>战略</w:t>
            </w:r>
            <w:r w:rsidR="00FD7B61">
              <w:rPr>
                <w:rFonts w:hint="eastAsia"/>
                <w:lang w:val="zh-CN" w:eastAsia="zh-CN"/>
              </w:rPr>
              <w:t>”</w:t>
            </w:r>
            <w:r w:rsidRPr="00856B84">
              <w:rPr>
                <w:lang w:val="zh-CN" w:eastAsia="zh-CN"/>
              </w:rPr>
              <w:t>的第</w:t>
            </w:r>
            <w:r w:rsidRPr="00856B84">
              <w:rPr>
                <w:lang w:val="zh-CN" w:eastAsia="zh-CN"/>
              </w:rPr>
              <w:t>191</w:t>
            </w:r>
            <w:r w:rsidRPr="00856B84">
              <w:rPr>
                <w:lang w:val="zh-CN" w:eastAsia="zh-CN"/>
              </w:rPr>
              <w:t>号决议（</w:t>
            </w:r>
            <w:r w:rsidRPr="00856B84">
              <w:rPr>
                <w:lang w:val="zh-CN" w:eastAsia="zh-CN"/>
              </w:rPr>
              <w:t>2022</w:t>
            </w:r>
            <w:r w:rsidRPr="00856B84">
              <w:rPr>
                <w:lang w:val="zh-CN" w:eastAsia="zh-CN"/>
              </w:rPr>
              <w:t>年，</w:t>
            </w:r>
            <w:r w:rsidRPr="00856B84">
              <w:rPr>
                <w:rFonts w:hint="eastAsia"/>
                <w:lang w:val="zh-CN" w:eastAsia="zh-CN"/>
              </w:rPr>
              <w:t>布加勒斯特</w:t>
            </w:r>
            <w:r w:rsidRPr="00856B84">
              <w:rPr>
                <w:lang w:val="zh-CN" w:eastAsia="zh-CN"/>
              </w:rPr>
              <w:t>，修订版）的报告</w:t>
            </w:r>
            <w:r>
              <w:rPr>
                <w:rFonts w:hint="eastAsia"/>
                <w:lang w:val="zh-CN" w:eastAsia="zh-CN"/>
              </w:rPr>
              <w:t>。</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148D80F" w14:textId="3558E4DD" w:rsidR="008F64AD" w:rsidRPr="00087B0E" w:rsidRDefault="00856B84" w:rsidP="00DD6C79">
            <w:pPr>
              <w:ind w:firstLineChars="200" w:firstLine="480"/>
              <w:rPr>
                <w:rFonts w:cs="Calibri"/>
                <w:b/>
                <w:bCs/>
                <w:szCs w:val="24"/>
                <w:lang w:eastAsia="zh-CN"/>
              </w:rPr>
            </w:pPr>
            <w:r w:rsidRPr="00DD6C79">
              <w:rPr>
                <w:lang w:val="zh-CN" w:eastAsia="zh-CN"/>
              </w:rPr>
              <w:t>请理事</w:t>
            </w:r>
            <w:r w:rsidRPr="00087B0E">
              <w:rPr>
                <w:rFonts w:cs="Calibri"/>
                <w:szCs w:val="24"/>
                <w:lang w:val="zh-CN" w:eastAsia="zh-CN"/>
              </w:rPr>
              <w:t>会将本报告</w:t>
            </w:r>
            <w:r w:rsidRPr="00087B0E">
              <w:rPr>
                <w:rFonts w:cs="Calibri"/>
                <w:b/>
                <w:bCs/>
                <w:szCs w:val="24"/>
                <w:lang w:val="zh-CN" w:eastAsia="zh-CN"/>
              </w:rPr>
              <w:t>记录在案</w:t>
            </w:r>
            <w:r w:rsidRPr="00087B0E">
              <w:rPr>
                <w:rFonts w:cs="Calibri"/>
                <w:szCs w:val="24"/>
                <w:lang w:val="zh-CN" w:eastAsia="zh-CN"/>
              </w:rPr>
              <w:t>。</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185681BB" w14:textId="451FDBE1" w:rsidR="008F64AD" w:rsidRPr="008F64AD" w:rsidRDefault="00856B84" w:rsidP="00DD6C79">
            <w:pPr>
              <w:ind w:firstLineChars="200" w:firstLine="480"/>
              <w:rPr>
                <w:rFonts w:ascii="SimSun" w:hAnsi="SimSun" w:cstheme="minorHAnsi"/>
                <w:b/>
                <w:bCs/>
                <w:sz w:val="26"/>
                <w:szCs w:val="26"/>
                <w:lang w:eastAsia="zh-CN"/>
              </w:rPr>
            </w:pPr>
            <w:r w:rsidRPr="00087B0E">
              <w:rPr>
                <w:rFonts w:cs="Calibri"/>
                <w:szCs w:val="24"/>
                <w:lang w:val="zh-CN" w:eastAsia="zh-CN"/>
              </w:rPr>
              <w:t>卓越的人力资源和组织创新。</w:t>
            </w:r>
          </w:p>
          <w:p w14:paraId="060A9F21" w14:textId="0658BE75"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32257FE7" w14:textId="63A88CE5" w:rsidR="00856B84" w:rsidRPr="00087B0E" w:rsidRDefault="00856B84" w:rsidP="00DD6C79">
            <w:pPr>
              <w:ind w:firstLineChars="200" w:firstLine="480"/>
              <w:rPr>
                <w:b/>
                <w:bCs/>
                <w:lang w:eastAsia="zh-CN"/>
              </w:rPr>
            </w:pPr>
            <w:r w:rsidRPr="00FD7B61">
              <w:rPr>
                <w:lang w:val="zh-CN" w:eastAsia="zh-CN"/>
              </w:rPr>
              <w:t>在</w:t>
            </w:r>
            <w:r w:rsidRPr="00FD7B61">
              <w:rPr>
                <w:lang w:val="zh-CN" w:eastAsia="zh-CN"/>
              </w:rPr>
              <w:t>2024-2025</w:t>
            </w:r>
            <w:r w:rsidRPr="00FD7B61">
              <w:rPr>
                <w:lang w:val="zh-CN" w:eastAsia="zh-CN"/>
              </w:rPr>
              <w:t>年划拨预算范围内</w:t>
            </w:r>
            <w:r w:rsidRPr="00087B0E">
              <w:rPr>
                <w:lang w:val="zh-CN" w:eastAsia="zh-CN"/>
              </w:rPr>
              <w:t>。</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21651939" w:rsidR="00E24D59" w:rsidRDefault="00087B0E" w:rsidP="00E31DCE">
            <w:pPr>
              <w:spacing w:after="160"/>
              <w:rPr>
                <w:lang w:eastAsia="zh-CN"/>
              </w:rPr>
            </w:pPr>
            <w:r w:rsidRPr="00377509">
              <w:rPr>
                <w:rFonts w:ascii="STKaiti" w:eastAsia="STKaiti" w:hAnsi="STKaiti"/>
                <w:lang w:eastAsia="zh-CN"/>
              </w:rPr>
              <w:t>全权代表大会</w:t>
            </w:r>
            <w:hyperlink r:id="rId8" w:history="1">
              <w:r w:rsidRPr="00377509">
                <w:rPr>
                  <w:rStyle w:val="Hyperlink"/>
                  <w:rFonts w:ascii="STKaiti" w:eastAsia="STKaiti" w:hAnsi="STKaiti"/>
                  <w:lang w:eastAsia="zh-CN"/>
                </w:rPr>
                <w:t>第71号决议</w:t>
              </w:r>
            </w:hyperlink>
            <w:r w:rsidRPr="00377509">
              <w:rPr>
                <w:rFonts w:ascii="STKaiti" w:eastAsia="STKaiti" w:hAnsi="STKaiti"/>
                <w:lang w:eastAsia="zh-CN"/>
              </w:rPr>
              <w:t>（2022年，布加勒斯特，修订版）和第</w:t>
            </w:r>
            <w:hyperlink r:id="rId9" w:history="1">
              <w:r w:rsidRPr="00377509">
                <w:rPr>
                  <w:rStyle w:val="Hyperlink"/>
                  <w:rFonts w:ascii="STKaiti" w:eastAsia="STKaiti" w:hAnsi="STKaiti"/>
                  <w:lang w:eastAsia="zh-CN"/>
                </w:rPr>
                <w:t>191</w:t>
              </w:r>
            </w:hyperlink>
            <w:r w:rsidRPr="00377509">
              <w:rPr>
                <w:rFonts w:ascii="STKaiti" w:eastAsia="STKaiti" w:hAnsi="STKaiti"/>
                <w:lang w:eastAsia="zh-CN"/>
              </w:rPr>
              <w:t>号决议（2022年，布加勒斯特，修订版）以及</w:t>
            </w:r>
            <w:hyperlink r:id="rId10" w:history="1">
              <w:r w:rsidRPr="00377509">
                <w:rPr>
                  <w:rStyle w:val="Hyperlink"/>
                  <w:rFonts w:ascii="STKaiti" w:eastAsia="STKaiti" w:hAnsi="STKaiti"/>
                  <w:lang w:eastAsia="zh-CN"/>
                </w:rPr>
                <w:t>第5号决定</w:t>
              </w:r>
            </w:hyperlink>
            <w:r w:rsidRPr="00377509">
              <w:rPr>
                <w:rFonts w:ascii="STKaiti" w:eastAsia="STKaiti" w:hAnsi="STKaiti"/>
                <w:lang w:eastAsia="zh-CN"/>
              </w:rPr>
              <w:t>（2022年，布加勒斯特，修订版）</w:t>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7A69B9C" w14:textId="4D2998AD" w:rsidR="00FD7B61" w:rsidRPr="00FD7B61" w:rsidRDefault="00FD7B61" w:rsidP="00FD7B61">
      <w:pPr>
        <w:pStyle w:val="Heading1"/>
        <w:rPr>
          <w:lang w:val="en-US" w:eastAsia="zh-CN"/>
        </w:rPr>
      </w:pPr>
      <w:r>
        <w:rPr>
          <w:rFonts w:hint="eastAsia"/>
          <w:lang w:val="zh-CN" w:eastAsia="zh-CN"/>
        </w:rPr>
        <w:lastRenderedPageBreak/>
        <w:t>1</w:t>
      </w:r>
      <w:r>
        <w:rPr>
          <w:lang w:val="zh-CN" w:eastAsia="zh-CN"/>
        </w:rPr>
        <w:tab/>
      </w:r>
      <w:r w:rsidRPr="00FD7B61">
        <w:rPr>
          <w:lang w:val="zh-CN" w:eastAsia="zh-CN"/>
        </w:rPr>
        <w:t>背景</w:t>
      </w:r>
      <w:r w:rsidRPr="00FD7B61">
        <w:rPr>
          <w:rFonts w:hint="eastAsia"/>
          <w:lang w:val="zh-CN" w:eastAsia="zh-CN"/>
        </w:rPr>
        <w:t>情况</w:t>
      </w:r>
    </w:p>
    <w:p w14:paraId="5DAC8192" w14:textId="77777777" w:rsidR="00FD7B61" w:rsidRPr="00FD7B61" w:rsidRDefault="00FD7B61" w:rsidP="0027786F">
      <w:pPr>
        <w:ind w:firstLineChars="200" w:firstLine="480"/>
        <w:rPr>
          <w:b/>
          <w:lang w:val="en-US" w:eastAsia="zh-CN"/>
        </w:rPr>
      </w:pPr>
      <w:r w:rsidRPr="00FD7B61">
        <w:rPr>
          <w:lang w:val="zh-CN" w:eastAsia="zh-CN"/>
        </w:rPr>
        <w:t>2022</w:t>
      </w:r>
      <w:r w:rsidRPr="00FD7B61">
        <w:rPr>
          <w:lang w:val="zh-CN" w:eastAsia="zh-CN"/>
        </w:rPr>
        <w:t>年全权代表大会（</w:t>
      </w:r>
      <w:r w:rsidRPr="00FD7B61">
        <w:rPr>
          <w:lang w:val="zh-CN" w:eastAsia="zh-CN"/>
        </w:rPr>
        <w:t>PP-22</w:t>
      </w:r>
      <w:r w:rsidRPr="00FD7B61">
        <w:rPr>
          <w:lang w:val="zh-CN" w:eastAsia="zh-CN"/>
        </w:rPr>
        <w:t>）通过第</w:t>
      </w:r>
      <w:r w:rsidRPr="00FD7B61">
        <w:rPr>
          <w:lang w:val="zh-CN" w:eastAsia="zh-CN"/>
        </w:rPr>
        <w:t>191</w:t>
      </w:r>
      <w:r w:rsidRPr="00FD7B61">
        <w:rPr>
          <w:lang w:val="zh-CN" w:eastAsia="zh-CN"/>
        </w:rPr>
        <w:t>号决议（</w:t>
      </w:r>
      <w:r w:rsidRPr="00FD7B61">
        <w:rPr>
          <w:lang w:val="zh-CN" w:eastAsia="zh-CN"/>
        </w:rPr>
        <w:t>2022</w:t>
      </w:r>
      <w:r w:rsidRPr="00FD7B61">
        <w:rPr>
          <w:lang w:val="zh-CN" w:eastAsia="zh-CN"/>
        </w:rPr>
        <w:t>年，布加勒斯特，修订版）责成秘书长继续加强协作与合作战略，在三个部门与总秘书处共同关心的领域实现有效且高效的工作，从而避免重复工作，优化国际电联的资源使用。此外，</w:t>
      </w:r>
      <w:r w:rsidRPr="00FD7B61">
        <w:rPr>
          <w:rFonts w:hint="eastAsia"/>
          <w:lang w:val="zh-CN" w:eastAsia="zh-CN"/>
        </w:rPr>
        <w:t>还</w:t>
      </w:r>
      <w:r w:rsidRPr="00FD7B61">
        <w:rPr>
          <w:lang w:val="zh-CN" w:eastAsia="zh-CN"/>
        </w:rPr>
        <w:t>责成秘书长确定各部门之间以及与总秘书处的职能和活动重叠的所有形式和实例，并提出解决方案。</w:t>
      </w:r>
    </w:p>
    <w:p w14:paraId="3DF39CF9" w14:textId="21895009" w:rsidR="00FD7B61" w:rsidRPr="00FD7B61" w:rsidRDefault="00FD7B61" w:rsidP="0027786F">
      <w:pPr>
        <w:ind w:firstLineChars="200" w:firstLine="480"/>
        <w:rPr>
          <w:rFonts w:cs="Calibri"/>
          <w:szCs w:val="24"/>
          <w:lang w:val="en-US" w:eastAsia="zh-CN"/>
        </w:rPr>
      </w:pPr>
      <w:r w:rsidRPr="00FD7B61">
        <w:rPr>
          <w:rFonts w:cs="Calibri" w:hint="eastAsia"/>
          <w:szCs w:val="24"/>
          <w:lang w:val="zh-CN" w:eastAsia="zh-CN"/>
        </w:rPr>
        <w:t>最后，</w:t>
      </w:r>
      <w:r w:rsidRPr="00FD7B61">
        <w:rPr>
          <w:rFonts w:cs="Calibri"/>
          <w:szCs w:val="24"/>
          <w:lang w:val="zh-CN" w:eastAsia="zh-CN"/>
        </w:rPr>
        <w:t>第</w:t>
      </w:r>
      <w:r w:rsidRPr="00FD7B61">
        <w:rPr>
          <w:rFonts w:cs="Calibri"/>
          <w:szCs w:val="24"/>
          <w:lang w:val="zh-CN" w:eastAsia="zh-CN"/>
        </w:rPr>
        <w:t>191</w:t>
      </w:r>
      <w:r w:rsidRPr="00FD7B61">
        <w:rPr>
          <w:rFonts w:cs="Calibri"/>
          <w:szCs w:val="24"/>
          <w:lang w:val="zh-CN" w:eastAsia="zh-CN"/>
        </w:rPr>
        <w:t>号决议</w:t>
      </w:r>
      <w:r w:rsidRPr="00FD7B61">
        <w:rPr>
          <w:rFonts w:cs="Calibri" w:hint="eastAsia"/>
          <w:szCs w:val="24"/>
          <w:lang w:val="zh-CN" w:eastAsia="zh-CN"/>
        </w:rPr>
        <w:t>责成秘书长和各局主任</w:t>
      </w:r>
      <w:r w:rsidRPr="00FD7B61">
        <w:rPr>
          <w:rFonts w:cs="Calibri"/>
          <w:szCs w:val="24"/>
          <w:lang w:val="zh-CN" w:eastAsia="zh-CN"/>
        </w:rPr>
        <w:t>确保向理事会报告三个不同部门在共同关注领域开展的协调活动以及取得的结果。</w:t>
      </w:r>
    </w:p>
    <w:p w14:paraId="45D9DB9E" w14:textId="13479487" w:rsidR="00FD7B61" w:rsidRPr="00FD7B61" w:rsidRDefault="00FD7B61" w:rsidP="00FD7B61">
      <w:pPr>
        <w:pStyle w:val="Heading1"/>
        <w:rPr>
          <w:lang w:val="zh-CN" w:eastAsia="zh-CN"/>
        </w:rPr>
      </w:pPr>
      <w:r>
        <w:rPr>
          <w:rFonts w:hint="eastAsia"/>
          <w:lang w:val="zh-CN" w:eastAsia="zh-CN"/>
        </w:rPr>
        <w:t>2</w:t>
      </w:r>
      <w:r>
        <w:rPr>
          <w:lang w:val="zh-CN" w:eastAsia="zh-CN"/>
        </w:rPr>
        <w:tab/>
      </w:r>
      <w:r w:rsidRPr="00FD7B61">
        <w:rPr>
          <w:lang w:val="zh-CN" w:eastAsia="zh-CN"/>
        </w:rPr>
        <w:t>秘书处内部的协调</w:t>
      </w:r>
      <w:r>
        <w:rPr>
          <w:rFonts w:hint="eastAsia"/>
          <w:lang w:val="zh-CN" w:eastAsia="zh-CN"/>
        </w:rPr>
        <w:t xml:space="preserve"> </w:t>
      </w:r>
      <w:r w:rsidRPr="00FD7B61">
        <w:rPr>
          <w:lang w:val="zh-CN" w:eastAsia="zh-CN"/>
        </w:rPr>
        <w:t>–</w:t>
      </w:r>
      <w:r>
        <w:rPr>
          <w:rFonts w:hint="eastAsia"/>
          <w:lang w:val="zh-CN" w:eastAsia="zh-CN"/>
        </w:rPr>
        <w:t xml:space="preserve"> </w:t>
      </w:r>
      <w:r w:rsidRPr="00FD7B61">
        <w:rPr>
          <w:lang w:val="zh-CN" w:eastAsia="zh-CN"/>
        </w:rPr>
        <w:t>跨部门协调任务组（</w:t>
      </w:r>
      <w:r w:rsidRPr="00FD7B61">
        <w:rPr>
          <w:lang w:val="zh-CN" w:eastAsia="zh-CN"/>
        </w:rPr>
        <w:t>ISC-TF</w:t>
      </w:r>
      <w:r w:rsidRPr="00FD7B61">
        <w:rPr>
          <w:lang w:val="zh-CN" w:eastAsia="zh-CN"/>
        </w:rPr>
        <w:t>）</w:t>
      </w:r>
    </w:p>
    <w:p w14:paraId="51CB0A19" w14:textId="77777777" w:rsidR="00FD7B61" w:rsidRPr="00FD7B61" w:rsidRDefault="00FD7B61" w:rsidP="003B6961">
      <w:pPr>
        <w:ind w:firstLineChars="200" w:firstLine="480"/>
        <w:rPr>
          <w:rFonts w:cs="Calibri"/>
          <w:lang w:val="en-US" w:eastAsia="zh-CN"/>
        </w:rPr>
      </w:pPr>
      <w:r w:rsidRPr="00FD7B61">
        <w:rPr>
          <w:lang w:val="zh-CN" w:eastAsia="zh-CN"/>
        </w:rPr>
        <w:t>跨部门协调任务组（</w:t>
      </w:r>
      <w:r w:rsidRPr="00FD7B61">
        <w:rPr>
          <w:lang w:val="zh-CN" w:eastAsia="zh-CN"/>
        </w:rPr>
        <w:t>ISC-TF</w:t>
      </w:r>
      <w:r w:rsidRPr="00FD7B61">
        <w:rPr>
          <w:lang w:val="zh-CN" w:eastAsia="zh-CN"/>
        </w:rPr>
        <w:t>）由副秘书长</w:t>
      </w:r>
      <w:r w:rsidRPr="00FD7B61">
        <w:rPr>
          <w:rFonts w:hint="eastAsia"/>
          <w:lang w:val="zh-CN" w:eastAsia="zh-CN"/>
        </w:rPr>
        <w:t>领导</w:t>
      </w:r>
      <w:r w:rsidRPr="00FD7B61">
        <w:rPr>
          <w:lang w:val="zh-CN" w:eastAsia="zh-CN"/>
        </w:rPr>
        <w:t>，由各局和总秘书处的代表组成。</w:t>
      </w:r>
    </w:p>
    <w:p w14:paraId="754F48C8" w14:textId="77777777" w:rsidR="00FD7B61" w:rsidRPr="00FD7B61" w:rsidRDefault="00FD7B61" w:rsidP="003B6961">
      <w:pPr>
        <w:ind w:firstLineChars="200" w:firstLine="480"/>
        <w:rPr>
          <w:rFonts w:cs="Calibri"/>
          <w:lang w:val="en-US" w:eastAsia="zh-CN"/>
        </w:rPr>
      </w:pPr>
      <w:r w:rsidRPr="00FD7B61">
        <w:rPr>
          <w:lang w:val="zh-CN" w:eastAsia="zh-CN"/>
        </w:rPr>
        <w:t>ISC-TF</w:t>
      </w:r>
      <w:r w:rsidRPr="00FD7B61">
        <w:rPr>
          <w:lang w:val="zh-CN" w:eastAsia="zh-CN"/>
        </w:rPr>
        <w:t>是在秘书处内部进行协调并与跨部门协调组（</w:t>
      </w:r>
      <w:r w:rsidRPr="00FD7B61">
        <w:rPr>
          <w:lang w:val="zh-CN" w:eastAsia="zh-CN"/>
        </w:rPr>
        <w:t>ISCG</w:t>
      </w:r>
      <w:r w:rsidRPr="00FD7B61">
        <w:rPr>
          <w:lang w:val="zh-CN" w:eastAsia="zh-CN"/>
        </w:rPr>
        <w:t>）联络的机构，以确定成员的需求，同时提供旨在改进整个国际电联合作和协调的</w:t>
      </w:r>
      <w:r w:rsidRPr="00FD7B61">
        <w:rPr>
          <w:rFonts w:hint="eastAsia"/>
          <w:lang w:val="zh-CN" w:eastAsia="zh-CN"/>
        </w:rPr>
        <w:t>可选</w:t>
      </w:r>
      <w:r w:rsidRPr="00FD7B61">
        <w:rPr>
          <w:lang w:val="zh-CN" w:eastAsia="zh-CN"/>
        </w:rPr>
        <w:t>方案。</w:t>
      </w:r>
    </w:p>
    <w:p w14:paraId="7DA8097A" w14:textId="77777777" w:rsidR="00FD7B61" w:rsidRPr="00FD7B61" w:rsidRDefault="00FD7B61" w:rsidP="003B6961">
      <w:pPr>
        <w:ind w:firstLineChars="200" w:firstLine="480"/>
        <w:rPr>
          <w:rFonts w:cs="Calibri"/>
          <w:lang w:val="en-US" w:eastAsia="zh-CN"/>
        </w:rPr>
      </w:pPr>
      <w:r w:rsidRPr="00FD7B61">
        <w:rPr>
          <w:lang w:val="zh-CN" w:eastAsia="zh-CN"/>
        </w:rPr>
        <w:t>自去年向理事会提交报告以来，秘书处继续努力组织并</w:t>
      </w:r>
      <w:r w:rsidRPr="00FD7B61">
        <w:rPr>
          <w:rFonts w:hint="eastAsia"/>
          <w:lang w:val="zh-CN" w:eastAsia="zh-CN"/>
        </w:rPr>
        <w:t>确定</w:t>
      </w:r>
      <w:r w:rsidRPr="00FD7B61">
        <w:rPr>
          <w:lang w:val="zh-CN" w:eastAsia="zh-CN"/>
        </w:rPr>
        <w:t>确保跨部门协调治理的最佳途径。这些</w:t>
      </w:r>
      <w:r w:rsidRPr="00FD7B61">
        <w:rPr>
          <w:rFonts w:hint="eastAsia"/>
          <w:lang w:val="zh-CN" w:eastAsia="zh-CN"/>
        </w:rPr>
        <w:t>工作</w:t>
      </w:r>
      <w:r w:rsidRPr="00FD7B61">
        <w:rPr>
          <w:lang w:val="zh-CN" w:eastAsia="zh-CN"/>
        </w:rPr>
        <w:t>包括：</w:t>
      </w:r>
    </w:p>
    <w:p w14:paraId="32809205" w14:textId="59616D99" w:rsidR="00FD7B61" w:rsidRPr="00494E2C" w:rsidRDefault="00FD7B61" w:rsidP="00FD7B61">
      <w:pPr>
        <w:pStyle w:val="enumlev1"/>
        <w:rPr>
          <w:rFonts w:cs="Calibri"/>
          <w:szCs w:val="24"/>
          <w:lang w:val="en-US" w:eastAsia="zh-CN"/>
        </w:rPr>
      </w:pPr>
      <w:r w:rsidRPr="00FD7B61">
        <w:rPr>
          <w:szCs w:val="24"/>
          <w:lang w:val="zh-CN" w:eastAsia="zh-CN"/>
        </w:rPr>
        <w:t>•</w:t>
      </w:r>
      <w:r w:rsidRPr="00FD7B61">
        <w:rPr>
          <w:szCs w:val="24"/>
          <w:lang w:val="zh-CN" w:eastAsia="zh-CN"/>
        </w:rPr>
        <w:tab/>
      </w:r>
      <w:proofErr w:type="gramStart"/>
      <w:r w:rsidRPr="00494E2C">
        <w:rPr>
          <w:rFonts w:cs="Calibri"/>
          <w:szCs w:val="24"/>
          <w:lang w:val="zh-CN" w:eastAsia="zh-CN"/>
        </w:rPr>
        <w:t>改进总</w:t>
      </w:r>
      <w:proofErr w:type="gramEnd"/>
      <w:r w:rsidRPr="00494E2C">
        <w:rPr>
          <w:rFonts w:cs="Calibri"/>
          <w:szCs w:val="24"/>
          <w:lang w:val="zh-CN" w:eastAsia="zh-CN"/>
        </w:rPr>
        <w:t>秘书处的</w:t>
      </w:r>
      <w:hyperlink r:id="rId11" w:history="1">
        <w:r w:rsidRPr="00494E2C">
          <w:rPr>
            <w:rFonts w:cs="Calibri"/>
            <w:color w:val="0563C1"/>
            <w:szCs w:val="24"/>
            <w:u w:val="single"/>
            <w:lang w:val="zh-CN" w:eastAsia="zh-CN"/>
          </w:rPr>
          <w:t>跨部门协调网页</w:t>
        </w:r>
      </w:hyperlink>
      <w:r w:rsidRPr="00494E2C">
        <w:rPr>
          <w:rFonts w:cs="Calibri"/>
          <w:szCs w:val="24"/>
          <w:lang w:val="zh-CN" w:eastAsia="zh-CN"/>
        </w:rPr>
        <w:t>并与</w:t>
      </w:r>
      <w:r w:rsidRPr="00494E2C">
        <w:rPr>
          <w:rFonts w:cs="Calibri"/>
          <w:szCs w:val="24"/>
          <w:lang w:val="zh-CN" w:eastAsia="zh-CN"/>
        </w:rPr>
        <w:t>ISCG</w:t>
      </w:r>
      <w:r w:rsidRPr="00494E2C">
        <w:rPr>
          <w:rFonts w:cs="Calibri"/>
          <w:szCs w:val="24"/>
          <w:lang w:val="zh-CN" w:eastAsia="zh-CN"/>
        </w:rPr>
        <w:t>主席协调。</w:t>
      </w:r>
    </w:p>
    <w:p w14:paraId="096E97AC" w14:textId="34788297" w:rsidR="00FD7B61" w:rsidRPr="00494E2C" w:rsidRDefault="00FD7B61" w:rsidP="00FD7B61">
      <w:pPr>
        <w:pStyle w:val="enumlev1"/>
        <w:rPr>
          <w:rFonts w:cs="Calibri"/>
          <w:szCs w:val="24"/>
          <w:lang w:val="en-US" w:eastAsia="zh-CN"/>
        </w:rPr>
      </w:pPr>
      <w:r w:rsidRPr="00494E2C">
        <w:rPr>
          <w:rFonts w:cs="Calibri"/>
          <w:szCs w:val="24"/>
          <w:lang w:val="zh-CN" w:eastAsia="zh-CN"/>
        </w:rPr>
        <w:t>•</w:t>
      </w:r>
      <w:r w:rsidRPr="00494E2C">
        <w:rPr>
          <w:rFonts w:cs="Calibri"/>
          <w:szCs w:val="24"/>
          <w:lang w:val="zh-CN" w:eastAsia="zh-CN"/>
        </w:rPr>
        <w:tab/>
      </w:r>
      <w:r w:rsidRPr="003B6961">
        <w:rPr>
          <w:lang w:val="zh-CN" w:eastAsia="zh-CN"/>
        </w:rPr>
        <w:t>2022</w:t>
      </w:r>
      <w:r w:rsidRPr="003B6961">
        <w:rPr>
          <w:lang w:val="zh-CN" w:eastAsia="zh-CN"/>
        </w:rPr>
        <w:t>年国际电联全权代表大会之后对国际电</w:t>
      </w:r>
      <w:proofErr w:type="gramStart"/>
      <w:r w:rsidRPr="003B6961">
        <w:rPr>
          <w:lang w:val="zh-CN" w:eastAsia="zh-CN"/>
        </w:rPr>
        <w:t>联主要</w:t>
      </w:r>
      <w:proofErr w:type="gramEnd"/>
      <w:r w:rsidRPr="003B6961">
        <w:rPr>
          <w:lang w:val="zh-CN" w:eastAsia="zh-CN"/>
        </w:rPr>
        <w:t>大会</w:t>
      </w:r>
      <w:r w:rsidRPr="003B6961">
        <w:rPr>
          <w:lang w:val="zh-CN" w:eastAsia="zh-CN"/>
        </w:rPr>
        <w:t>/</w:t>
      </w:r>
      <w:r w:rsidRPr="003B6961">
        <w:rPr>
          <w:lang w:val="zh-CN" w:eastAsia="zh-CN"/>
        </w:rPr>
        <w:t>全会的决议进行对照，并对秘书处内部任务组和小组进行审议（并在</w:t>
      </w:r>
      <w:r w:rsidRPr="003B6961">
        <w:rPr>
          <w:lang w:val="zh-CN" w:eastAsia="zh-CN"/>
        </w:rPr>
        <w:t>RA-23</w:t>
      </w:r>
      <w:r w:rsidRPr="003B6961">
        <w:rPr>
          <w:lang w:val="zh-CN" w:eastAsia="zh-CN"/>
        </w:rPr>
        <w:t>之后更新），以提出一项战略，</w:t>
      </w:r>
      <w:r w:rsidRPr="003B6961">
        <w:rPr>
          <w:rFonts w:hint="eastAsia"/>
          <w:lang w:val="zh-CN" w:eastAsia="zh-CN"/>
        </w:rPr>
        <w:t>应对</w:t>
      </w:r>
      <w:r w:rsidRPr="003B6961">
        <w:rPr>
          <w:lang w:val="zh-CN" w:eastAsia="zh-CN"/>
        </w:rPr>
        <w:t>日益增多的共同关心领域。</w:t>
      </w:r>
    </w:p>
    <w:p w14:paraId="72BD4A64" w14:textId="60356B12" w:rsidR="00FD7B61" w:rsidRPr="00494E2C" w:rsidRDefault="00FD7B61" w:rsidP="00FD7B61">
      <w:pPr>
        <w:pStyle w:val="enumlev1"/>
        <w:rPr>
          <w:rFonts w:cs="Calibri"/>
          <w:szCs w:val="24"/>
          <w:lang w:val="en-US" w:eastAsia="zh-CN"/>
        </w:rPr>
      </w:pPr>
      <w:r w:rsidRPr="00494E2C">
        <w:rPr>
          <w:rFonts w:cs="Calibri"/>
          <w:szCs w:val="24"/>
          <w:lang w:val="zh-CN" w:eastAsia="zh-CN"/>
        </w:rPr>
        <w:t>•</w:t>
      </w:r>
      <w:r w:rsidRPr="00494E2C">
        <w:rPr>
          <w:rFonts w:cs="Calibri"/>
          <w:szCs w:val="24"/>
          <w:lang w:val="zh-CN" w:eastAsia="zh-CN"/>
        </w:rPr>
        <w:tab/>
      </w:r>
      <w:r w:rsidRPr="003B6961">
        <w:rPr>
          <w:rFonts w:hint="eastAsia"/>
          <w:lang w:val="zh-CN" w:eastAsia="zh-CN"/>
        </w:rPr>
        <w:t>更新了</w:t>
      </w:r>
      <w:r w:rsidRPr="003B6961">
        <w:rPr>
          <w:lang w:val="zh-CN" w:eastAsia="zh-CN"/>
        </w:rPr>
        <w:t>网页</w:t>
      </w:r>
      <w:r w:rsidRPr="003B6961">
        <w:rPr>
          <w:rFonts w:hint="eastAsia"/>
          <w:lang w:val="zh-CN" w:eastAsia="zh-CN"/>
        </w:rPr>
        <w:t>上</w:t>
      </w:r>
      <w:r w:rsidRPr="003B6961">
        <w:rPr>
          <w:lang w:val="zh-CN" w:eastAsia="zh-CN"/>
        </w:rPr>
        <w:t>公布</w:t>
      </w:r>
      <w:r w:rsidRPr="003B6961">
        <w:rPr>
          <w:rFonts w:hint="eastAsia"/>
          <w:lang w:val="zh-CN" w:eastAsia="zh-CN"/>
        </w:rPr>
        <w:t>的、要求进行</w:t>
      </w:r>
      <w:r w:rsidRPr="003B6961">
        <w:rPr>
          <w:lang w:val="zh-CN" w:eastAsia="zh-CN"/>
        </w:rPr>
        <w:t>开展跨部门协调的</w:t>
      </w:r>
      <w:r w:rsidRPr="003B6961">
        <w:rPr>
          <w:rFonts w:hint="eastAsia"/>
          <w:lang w:val="zh-CN" w:eastAsia="zh-CN"/>
        </w:rPr>
        <w:t>主题清单以及</w:t>
      </w:r>
      <w:r w:rsidRPr="003B6961">
        <w:rPr>
          <w:lang w:val="zh-CN" w:eastAsia="zh-CN"/>
        </w:rPr>
        <w:t>各部门和总秘书处任命的牵头人。</w:t>
      </w:r>
    </w:p>
    <w:p w14:paraId="62DBE546" w14:textId="12392335" w:rsidR="00FD7B61" w:rsidRPr="00494E2C" w:rsidRDefault="00FD7B61" w:rsidP="00FD7B61">
      <w:pPr>
        <w:pStyle w:val="enumlev1"/>
        <w:rPr>
          <w:rFonts w:cs="Calibri"/>
          <w:szCs w:val="24"/>
          <w:lang w:val="en-US" w:eastAsia="zh-CN"/>
        </w:rPr>
      </w:pPr>
      <w:r w:rsidRPr="00494E2C">
        <w:rPr>
          <w:rFonts w:cs="Calibri"/>
          <w:szCs w:val="24"/>
          <w:lang w:val="zh-CN" w:eastAsia="zh-CN"/>
        </w:rPr>
        <w:t>•</w:t>
      </w:r>
      <w:r w:rsidRPr="00494E2C">
        <w:rPr>
          <w:rFonts w:cs="Calibri"/>
          <w:szCs w:val="24"/>
          <w:lang w:val="zh-CN" w:eastAsia="zh-CN"/>
        </w:rPr>
        <w:tab/>
      </w:r>
      <w:r w:rsidRPr="00494E2C">
        <w:rPr>
          <w:rFonts w:cs="Calibri"/>
          <w:szCs w:val="24"/>
          <w:lang w:val="zh-CN" w:eastAsia="zh-CN"/>
        </w:rPr>
        <w:t>审议跨部门协调任务组（</w:t>
      </w:r>
      <w:r w:rsidRPr="00494E2C">
        <w:rPr>
          <w:rFonts w:cs="Calibri"/>
          <w:szCs w:val="24"/>
          <w:lang w:val="zh-CN" w:eastAsia="zh-CN"/>
        </w:rPr>
        <w:t>ISC-TF</w:t>
      </w:r>
      <w:r w:rsidRPr="00494E2C">
        <w:rPr>
          <w:rFonts w:cs="Calibri"/>
          <w:szCs w:val="24"/>
          <w:lang w:val="zh-CN" w:eastAsia="zh-CN"/>
        </w:rPr>
        <w:t>）的</w:t>
      </w:r>
      <w:r w:rsidRPr="00494E2C">
        <w:rPr>
          <w:rFonts w:cs="Calibri" w:hint="eastAsia"/>
          <w:szCs w:val="24"/>
          <w:lang w:val="zh-CN" w:eastAsia="zh-CN"/>
        </w:rPr>
        <w:t>人员组成</w:t>
      </w:r>
      <w:r w:rsidRPr="00494E2C">
        <w:rPr>
          <w:rFonts w:cs="Calibri"/>
          <w:szCs w:val="24"/>
          <w:lang w:val="zh-CN" w:eastAsia="zh-CN"/>
        </w:rPr>
        <w:t>，使其更加重点突出、更加高效和富有</w:t>
      </w:r>
      <w:r w:rsidRPr="00494E2C">
        <w:rPr>
          <w:rFonts w:cs="Calibri" w:hint="eastAsia"/>
          <w:szCs w:val="24"/>
          <w:lang w:val="zh-CN" w:eastAsia="zh-CN"/>
        </w:rPr>
        <w:t>成效</w:t>
      </w:r>
      <w:r w:rsidRPr="00494E2C">
        <w:rPr>
          <w:rFonts w:cs="Calibri"/>
          <w:szCs w:val="24"/>
          <w:lang w:val="zh-CN" w:eastAsia="zh-CN"/>
        </w:rPr>
        <w:t>。</w:t>
      </w:r>
    </w:p>
    <w:p w14:paraId="28F78D84" w14:textId="350870DC" w:rsidR="00FD7B61" w:rsidRPr="00494E2C" w:rsidRDefault="00FD7B61" w:rsidP="00FD7B61">
      <w:pPr>
        <w:pStyle w:val="enumlev1"/>
        <w:rPr>
          <w:rFonts w:cs="Calibri"/>
          <w:szCs w:val="24"/>
          <w:lang w:val="en-US" w:eastAsia="zh-CN"/>
        </w:rPr>
      </w:pPr>
      <w:r w:rsidRPr="00494E2C">
        <w:rPr>
          <w:rFonts w:cs="Calibri"/>
          <w:szCs w:val="24"/>
          <w:lang w:val="zh-CN" w:eastAsia="zh-CN"/>
        </w:rPr>
        <w:t>•</w:t>
      </w:r>
      <w:r w:rsidRPr="00494E2C">
        <w:rPr>
          <w:rFonts w:cs="Calibri"/>
          <w:szCs w:val="24"/>
          <w:lang w:val="zh-CN" w:eastAsia="zh-CN"/>
        </w:rPr>
        <w:tab/>
      </w:r>
      <w:r w:rsidRPr="00494E2C">
        <w:rPr>
          <w:rFonts w:cs="Calibri"/>
          <w:szCs w:val="24"/>
          <w:lang w:val="zh-CN" w:eastAsia="zh-CN"/>
        </w:rPr>
        <w:t>更新规划、</w:t>
      </w:r>
      <w:r w:rsidRPr="00494E2C">
        <w:rPr>
          <w:rFonts w:cs="Calibri" w:hint="eastAsia"/>
          <w:szCs w:val="24"/>
          <w:lang w:val="zh-CN" w:eastAsia="zh-CN"/>
        </w:rPr>
        <w:t>监督</w:t>
      </w:r>
      <w:r w:rsidRPr="00494E2C">
        <w:rPr>
          <w:rFonts w:cs="Calibri"/>
          <w:szCs w:val="24"/>
          <w:lang w:val="zh-CN" w:eastAsia="zh-CN"/>
        </w:rPr>
        <w:t>和报告工具，例如跨部门协调跟踪</w:t>
      </w:r>
      <w:r w:rsidRPr="00494E2C">
        <w:rPr>
          <w:rFonts w:cs="Calibri" w:hint="eastAsia"/>
          <w:szCs w:val="24"/>
          <w:lang w:val="zh-CN" w:eastAsia="zh-CN"/>
        </w:rPr>
        <w:t>工具</w:t>
      </w:r>
      <w:r w:rsidRPr="00494E2C">
        <w:rPr>
          <w:rFonts w:cs="Calibri"/>
          <w:szCs w:val="24"/>
          <w:lang w:val="zh-CN" w:eastAsia="zh-CN"/>
        </w:rPr>
        <w:t>，秘书处牵头人通过该系统每年通报其主要工作</w:t>
      </w:r>
      <w:r w:rsidRPr="00494E2C">
        <w:rPr>
          <w:rFonts w:cs="Calibri"/>
          <w:szCs w:val="24"/>
          <w:lang w:val="zh-CN" w:eastAsia="zh-CN"/>
        </w:rPr>
        <w:t>/</w:t>
      </w:r>
      <w:r w:rsidRPr="00494E2C">
        <w:rPr>
          <w:rFonts w:cs="Calibri"/>
          <w:szCs w:val="24"/>
          <w:lang w:val="zh-CN" w:eastAsia="zh-CN"/>
        </w:rPr>
        <w:t>活动，供内部规划之用，并建立每年向理事会报告全权代表大会决议落实情况（包括跨部门协调）的网络平台。</w:t>
      </w:r>
    </w:p>
    <w:p w14:paraId="3BFCC7B0" w14:textId="1FDE8223" w:rsidR="00FD7B61" w:rsidRPr="00494E2C" w:rsidRDefault="00FD7B61" w:rsidP="00FD7B61">
      <w:pPr>
        <w:pStyle w:val="enumlev1"/>
        <w:rPr>
          <w:rFonts w:cs="Calibri"/>
          <w:color w:val="0C0C0C"/>
          <w:szCs w:val="24"/>
          <w:lang w:val="en-US" w:eastAsia="zh-CN"/>
        </w:rPr>
      </w:pPr>
      <w:r w:rsidRPr="00494E2C">
        <w:rPr>
          <w:rFonts w:cs="Calibri"/>
          <w:szCs w:val="24"/>
          <w:lang w:val="zh-CN" w:eastAsia="zh-CN"/>
        </w:rPr>
        <w:t>•</w:t>
      </w:r>
      <w:r w:rsidRPr="00494E2C">
        <w:rPr>
          <w:rFonts w:cs="Calibri"/>
          <w:szCs w:val="24"/>
          <w:lang w:val="zh-CN" w:eastAsia="zh-CN"/>
        </w:rPr>
        <w:tab/>
      </w:r>
      <w:r w:rsidRPr="00494E2C">
        <w:rPr>
          <w:rFonts w:cs="Calibri"/>
          <w:szCs w:val="24"/>
          <w:lang w:val="zh-CN" w:eastAsia="zh-CN"/>
        </w:rPr>
        <w:t>修订相关行政规定，通过实施更有力的协调机制（包括规划、监督、评估和报告）</w:t>
      </w:r>
      <w:r w:rsidRPr="00494E2C">
        <w:rPr>
          <w:rFonts w:cs="Calibri" w:hint="eastAsia"/>
          <w:szCs w:val="24"/>
          <w:lang w:val="zh-CN" w:eastAsia="zh-CN"/>
        </w:rPr>
        <w:t>处理已确定的</w:t>
      </w:r>
      <w:r w:rsidRPr="00494E2C">
        <w:rPr>
          <w:rFonts w:cs="Calibri"/>
          <w:szCs w:val="24"/>
          <w:lang w:val="zh-CN" w:eastAsia="zh-CN"/>
        </w:rPr>
        <w:t>共同关心主题，从而提高组织效能并尽可能降低潜在风险。</w:t>
      </w:r>
    </w:p>
    <w:p w14:paraId="6B857065" w14:textId="77777777" w:rsidR="00FD7B61" w:rsidRPr="00FD7B61" w:rsidRDefault="00FD7B61" w:rsidP="00FD7B61">
      <w:pPr>
        <w:tabs>
          <w:tab w:val="clear" w:pos="794"/>
          <w:tab w:val="clear" w:pos="1191"/>
          <w:tab w:val="clear" w:pos="1588"/>
          <w:tab w:val="clear" w:pos="1985"/>
        </w:tabs>
        <w:overflowPunct/>
        <w:autoSpaceDE/>
        <w:autoSpaceDN/>
        <w:adjustRightInd/>
        <w:spacing w:after="120" w:line="280" w:lineRule="exact"/>
        <w:ind w:firstLineChars="200" w:firstLine="480"/>
        <w:jc w:val="both"/>
        <w:textAlignment w:val="auto"/>
        <w:rPr>
          <w:rFonts w:cs="Calibri"/>
          <w:sz w:val="21"/>
          <w:szCs w:val="10"/>
          <w:lang w:val="en-US" w:eastAsia="zh-CN"/>
        </w:rPr>
      </w:pPr>
      <w:r w:rsidRPr="00FD7B61">
        <w:rPr>
          <w:rFonts w:cs="Calibri"/>
          <w:szCs w:val="24"/>
          <w:lang w:val="zh-CN" w:eastAsia="zh-CN"/>
        </w:rPr>
        <w:t>协调整个国际电联工作的跨部门</w:t>
      </w:r>
      <w:r w:rsidRPr="00FD7B61">
        <w:rPr>
          <w:rFonts w:cs="Calibri" w:hint="eastAsia"/>
          <w:szCs w:val="24"/>
          <w:lang w:val="zh-CN" w:eastAsia="zh-CN"/>
        </w:rPr>
        <w:t>团队</w:t>
      </w:r>
      <w:r w:rsidRPr="00FD7B61">
        <w:rPr>
          <w:rFonts w:cs="Calibri"/>
          <w:szCs w:val="24"/>
          <w:lang w:val="zh-CN" w:eastAsia="zh-CN"/>
        </w:rPr>
        <w:t>所取得的具体成果见有关落实国际电联战略规划及活动的理事会</w:t>
      </w:r>
      <w:hyperlink r:id="rId12" w:history="1">
        <w:r w:rsidRPr="00FD7B61">
          <w:rPr>
            <w:rFonts w:cs="Calibri"/>
            <w:color w:val="0563C1"/>
            <w:szCs w:val="24"/>
            <w:u w:val="single"/>
            <w:lang w:val="en-US" w:eastAsia="zh-CN"/>
          </w:rPr>
          <w:t>C24/35</w:t>
        </w:r>
      </w:hyperlink>
      <w:r w:rsidRPr="00FD7B61">
        <w:rPr>
          <w:rFonts w:cs="Calibri"/>
          <w:szCs w:val="24"/>
          <w:lang w:val="zh-CN" w:eastAsia="zh-CN"/>
        </w:rPr>
        <w:t>号文件和有关落实</w:t>
      </w:r>
      <w:r w:rsidRPr="00FD7B61">
        <w:rPr>
          <w:rFonts w:cs="Calibri" w:hint="eastAsia"/>
          <w:szCs w:val="24"/>
          <w:lang w:val="zh-CN" w:eastAsia="zh-CN"/>
        </w:rPr>
        <w:t>“</w:t>
      </w:r>
      <w:r w:rsidRPr="00FD7B61">
        <w:rPr>
          <w:rFonts w:cs="Calibri"/>
          <w:szCs w:val="24"/>
          <w:lang w:val="zh-CN" w:eastAsia="zh-CN"/>
        </w:rPr>
        <w:t>国际电联</w:t>
      </w:r>
      <w:r w:rsidRPr="00FD7B61">
        <w:rPr>
          <w:rFonts w:cs="Calibri" w:hint="eastAsia"/>
          <w:szCs w:val="24"/>
          <w:lang w:val="zh-CN" w:eastAsia="zh-CN"/>
        </w:rPr>
        <w:t>是一家”</w:t>
      </w:r>
      <w:r w:rsidRPr="00FD7B61">
        <w:rPr>
          <w:rFonts w:cs="Calibri"/>
          <w:szCs w:val="24"/>
          <w:lang w:val="zh-CN" w:eastAsia="zh-CN"/>
        </w:rPr>
        <w:t>概念的</w:t>
      </w:r>
      <w:hyperlink r:id="rId13" w:history="1">
        <w:r w:rsidRPr="00FD7B61">
          <w:rPr>
            <w:rFonts w:cs="Calibri"/>
            <w:color w:val="0563C1"/>
            <w:szCs w:val="24"/>
            <w:u w:val="single"/>
            <w:lang w:val="en-US" w:eastAsia="zh-CN"/>
          </w:rPr>
          <w:t>C24/17</w:t>
        </w:r>
      </w:hyperlink>
      <w:r w:rsidRPr="00FD7B61">
        <w:rPr>
          <w:rFonts w:cs="Calibri"/>
          <w:szCs w:val="24"/>
          <w:lang w:val="zh-CN" w:eastAsia="zh-CN"/>
        </w:rPr>
        <w:t>号文件。</w:t>
      </w:r>
    </w:p>
    <w:p w14:paraId="7935BB23" w14:textId="04819740" w:rsidR="00FD7B61" w:rsidRPr="00FD7B61" w:rsidRDefault="00FD7B61" w:rsidP="00FD7B61">
      <w:pPr>
        <w:pStyle w:val="Heading1"/>
        <w:rPr>
          <w:rFonts w:cs="Calibri"/>
          <w:bCs/>
          <w:szCs w:val="24"/>
          <w:lang w:val="en-US" w:eastAsia="zh-CN"/>
        </w:rPr>
      </w:pPr>
      <w:r>
        <w:rPr>
          <w:rFonts w:hint="eastAsia"/>
          <w:lang w:val="zh-CN" w:eastAsia="zh-CN"/>
        </w:rPr>
        <w:t>3</w:t>
      </w:r>
      <w:r>
        <w:rPr>
          <w:lang w:val="zh-CN" w:eastAsia="zh-CN"/>
        </w:rPr>
        <w:tab/>
      </w:r>
      <w:r w:rsidRPr="00FD7B61">
        <w:rPr>
          <w:lang w:val="zh-CN" w:eastAsia="zh-CN"/>
        </w:rPr>
        <w:t>成员之间的协调</w:t>
      </w:r>
      <w:r w:rsidRPr="00FD7B61">
        <w:rPr>
          <w:lang w:val="zh-CN" w:eastAsia="zh-CN"/>
        </w:rPr>
        <w:t xml:space="preserve"> – </w:t>
      </w:r>
      <w:r w:rsidRPr="00FD7B61">
        <w:rPr>
          <w:lang w:val="zh-CN" w:eastAsia="zh-CN"/>
        </w:rPr>
        <w:t>跨部门协调组（</w:t>
      </w:r>
      <w:r w:rsidRPr="00FD7B61">
        <w:rPr>
          <w:lang w:val="zh-CN" w:eastAsia="zh-CN"/>
        </w:rPr>
        <w:t>ISCG</w:t>
      </w:r>
      <w:r w:rsidRPr="00FD7B61">
        <w:rPr>
          <w:lang w:val="zh-CN" w:eastAsia="zh-CN"/>
        </w:rPr>
        <w:t>）</w:t>
      </w:r>
    </w:p>
    <w:p w14:paraId="1D593603" w14:textId="77777777" w:rsidR="00FD7B61" w:rsidRPr="00FD7B61" w:rsidRDefault="00FD7B61" w:rsidP="00DD6C79">
      <w:pPr>
        <w:ind w:firstLineChars="200" w:firstLine="480"/>
        <w:rPr>
          <w:rFonts w:cs="Calibri"/>
          <w:szCs w:val="24"/>
          <w:lang w:val="en-US" w:eastAsia="zh-CN"/>
        </w:rPr>
      </w:pPr>
      <w:r w:rsidRPr="00FD7B61">
        <w:rPr>
          <w:lang w:val="zh-CN" w:eastAsia="zh-CN"/>
        </w:rPr>
        <w:t>成员协调工作继续由</w:t>
      </w:r>
      <w:r w:rsidRPr="00FD7B61">
        <w:rPr>
          <w:lang w:val="zh-CN" w:eastAsia="zh-CN"/>
        </w:rPr>
        <w:t>ISCG</w:t>
      </w:r>
      <w:r w:rsidRPr="00FD7B61">
        <w:rPr>
          <w:lang w:val="zh-CN" w:eastAsia="zh-CN"/>
        </w:rPr>
        <w:t>负责，</w:t>
      </w:r>
      <w:r w:rsidRPr="00FD7B61">
        <w:rPr>
          <w:lang w:val="zh-CN" w:eastAsia="zh-CN"/>
        </w:rPr>
        <w:t>ISCG</w:t>
      </w:r>
      <w:r w:rsidRPr="00FD7B61">
        <w:rPr>
          <w:lang w:val="zh-CN" w:eastAsia="zh-CN"/>
        </w:rPr>
        <w:t>由</w:t>
      </w:r>
      <w:r w:rsidRPr="00FD7B61">
        <w:rPr>
          <w:lang w:val="zh-CN" w:eastAsia="zh-CN"/>
        </w:rPr>
        <w:t>Fabio Bigi</w:t>
      </w:r>
      <w:r w:rsidRPr="00FD7B61">
        <w:rPr>
          <w:lang w:val="zh-CN" w:eastAsia="zh-CN"/>
        </w:rPr>
        <w:t>先生（意大利）担任主席，是一个文稿驱动的小组。</w:t>
      </w:r>
    </w:p>
    <w:p w14:paraId="0279D428" w14:textId="77777777" w:rsidR="00FD7B61" w:rsidRPr="00FD7B61" w:rsidRDefault="00FD7B61" w:rsidP="00DD6C79">
      <w:pPr>
        <w:ind w:firstLineChars="200" w:firstLine="480"/>
        <w:rPr>
          <w:lang w:val="zh-CN" w:eastAsia="zh-CN"/>
        </w:rPr>
      </w:pPr>
      <w:r w:rsidRPr="00FD7B61">
        <w:rPr>
          <w:lang w:val="zh-CN" w:eastAsia="zh-CN"/>
        </w:rPr>
        <w:t>作为</w:t>
      </w:r>
      <w:r w:rsidRPr="00FD7B61">
        <w:rPr>
          <w:rFonts w:hint="eastAsia"/>
          <w:lang w:val="zh-CN" w:eastAsia="zh-CN"/>
        </w:rPr>
        <w:t>一种</w:t>
      </w:r>
      <w:r w:rsidRPr="00FD7B61">
        <w:rPr>
          <w:lang w:val="zh-CN" w:eastAsia="zh-CN"/>
        </w:rPr>
        <w:t>成员协调机制，自向理事会</w:t>
      </w:r>
      <w:r w:rsidRPr="00FD7B61">
        <w:rPr>
          <w:lang w:val="zh-CN" w:eastAsia="zh-CN"/>
        </w:rPr>
        <w:t>2023</w:t>
      </w:r>
      <w:r w:rsidRPr="00FD7B61">
        <w:rPr>
          <w:lang w:val="zh-CN" w:eastAsia="zh-CN"/>
        </w:rPr>
        <w:t>年会议提交上一份报告之后，</w:t>
      </w:r>
      <w:r w:rsidRPr="00FD7B61">
        <w:rPr>
          <w:lang w:val="zh-CN" w:eastAsia="zh-CN"/>
        </w:rPr>
        <w:t>ISCG</w:t>
      </w:r>
      <w:r w:rsidRPr="00FD7B61">
        <w:rPr>
          <w:lang w:val="zh-CN" w:eastAsia="zh-CN"/>
        </w:rPr>
        <w:t>将举行两次</w:t>
      </w:r>
      <w:r w:rsidRPr="00FD7B61">
        <w:rPr>
          <w:rFonts w:hint="eastAsia"/>
          <w:lang w:val="zh-CN" w:eastAsia="zh-CN"/>
        </w:rPr>
        <w:t>联合</w:t>
      </w:r>
      <w:r w:rsidRPr="00FD7B61">
        <w:rPr>
          <w:lang w:val="zh-CN" w:eastAsia="zh-CN"/>
        </w:rPr>
        <w:t>会议</w:t>
      </w:r>
      <w:r w:rsidRPr="00FD7B61">
        <w:rPr>
          <w:rFonts w:hint="eastAsia"/>
          <w:lang w:val="zh-CN" w:eastAsia="zh-CN"/>
        </w:rPr>
        <w:t>：</w:t>
      </w:r>
      <w:r w:rsidRPr="00FD7B61">
        <w:rPr>
          <w:lang w:val="zh-CN" w:eastAsia="zh-CN"/>
        </w:rPr>
        <w:t>2024</w:t>
      </w:r>
      <w:r w:rsidRPr="00FD7B61">
        <w:rPr>
          <w:lang w:val="zh-CN" w:eastAsia="zh-CN"/>
        </w:rPr>
        <w:t>年</w:t>
      </w:r>
      <w:r w:rsidRPr="00FD7B61">
        <w:rPr>
          <w:lang w:val="zh-CN" w:eastAsia="zh-CN"/>
        </w:rPr>
        <w:t>1</w:t>
      </w:r>
      <w:r w:rsidRPr="00FD7B61">
        <w:rPr>
          <w:lang w:val="zh-CN" w:eastAsia="zh-CN"/>
        </w:rPr>
        <w:t>月</w:t>
      </w:r>
      <w:r w:rsidRPr="00FD7B61">
        <w:rPr>
          <w:lang w:val="zh-CN" w:eastAsia="zh-CN"/>
        </w:rPr>
        <w:t>24</w:t>
      </w:r>
      <w:r w:rsidRPr="00FD7B61">
        <w:rPr>
          <w:lang w:val="zh-CN" w:eastAsia="zh-CN"/>
        </w:rPr>
        <w:t>日与电信标准化顾问组（</w:t>
      </w:r>
      <w:r w:rsidRPr="00FD7B61">
        <w:rPr>
          <w:lang w:val="zh-CN" w:eastAsia="zh-CN"/>
        </w:rPr>
        <w:t>TSAG</w:t>
      </w:r>
      <w:r w:rsidRPr="00FD7B61">
        <w:rPr>
          <w:lang w:val="zh-CN" w:eastAsia="zh-CN"/>
        </w:rPr>
        <w:t>）</w:t>
      </w:r>
      <w:r w:rsidRPr="00FD7B61">
        <w:rPr>
          <w:rFonts w:hint="eastAsia"/>
          <w:lang w:val="zh-CN" w:eastAsia="zh-CN"/>
        </w:rPr>
        <w:t>；以及</w:t>
      </w:r>
      <w:r w:rsidRPr="00FD7B61">
        <w:rPr>
          <w:lang w:val="zh-CN" w:eastAsia="zh-CN"/>
        </w:rPr>
        <w:t>2024</w:t>
      </w:r>
      <w:r w:rsidRPr="00FD7B61">
        <w:rPr>
          <w:lang w:val="zh-CN" w:eastAsia="zh-CN"/>
        </w:rPr>
        <w:t>年</w:t>
      </w:r>
      <w:r w:rsidRPr="00FD7B61">
        <w:rPr>
          <w:lang w:val="zh-CN" w:eastAsia="zh-CN"/>
        </w:rPr>
        <w:t>5</w:t>
      </w:r>
      <w:r w:rsidRPr="00FD7B61">
        <w:rPr>
          <w:lang w:val="zh-CN" w:eastAsia="zh-CN"/>
        </w:rPr>
        <w:t>月</w:t>
      </w:r>
      <w:r w:rsidRPr="00FD7B61">
        <w:rPr>
          <w:lang w:val="zh-CN" w:eastAsia="zh-CN"/>
        </w:rPr>
        <w:t>21</w:t>
      </w:r>
      <w:r w:rsidRPr="00FD7B61">
        <w:rPr>
          <w:lang w:val="zh-CN" w:eastAsia="zh-CN"/>
        </w:rPr>
        <w:t>日与电信发展顾问组（</w:t>
      </w:r>
      <w:r w:rsidRPr="00FD7B61">
        <w:rPr>
          <w:lang w:val="zh-CN" w:eastAsia="zh-CN"/>
        </w:rPr>
        <w:t>TDAG</w:t>
      </w:r>
      <w:r w:rsidRPr="00FD7B61">
        <w:rPr>
          <w:lang w:val="zh-CN" w:eastAsia="zh-CN"/>
        </w:rPr>
        <w:t>）。两次会议均在国际电联总部（日内瓦）举行，允许通过</w:t>
      </w:r>
      <w:r w:rsidRPr="00FD7B61">
        <w:rPr>
          <w:lang w:val="zh-CN" w:eastAsia="zh-CN"/>
        </w:rPr>
        <w:lastRenderedPageBreak/>
        <w:t>Zoom</w:t>
      </w:r>
      <w:r w:rsidRPr="00FD7B61">
        <w:rPr>
          <w:lang w:val="zh-CN" w:eastAsia="zh-CN"/>
        </w:rPr>
        <w:t>平台进行远程参会并提供字幕。成果报告和行动呼吁定期提交各部门顾问组，并在必要时提交理事会财务和人力资源工作组（</w:t>
      </w:r>
      <w:r w:rsidRPr="00FD7B61">
        <w:rPr>
          <w:lang w:val="zh-CN" w:eastAsia="zh-CN"/>
        </w:rPr>
        <w:t>CWG-FHR</w:t>
      </w:r>
      <w:r w:rsidRPr="00FD7B61">
        <w:rPr>
          <w:lang w:val="zh-CN" w:eastAsia="zh-CN"/>
        </w:rPr>
        <w:t>）。</w:t>
      </w:r>
    </w:p>
    <w:p w14:paraId="16CCA573" w14:textId="77777777" w:rsidR="00FD7B61" w:rsidRPr="00FD7B61" w:rsidRDefault="00FD7B61" w:rsidP="00DD6C79">
      <w:pPr>
        <w:ind w:firstLineChars="200" w:firstLine="480"/>
        <w:rPr>
          <w:lang w:val="en-US" w:eastAsia="zh-CN"/>
        </w:rPr>
      </w:pPr>
      <w:r w:rsidRPr="00FD7B61">
        <w:rPr>
          <w:lang w:val="zh-CN" w:eastAsia="zh-CN"/>
        </w:rPr>
        <w:t>ISCG</w:t>
      </w:r>
      <w:r w:rsidRPr="00FD7B61">
        <w:rPr>
          <w:lang w:val="zh-CN" w:eastAsia="zh-CN"/>
        </w:rPr>
        <w:t>继续将无障碍获取、气候变化和虚拟会议</w:t>
      </w:r>
      <w:r w:rsidRPr="00FD7B61">
        <w:rPr>
          <w:lang w:val="zh-CN" w:eastAsia="zh-CN"/>
        </w:rPr>
        <w:t>/</w:t>
      </w:r>
      <w:r w:rsidRPr="00FD7B61">
        <w:rPr>
          <w:lang w:val="zh-CN" w:eastAsia="zh-CN"/>
        </w:rPr>
        <w:t>远程参会作为其共同关心的主要议题加以研究，以确定成员的需求，并向秘书处就如何</w:t>
      </w:r>
      <w:r w:rsidRPr="00FD7B61">
        <w:rPr>
          <w:rFonts w:hint="eastAsia"/>
          <w:lang w:val="zh-CN" w:eastAsia="zh-CN"/>
        </w:rPr>
        <w:t>开展</w:t>
      </w:r>
      <w:r w:rsidRPr="00FD7B61">
        <w:rPr>
          <w:lang w:val="zh-CN" w:eastAsia="zh-CN"/>
        </w:rPr>
        <w:t>最佳协调提出必要的建议。根据</w:t>
      </w:r>
      <w:r w:rsidRPr="00FD7B61">
        <w:rPr>
          <w:lang w:val="zh-CN" w:eastAsia="zh-CN"/>
        </w:rPr>
        <w:t>2024</w:t>
      </w:r>
      <w:r w:rsidRPr="00FD7B61">
        <w:rPr>
          <w:lang w:val="zh-CN" w:eastAsia="zh-CN"/>
        </w:rPr>
        <w:t>年</w:t>
      </w:r>
      <w:r w:rsidRPr="00FD7B61">
        <w:rPr>
          <w:lang w:val="zh-CN" w:eastAsia="zh-CN"/>
        </w:rPr>
        <w:t>3</w:t>
      </w:r>
      <w:r w:rsidRPr="00FD7B61">
        <w:rPr>
          <w:lang w:val="zh-CN" w:eastAsia="zh-CN"/>
        </w:rPr>
        <w:t>月举行的无线电通信顾问组（</w:t>
      </w:r>
      <w:r w:rsidRPr="00FD7B61">
        <w:rPr>
          <w:lang w:val="zh-CN" w:eastAsia="zh-CN"/>
        </w:rPr>
        <w:t>RAG</w:t>
      </w:r>
      <w:r w:rsidRPr="00FD7B61">
        <w:rPr>
          <w:lang w:val="zh-CN" w:eastAsia="zh-CN"/>
        </w:rPr>
        <w:t>）会议的建议，</w:t>
      </w:r>
      <w:r w:rsidRPr="00FD7B61">
        <w:rPr>
          <w:lang w:val="zh-CN" w:eastAsia="zh-CN"/>
        </w:rPr>
        <w:t>ISCG</w:t>
      </w:r>
      <w:r w:rsidRPr="00FD7B61">
        <w:rPr>
          <w:lang w:val="zh-CN" w:eastAsia="zh-CN"/>
        </w:rPr>
        <w:t>同意将对可持续数字化转型的跟进工作作为需要</w:t>
      </w:r>
      <w:proofErr w:type="gramStart"/>
      <w:r w:rsidRPr="00FD7B61">
        <w:rPr>
          <w:rFonts w:hint="eastAsia"/>
          <w:lang w:val="zh-CN" w:eastAsia="zh-CN"/>
        </w:rPr>
        <w:t>全国际电联确定</w:t>
      </w:r>
      <w:proofErr w:type="gramEnd"/>
      <w:r w:rsidRPr="00FD7B61">
        <w:rPr>
          <w:rFonts w:hint="eastAsia"/>
          <w:lang w:val="zh-CN" w:eastAsia="zh-CN"/>
        </w:rPr>
        <w:t>方法和开展协调</w:t>
      </w:r>
      <w:r w:rsidRPr="00FD7B61">
        <w:rPr>
          <w:lang w:val="zh-CN" w:eastAsia="zh-CN"/>
        </w:rPr>
        <w:t>的主题。</w:t>
      </w:r>
    </w:p>
    <w:p w14:paraId="43F3F8FB" w14:textId="77777777" w:rsidR="00FD7B61" w:rsidRPr="00FD7B61" w:rsidRDefault="00FD7B61" w:rsidP="00DD6C79">
      <w:pPr>
        <w:ind w:firstLineChars="200" w:firstLine="480"/>
        <w:rPr>
          <w:lang w:val="zh-CN" w:eastAsia="zh-CN"/>
        </w:rPr>
      </w:pPr>
      <w:r w:rsidRPr="00FD7B61">
        <w:rPr>
          <w:lang w:val="zh-CN" w:eastAsia="zh-CN"/>
        </w:rPr>
        <w:t>ISCG</w:t>
      </w:r>
      <w:r w:rsidRPr="00FD7B61">
        <w:rPr>
          <w:rFonts w:hint="eastAsia"/>
          <w:lang w:val="zh-CN" w:eastAsia="zh-CN"/>
        </w:rPr>
        <w:t>亦</w:t>
      </w:r>
      <w:r w:rsidRPr="00FD7B61">
        <w:rPr>
          <w:lang w:val="zh-CN" w:eastAsia="zh-CN"/>
        </w:rPr>
        <w:t>表示有兴趣参与新办公楼项目，以确保所有无障碍</w:t>
      </w:r>
      <w:r w:rsidRPr="00FD7B61">
        <w:rPr>
          <w:rFonts w:hint="eastAsia"/>
          <w:lang w:val="zh-CN" w:eastAsia="zh-CN"/>
        </w:rPr>
        <w:t>通行</w:t>
      </w:r>
      <w:r w:rsidRPr="00FD7B61">
        <w:rPr>
          <w:lang w:val="zh-CN" w:eastAsia="zh-CN"/>
        </w:rPr>
        <w:t>问题</w:t>
      </w:r>
      <w:r w:rsidRPr="00FD7B61">
        <w:rPr>
          <w:rFonts w:hint="eastAsia"/>
          <w:lang w:val="zh-CN" w:eastAsia="zh-CN"/>
        </w:rPr>
        <w:t>均</w:t>
      </w:r>
      <w:r w:rsidRPr="00FD7B61">
        <w:rPr>
          <w:lang w:val="zh-CN" w:eastAsia="zh-CN"/>
        </w:rPr>
        <w:t>得到考虑</w:t>
      </w:r>
      <w:r w:rsidRPr="00FD7B61">
        <w:rPr>
          <w:rFonts w:hint="eastAsia"/>
          <w:lang w:val="zh-CN" w:eastAsia="zh-CN"/>
        </w:rPr>
        <w:t>；</w:t>
      </w:r>
      <w:r w:rsidRPr="00FD7B61">
        <w:rPr>
          <w:lang w:val="zh-CN" w:eastAsia="zh-CN"/>
        </w:rPr>
        <w:t>并研究使国际电</w:t>
      </w:r>
      <w:proofErr w:type="gramStart"/>
      <w:r w:rsidRPr="00FD7B61">
        <w:rPr>
          <w:lang w:val="zh-CN" w:eastAsia="zh-CN"/>
        </w:rPr>
        <w:t>联网站更加</w:t>
      </w:r>
      <w:proofErr w:type="gramEnd"/>
      <w:r w:rsidRPr="00FD7B61">
        <w:rPr>
          <w:lang w:val="zh-CN" w:eastAsia="zh-CN"/>
        </w:rPr>
        <w:t>安全、便于搜索、多语言、更加和谐和以用户为中心的战略，包括在同等地位上使用国际电联的六种正式语文。</w:t>
      </w:r>
    </w:p>
    <w:p w14:paraId="01A39B9D" w14:textId="77777777" w:rsidR="00FD7B61" w:rsidRPr="00FD7B61" w:rsidRDefault="00FD7B61" w:rsidP="00DD6C79">
      <w:pPr>
        <w:ind w:firstLineChars="200" w:firstLine="480"/>
        <w:rPr>
          <w:lang w:val="zh-CN" w:eastAsia="zh-CN"/>
        </w:rPr>
      </w:pPr>
      <w:r w:rsidRPr="00FD7B61">
        <w:rPr>
          <w:lang w:val="zh-CN" w:eastAsia="zh-CN"/>
        </w:rPr>
        <w:t>ISCG</w:t>
      </w:r>
      <w:r w:rsidRPr="00FD7B61">
        <w:rPr>
          <w:lang w:val="zh-CN" w:eastAsia="zh-CN"/>
        </w:rPr>
        <w:t>强调了采取更积极主动方法的重要性，以及该组在满足精简决议和</w:t>
      </w:r>
      <w:r w:rsidRPr="00FD7B61">
        <w:rPr>
          <w:lang w:val="zh-CN" w:eastAsia="zh-CN"/>
        </w:rPr>
        <w:t>/</w:t>
      </w:r>
      <w:r w:rsidRPr="00FD7B61">
        <w:rPr>
          <w:lang w:val="zh-CN" w:eastAsia="zh-CN"/>
        </w:rPr>
        <w:t>或</w:t>
      </w:r>
      <w:r w:rsidRPr="00FD7B61">
        <w:rPr>
          <w:rFonts w:hint="eastAsia"/>
          <w:lang w:val="zh-CN" w:eastAsia="zh-CN"/>
        </w:rPr>
        <w:t>需要</w:t>
      </w:r>
      <w:r w:rsidRPr="00FD7B61">
        <w:rPr>
          <w:lang w:val="zh-CN" w:eastAsia="zh-CN"/>
        </w:rPr>
        <w:t>更好地</w:t>
      </w:r>
      <w:r w:rsidRPr="00FD7B61">
        <w:rPr>
          <w:rFonts w:hint="eastAsia"/>
          <w:lang w:val="zh-CN" w:eastAsia="zh-CN"/>
        </w:rPr>
        <w:t>在</w:t>
      </w:r>
      <w:r w:rsidRPr="00FD7B61">
        <w:rPr>
          <w:lang w:val="zh-CN" w:eastAsia="zh-CN"/>
        </w:rPr>
        <w:t>各部门和</w:t>
      </w:r>
      <w:r w:rsidRPr="00FD7B61">
        <w:rPr>
          <w:lang w:val="zh-CN" w:eastAsia="zh-CN"/>
        </w:rPr>
        <w:t>/</w:t>
      </w:r>
      <w:r w:rsidRPr="00FD7B61">
        <w:rPr>
          <w:lang w:val="zh-CN" w:eastAsia="zh-CN"/>
        </w:rPr>
        <w:t>或全权代表大会</w:t>
      </w:r>
      <w:r w:rsidRPr="00FD7B61">
        <w:rPr>
          <w:rFonts w:hint="eastAsia"/>
          <w:lang w:val="zh-CN" w:eastAsia="zh-CN"/>
        </w:rPr>
        <w:t>下</w:t>
      </w:r>
      <w:r w:rsidRPr="00FD7B61">
        <w:rPr>
          <w:lang w:val="zh-CN" w:eastAsia="zh-CN"/>
        </w:rPr>
        <w:t>分配主题方面的顾问作用。作为一个成员驱动的小组，</w:t>
      </w:r>
      <w:r w:rsidRPr="00FD7B61">
        <w:rPr>
          <w:lang w:val="zh-CN" w:eastAsia="zh-CN"/>
        </w:rPr>
        <w:t>ISCG</w:t>
      </w:r>
      <w:r w:rsidRPr="00FD7B61">
        <w:rPr>
          <w:lang w:val="zh-CN" w:eastAsia="zh-CN"/>
        </w:rPr>
        <w:t>的主要目标是转达成员的关切，并提出改进跨部门协调的方法。</w:t>
      </w:r>
    </w:p>
    <w:p w14:paraId="7C95951F" w14:textId="77777777" w:rsidR="00FD7B61" w:rsidRPr="00FD7B61" w:rsidRDefault="00FD7B61" w:rsidP="00DD6C79">
      <w:pPr>
        <w:ind w:firstLineChars="200" w:firstLine="480"/>
        <w:rPr>
          <w:lang w:val="en-US" w:eastAsia="zh-CN"/>
        </w:rPr>
      </w:pPr>
      <w:r w:rsidRPr="00FD7B61">
        <w:rPr>
          <w:lang w:val="zh-CN" w:eastAsia="zh-CN"/>
        </w:rPr>
        <w:t>有关</w:t>
      </w:r>
      <w:r w:rsidRPr="00FD7B61">
        <w:rPr>
          <w:lang w:val="zh-CN" w:eastAsia="zh-CN"/>
        </w:rPr>
        <w:t>ISCG</w:t>
      </w:r>
      <w:r w:rsidRPr="00FD7B61">
        <w:rPr>
          <w:lang w:val="zh-CN" w:eastAsia="zh-CN"/>
        </w:rPr>
        <w:t>的更多信息，如会议报告和讨论的文件，</w:t>
      </w:r>
      <w:r w:rsidRPr="00FD7B61">
        <w:rPr>
          <w:rFonts w:hint="eastAsia"/>
          <w:lang w:val="zh-CN" w:eastAsia="zh-CN"/>
        </w:rPr>
        <w:t>可查阅</w:t>
      </w:r>
      <w:hyperlink r:id="rId14" w:history="1">
        <w:r w:rsidRPr="00FD7B61">
          <w:rPr>
            <w:color w:val="0563C1"/>
            <w:u w:val="single"/>
            <w:lang w:val="zh-CN" w:eastAsia="zh-CN"/>
          </w:rPr>
          <w:t>ISCG</w:t>
        </w:r>
        <w:r w:rsidRPr="00FD7B61">
          <w:rPr>
            <w:color w:val="0563C1"/>
            <w:u w:val="single"/>
            <w:lang w:val="zh-CN" w:eastAsia="zh-CN"/>
          </w:rPr>
          <w:t>网页</w:t>
        </w:r>
      </w:hyperlink>
      <w:r w:rsidRPr="00FD7B61">
        <w:rPr>
          <w:lang w:val="zh-CN" w:eastAsia="zh-CN"/>
        </w:rPr>
        <w:t>。</w:t>
      </w:r>
    </w:p>
    <w:p w14:paraId="1186C438" w14:textId="77777777" w:rsidR="00FD7B61" w:rsidRPr="00FD7B61" w:rsidRDefault="00FD7B61" w:rsidP="00B53EEE">
      <w:pPr>
        <w:ind w:firstLineChars="200" w:firstLine="420"/>
        <w:jc w:val="center"/>
        <w:rPr>
          <w:sz w:val="21"/>
          <w:szCs w:val="10"/>
          <w:lang w:val="en-US" w:eastAsia="zh-CN"/>
        </w:rPr>
      </w:pPr>
      <w:r w:rsidRPr="00FD7B61">
        <w:rPr>
          <w:sz w:val="21"/>
          <w:szCs w:val="10"/>
          <w:lang w:val="zh-CN" w:eastAsia="zh-CN"/>
        </w:rPr>
        <w:t>____________</w:t>
      </w:r>
    </w:p>
    <w:sectPr w:rsidR="00FD7B61" w:rsidRPr="00FD7B61"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D5F98DB" w:rsidR="00E24D59" w:rsidRDefault="00E24D59" w:rsidP="00E24D59">
          <w:pPr>
            <w:pStyle w:val="Header"/>
            <w:jc w:val="left"/>
            <w:rPr>
              <w:noProof/>
            </w:rPr>
          </w:pPr>
        </w:p>
      </w:tc>
      <w:tc>
        <w:tcPr>
          <w:tcW w:w="8261" w:type="dxa"/>
        </w:tcPr>
        <w:p w14:paraId="128C249C" w14:textId="74B48BA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FD7B61">
            <w:rPr>
              <w:rFonts w:eastAsiaTheme="minorEastAsia" w:hint="eastAsia"/>
              <w:bCs/>
              <w:lang w:eastAsia="zh-CN"/>
            </w:rPr>
            <w:t>27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1275AFA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7786F">
            <w:rPr>
              <w:bCs/>
            </w:rPr>
            <w:t>27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C6D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44BB2"/>
    <w:multiLevelType w:val="multilevel"/>
    <w:tmpl w:val="7E4246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FA36FC"/>
    <w:multiLevelType w:val="hybridMultilevel"/>
    <w:tmpl w:val="28CC8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6"/>
  </w:num>
  <w:num w:numId="5" w16cid:durableId="2033219779">
    <w:abstractNumId w:val="8"/>
  </w:num>
  <w:num w:numId="6" w16cid:durableId="349645790">
    <w:abstractNumId w:val="7"/>
  </w:num>
  <w:num w:numId="7" w16cid:durableId="1451586466">
    <w:abstractNumId w:val="2"/>
  </w:num>
  <w:num w:numId="8" w16cid:durableId="1914122636">
    <w:abstractNumId w:val="1"/>
    <w:lvlOverride w:ilvl="0">
      <w:lvl w:ilvl="0">
        <w:start w:val="1"/>
        <w:numFmt w:val="decimal"/>
        <w:lvlText w:val="%1."/>
        <w:lvlJc w:val="left"/>
        <w:pPr>
          <w:ind w:left="360" w:hanging="360"/>
        </w:pPr>
      </w:lvl>
    </w:lvlOverride>
  </w:num>
  <w:num w:numId="9" w16cid:durableId="1890266443">
    <w:abstractNumId w:val="5"/>
    <w:lvlOverride w:ilvl="0">
      <w:lvl w:ilvl="0" w:tplc="08090001">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87B0E"/>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4449"/>
    <w:rsid w:val="0027786F"/>
    <w:rsid w:val="00280EB8"/>
    <w:rsid w:val="002A6670"/>
    <w:rsid w:val="00303502"/>
    <w:rsid w:val="00325C25"/>
    <w:rsid w:val="00372C8F"/>
    <w:rsid w:val="00380ECE"/>
    <w:rsid w:val="00393DDF"/>
    <w:rsid w:val="00397F55"/>
    <w:rsid w:val="003B4454"/>
    <w:rsid w:val="003B6961"/>
    <w:rsid w:val="003C2E37"/>
    <w:rsid w:val="003F1415"/>
    <w:rsid w:val="0040144C"/>
    <w:rsid w:val="00403EB7"/>
    <w:rsid w:val="00430BF0"/>
    <w:rsid w:val="004672E6"/>
    <w:rsid w:val="00474ED1"/>
    <w:rsid w:val="00493085"/>
    <w:rsid w:val="00494E2C"/>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56B84"/>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613FB"/>
    <w:rsid w:val="00A71B57"/>
    <w:rsid w:val="00AB42C1"/>
    <w:rsid w:val="00AC516F"/>
    <w:rsid w:val="00AE195F"/>
    <w:rsid w:val="00AE2926"/>
    <w:rsid w:val="00B0184B"/>
    <w:rsid w:val="00B035CD"/>
    <w:rsid w:val="00B0769D"/>
    <w:rsid w:val="00B217F8"/>
    <w:rsid w:val="00B22D36"/>
    <w:rsid w:val="00B332EA"/>
    <w:rsid w:val="00B40A53"/>
    <w:rsid w:val="00B45365"/>
    <w:rsid w:val="00B46A65"/>
    <w:rsid w:val="00B53EEE"/>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D6C79"/>
    <w:rsid w:val="00DE196D"/>
    <w:rsid w:val="00DF6B49"/>
    <w:rsid w:val="00E067C5"/>
    <w:rsid w:val="00E24D59"/>
    <w:rsid w:val="00E265BF"/>
    <w:rsid w:val="00E378D8"/>
    <w:rsid w:val="00E43A12"/>
    <w:rsid w:val="00E67C67"/>
    <w:rsid w:val="00E77476"/>
    <w:rsid w:val="00E8228B"/>
    <w:rsid w:val="00EC7FBE"/>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D7B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C.pdf" TargetMode="External"/><Relationship Id="rId13" Type="http://schemas.openxmlformats.org/officeDocument/2006/relationships/hyperlink" Target="https://www.itu.int/md/S24-CL-C-0017/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35/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DEC-005-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191-C.pdf" TargetMode="External"/><Relationship Id="rId14" Type="http://schemas.openxmlformats.org/officeDocument/2006/relationships/hyperlink" Target="https://www.itu.int/en/general-secretariat/Pages/ISCG/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0</TotalTime>
  <Pages>3</Pages>
  <Words>1595</Words>
  <Characters>798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Brouard, Ricarda</cp:lastModifiedBy>
  <cp:revision>2</cp:revision>
  <cp:lastPrinted>2015-02-24T13:23:00Z</cp:lastPrinted>
  <dcterms:created xsi:type="dcterms:W3CDTF">2024-05-23T16:04:00Z</dcterms:created>
  <dcterms:modified xsi:type="dcterms:W3CDTF">2024-05-23T16:04:00Z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