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15D71F29" w14:textId="77777777" w:rsidTr="00F363FE">
        <w:tc>
          <w:tcPr>
            <w:tcW w:w="6512" w:type="dxa"/>
          </w:tcPr>
          <w:p w14:paraId="6C6F06A3" w14:textId="4203D27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0479C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479C9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7A5E7C65" w14:textId="3340983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0479C9">
              <w:rPr>
                <w:b/>
                <w:bCs/>
                <w:lang w:bidi="ar-EG"/>
              </w:rPr>
              <w:t>27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7C6FAD61" w14:textId="77777777" w:rsidTr="00F363FE">
        <w:tc>
          <w:tcPr>
            <w:tcW w:w="6512" w:type="dxa"/>
          </w:tcPr>
          <w:p w14:paraId="78D3341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9827281" w14:textId="24C539F7" w:rsidR="007B0AA0" w:rsidRPr="007B0AA0" w:rsidRDefault="000479C9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6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4E500ED2" w14:textId="77777777" w:rsidTr="00F363FE">
        <w:tc>
          <w:tcPr>
            <w:tcW w:w="6512" w:type="dxa"/>
          </w:tcPr>
          <w:p w14:paraId="635B5F5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366802D" w14:textId="3C251D4A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0479C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03F00B32" w14:textId="77777777" w:rsidTr="00F363FE">
        <w:tc>
          <w:tcPr>
            <w:tcW w:w="6512" w:type="dxa"/>
          </w:tcPr>
          <w:p w14:paraId="70556B46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801463B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5F6EE22" w14:textId="77777777" w:rsidTr="00EE7446">
        <w:tc>
          <w:tcPr>
            <w:tcW w:w="9629" w:type="dxa"/>
            <w:gridSpan w:val="2"/>
          </w:tcPr>
          <w:p w14:paraId="2AEA34C3" w14:textId="53F96B52" w:rsidR="007B0AA0" w:rsidRDefault="000479C9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1F5189F5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D1A91A1" w14:textId="18273A3D" w:rsidR="007B0AA0" w:rsidRDefault="000479C9" w:rsidP="007B0AA0">
            <w:pPr>
              <w:pStyle w:val="Subtitle0"/>
            </w:pPr>
            <w:bookmarkStart w:id="0" w:name="_Hlk108797253"/>
            <w:bookmarkStart w:id="1" w:name="_Hlk164768518"/>
            <w:r w:rsidRPr="0046172E">
              <w:rPr>
                <w:rtl/>
              </w:rPr>
              <w:t>استراتيجية تنسيق الجهود بين قطاعات الاتحاد الثلاثة</w:t>
            </w:r>
            <w:bookmarkEnd w:id="0"/>
            <w:bookmarkEnd w:id="1"/>
          </w:p>
        </w:tc>
      </w:tr>
      <w:tr w:rsidR="007B0AA0" w14:paraId="0F87FF82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645E3" w14:textId="78422901" w:rsidR="007B0AA0" w:rsidRPr="000479C9" w:rsidRDefault="007B0AA0" w:rsidP="000479C9">
            <w:pPr>
              <w:rPr>
                <w:b/>
                <w:bCs/>
                <w:rtl/>
              </w:rPr>
            </w:pPr>
            <w:r w:rsidRPr="000479C9">
              <w:rPr>
                <w:rFonts w:hint="cs"/>
                <w:b/>
                <w:bCs/>
                <w:rtl/>
              </w:rPr>
              <w:t>الغرض</w:t>
            </w:r>
          </w:p>
          <w:p w14:paraId="73A50F92" w14:textId="0D394792" w:rsidR="000479C9" w:rsidRPr="000479C9" w:rsidRDefault="000479C9" w:rsidP="000479C9">
            <w:r w:rsidRPr="000479C9">
              <w:rPr>
                <w:rtl/>
              </w:rPr>
              <w:t>تعرض هذه الوثيقة تقريراً بشأن تنفيذ القرار 191</w:t>
            </w:r>
            <w:r>
              <w:rPr>
                <w:rFonts w:hint="cs"/>
                <w:rtl/>
              </w:rPr>
              <w:t> </w:t>
            </w:r>
            <w:r w:rsidRPr="000479C9">
              <w:rPr>
                <w:rtl/>
              </w:rPr>
              <w:t xml:space="preserve">(المراجَع في بوخارست، 2022) </w:t>
            </w:r>
            <w:r w:rsidR="001100A7">
              <w:rPr>
                <w:rFonts w:hint="cs"/>
                <w:rtl/>
              </w:rPr>
              <w:t xml:space="preserve">لمؤتمر المندوبين المفوضين </w:t>
            </w:r>
            <w:r w:rsidRPr="000479C9">
              <w:rPr>
                <w:rtl/>
              </w:rPr>
              <w:t>المتعلق باستراتيجية تنسيق الجهود بين قطاعات الاتحاد الثلاثة</w:t>
            </w:r>
            <w:r w:rsidR="001100A7">
              <w:rPr>
                <w:rFonts w:hint="cs"/>
                <w:rtl/>
              </w:rPr>
              <w:t xml:space="preserve"> والأمانة العامة</w:t>
            </w:r>
            <w:r w:rsidRPr="000479C9">
              <w:rPr>
                <w:rtl/>
              </w:rPr>
              <w:t>.</w:t>
            </w:r>
          </w:p>
          <w:p w14:paraId="1E535871" w14:textId="77777777" w:rsidR="000479C9" w:rsidRPr="000479C9" w:rsidRDefault="000479C9" w:rsidP="000479C9">
            <w:pPr>
              <w:rPr>
                <w:b/>
                <w:bCs/>
                <w:rtl/>
              </w:rPr>
            </w:pPr>
            <w:r w:rsidRPr="000479C9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7E749906" w14:textId="77777777" w:rsidR="000479C9" w:rsidRPr="000479C9" w:rsidRDefault="000479C9" w:rsidP="000479C9">
            <w:pPr>
              <w:rPr>
                <w:rtl/>
              </w:rPr>
            </w:pPr>
            <w:r w:rsidRPr="000479C9">
              <w:rPr>
                <w:rtl/>
              </w:rPr>
              <w:t xml:space="preserve">يُدعى المجلس </w:t>
            </w:r>
            <w:r w:rsidRPr="000479C9">
              <w:rPr>
                <w:b/>
                <w:bCs/>
                <w:rtl/>
              </w:rPr>
              <w:t xml:space="preserve">إلى </w:t>
            </w:r>
            <w:r w:rsidRPr="000479C9">
              <w:rPr>
                <w:rFonts w:hint="cs"/>
                <w:b/>
                <w:bCs/>
                <w:rtl/>
              </w:rPr>
              <w:t>العلم</w:t>
            </w:r>
            <w:r w:rsidRPr="000479C9">
              <w:rPr>
                <w:b/>
                <w:bCs/>
                <w:rtl/>
              </w:rPr>
              <w:t xml:space="preserve"> </w:t>
            </w:r>
            <w:r w:rsidRPr="000479C9">
              <w:rPr>
                <w:rtl/>
              </w:rPr>
              <w:t>بالتقرير</w:t>
            </w:r>
            <w:r w:rsidRPr="000479C9">
              <w:rPr>
                <w:rFonts w:hint="cs"/>
                <w:rtl/>
              </w:rPr>
              <w:t>.</w:t>
            </w:r>
          </w:p>
          <w:p w14:paraId="5A1F814D" w14:textId="77777777" w:rsidR="000479C9" w:rsidRPr="000479C9" w:rsidRDefault="000479C9" w:rsidP="000479C9">
            <w:pPr>
              <w:rPr>
                <w:b/>
                <w:bCs/>
                <w:rtl/>
              </w:rPr>
            </w:pPr>
            <w:r w:rsidRPr="000479C9">
              <w:rPr>
                <w:rFonts w:hint="cs"/>
                <w:b/>
                <w:bCs/>
                <w:rtl/>
              </w:rPr>
              <w:t xml:space="preserve">روابط ذات </w:t>
            </w:r>
            <w:r w:rsidRPr="000479C9">
              <w:rPr>
                <w:b/>
                <w:bCs/>
                <w:rtl/>
              </w:rPr>
              <w:t>صلة بالخطة ال</w:t>
            </w:r>
            <w:r w:rsidRPr="000479C9">
              <w:rPr>
                <w:rFonts w:hint="cs"/>
                <w:b/>
                <w:bCs/>
                <w:rtl/>
              </w:rPr>
              <w:t>ا</w:t>
            </w:r>
            <w:r w:rsidRPr="000479C9">
              <w:rPr>
                <w:b/>
                <w:bCs/>
                <w:rtl/>
              </w:rPr>
              <w:t>ستراتيجية</w:t>
            </w:r>
          </w:p>
          <w:p w14:paraId="05B04636" w14:textId="77777777" w:rsidR="000479C9" w:rsidRPr="000479C9" w:rsidRDefault="000479C9" w:rsidP="000479C9">
            <w:pPr>
              <w:rPr>
                <w:rtl/>
              </w:rPr>
            </w:pPr>
            <w:r w:rsidRPr="000479C9">
              <w:rPr>
                <w:rtl/>
              </w:rPr>
              <w:t>التميز في مجال الموارد البشرية والابتكار التنظيمي</w:t>
            </w:r>
            <w:r w:rsidRPr="000479C9">
              <w:rPr>
                <w:rFonts w:hint="cs"/>
                <w:rtl/>
              </w:rPr>
              <w:t>.</w:t>
            </w:r>
          </w:p>
          <w:p w14:paraId="568233EC" w14:textId="77777777" w:rsidR="000479C9" w:rsidRPr="000479C9" w:rsidRDefault="000479C9" w:rsidP="000479C9">
            <w:pPr>
              <w:rPr>
                <w:b/>
                <w:bCs/>
                <w:rtl/>
              </w:rPr>
            </w:pPr>
            <w:r w:rsidRPr="000479C9">
              <w:rPr>
                <w:rFonts w:hint="cs"/>
                <w:b/>
                <w:bCs/>
                <w:rtl/>
              </w:rPr>
              <w:t>الآثار المالية</w:t>
            </w:r>
          </w:p>
          <w:p w14:paraId="5C0EC850" w14:textId="77777777" w:rsidR="000479C9" w:rsidRPr="000479C9" w:rsidRDefault="000479C9" w:rsidP="000479C9">
            <w:r w:rsidRPr="000479C9">
              <w:rPr>
                <w:rtl/>
              </w:rPr>
              <w:t>ضمن الميزانية المخصصة لفترة السنتين 2024-2025</w:t>
            </w:r>
            <w:r w:rsidRPr="000479C9">
              <w:rPr>
                <w:rFonts w:hint="cs"/>
                <w:rtl/>
              </w:rPr>
              <w:t>.</w:t>
            </w:r>
          </w:p>
          <w:p w14:paraId="05571A73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799E62E6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4C450971" w14:textId="08A59FA8" w:rsidR="007B0AA0" w:rsidRPr="000479C9" w:rsidRDefault="00FA407F" w:rsidP="001100A7">
            <w:pPr>
              <w:spacing w:after="120"/>
              <w:rPr>
                <w:spacing w:val="-4"/>
                <w:rtl/>
              </w:rPr>
            </w:pPr>
            <w:hyperlink r:id="rId8" w:history="1">
              <w:r w:rsidR="000479C9" w:rsidRPr="00A525E1">
                <w:rPr>
                  <w:rStyle w:val="Hyperlink"/>
                  <w:rFonts w:hint="cs"/>
                  <w:i/>
                  <w:iCs/>
                  <w:spacing w:val="-4"/>
                  <w:rtl/>
                </w:rPr>
                <w:t xml:space="preserve">القرار </w:t>
              </w:r>
              <w:r w:rsidR="000479C9" w:rsidRPr="00A525E1">
                <w:rPr>
                  <w:rStyle w:val="Hyperlink"/>
                  <w:i/>
                  <w:iCs/>
                  <w:spacing w:val="-4"/>
                </w:rPr>
                <w:t>71</w:t>
              </w:r>
              <w:r w:rsidR="000479C9" w:rsidRPr="00A525E1">
                <w:rPr>
                  <w:rStyle w:val="Hyperlink"/>
                  <w:rFonts w:hint="cs"/>
                  <w:i/>
                  <w:iCs/>
                  <w:spacing w:val="-4"/>
                  <w:rtl/>
                </w:rPr>
                <w:t xml:space="preserve"> (المراجَع في بوخارست، 2022)</w:t>
              </w:r>
            </w:hyperlink>
            <w:r w:rsidR="000479C9" w:rsidRPr="000479C9">
              <w:rPr>
                <w:rFonts w:hint="cs"/>
                <w:i/>
                <w:iCs/>
                <w:spacing w:val="-4"/>
                <w:rtl/>
              </w:rPr>
              <w:t xml:space="preserve"> و</w:t>
            </w:r>
            <w:hyperlink r:id="rId9" w:history="1">
              <w:r w:rsidR="000479C9" w:rsidRPr="00A525E1">
                <w:rPr>
                  <w:rStyle w:val="Hyperlink"/>
                  <w:rFonts w:hint="cs"/>
                  <w:i/>
                  <w:iCs/>
                  <w:spacing w:val="-4"/>
                  <w:rtl/>
                </w:rPr>
                <w:t>القرار 191 (المراجَع في بوخارست، 2022)</w:t>
              </w:r>
            </w:hyperlink>
            <w:r w:rsidR="000479C9" w:rsidRPr="000479C9">
              <w:rPr>
                <w:rFonts w:hint="cs"/>
                <w:i/>
                <w:iCs/>
                <w:spacing w:val="-4"/>
                <w:rtl/>
              </w:rPr>
              <w:t>، و</w:t>
            </w:r>
            <w:hyperlink r:id="rId10" w:history="1">
              <w:r w:rsidR="000479C9" w:rsidRPr="00A525E1">
                <w:rPr>
                  <w:rStyle w:val="Hyperlink"/>
                  <w:rFonts w:hint="cs"/>
                  <w:i/>
                  <w:iCs/>
                  <w:spacing w:val="-4"/>
                  <w:rtl/>
                </w:rPr>
                <w:t>المقرر 5 (المراجَع في</w:t>
              </w:r>
              <w:r w:rsidR="000479C9" w:rsidRPr="00A525E1">
                <w:rPr>
                  <w:rStyle w:val="Hyperlink"/>
                  <w:rFonts w:hint="eastAsia"/>
                  <w:i/>
                  <w:iCs/>
                  <w:spacing w:val="-4"/>
                  <w:rtl/>
                </w:rPr>
                <w:t> </w:t>
              </w:r>
              <w:r w:rsidR="000479C9" w:rsidRPr="00A525E1">
                <w:rPr>
                  <w:rStyle w:val="Hyperlink"/>
                  <w:rFonts w:hint="cs"/>
                  <w:i/>
                  <w:iCs/>
                  <w:spacing w:val="-4"/>
                  <w:rtl/>
                </w:rPr>
                <w:t>بوخارست،</w:t>
              </w:r>
              <w:r w:rsidR="000479C9" w:rsidRPr="00A525E1">
                <w:rPr>
                  <w:rStyle w:val="Hyperlink"/>
                  <w:rFonts w:hint="eastAsia"/>
                  <w:i/>
                  <w:iCs/>
                  <w:spacing w:val="-4"/>
                  <w:rtl/>
                </w:rPr>
                <w:t> </w:t>
              </w:r>
              <w:r w:rsidR="000479C9" w:rsidRPr="00A525E1">
                <w:rPr>
                  <w:rStyle w:val="Hyperlink"/>
                  <w:rFonts w:hint="cs"/>
                  <w:i/>
                  <w:iCs/>
                  <w:spacing w:val="-4"/>
                  <w:rtl/>
                </w:rPr>
                <w:t>2022)</w:t>
              </w:r>
            </w:hyperlink>
            <w:r w:rsidR="000479C9" w:rsidRPr="000479C9">
              <w:rPr>
                <w:rFonts w:hint="cs"/>
                <w:i/>
                <w:iCs/>
                <w:spacing w:val="-4"/>
                <w:rtl/>
              </w:rPr>
              <w:t xml:space="preserve"> لمؤتمر المندوبين المفوضين</w:t>
            </w:r>
          </w:p>
        </w:tc>
      </w:tr>
    </w:tbl>
    <w:p w14:paraId="6F61CE54" w14:textId="77777777" w:rsidR="00E61BE8" w:rsidRDefault="00E61BE8" w:rsidP="00E61BE8">
      <w:pPr>
        <w:rPr>
          <w:rtl/>
          <w:lang w:bidi="ar-EG"/>
        </w:rPr>
      </w:pPr>
    </w:p>
    <w:p w14:paraId="16355DE3" w14:textId="77777777" w:rsidR="00F50E3F" w:rsidRDefault="00F50E3F" w:rsidP="00AF2D4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1E7BAEC" w14:textId="77777777" w:rsidR="000479C9" w:rsidRPr="000479C9" w:rsidRDefault="000479C9" w:rsidP="000479C9">
      <w:pPr>
        <w:pStyle w:val="Heading1"/>
      </w:pPr>
      <w:r w:rsidRPr="000479C9">
        <w:rPr>
          <w:rFonts w:hint="cs"/>
          <w:rtl/>
        </w:rPr>
        <w:lastRenderedPageBreak/>
        <w:t>1</w:t>
      </w:r>
      <w:r w:rsidRPr="000479C9">
        <w:rPr>
          <w:rtl/>
        </w:rPr>
        <w:tab/>
        <w:t>خلفية</w:t>
      </w:r>
    </w:p>
    <w:p w14:paraId="71FAC3BA" w14:textId="00B996EB" w:rsidR="000479C9" w:rsidRPr="00621E23" w:rsidRDefault="000479C9" w:rsidP="000479C9">
      <w:pPr>
        <w:rPr>
          <w:spacing w:val="-2"/>
        </w:rPr>
      </w:pPr>
      <w:r w:rsidRPr="00621E23">
        <w:rPr>
          <w:spacing w:val="-2"/>
          <w:rtl/>
        </w:rPr>
        <w:t>يكلف مؤتمر المندوبين المفوضين عام 2022 (PP-22) الأمينة العامة، من خلال القرار 191 (المراجَع في بوخارست،</w:t>
      </w:r>
      <w:r w:rsidR="00621E23" w:rsidRPr="00621E23">
        <w:rPr>
          <w:rFonts w:hint="cs"/>
          <w:spacing w:val="-2"/>
          <w:rtl/>
        </w:rPr>
        <w:t> </w:t>
      </w:r>
      <w:r w:rsidRPr="00621E23">
        <w:rPr>
          <w:spacing w:val="-2"/>
          <w:rtl/>
        </w:rPr>
        <w:t>2022)، بمواصلة تعزيز استراتيجية التنسيق والتعاون من أجل بذل جهود تتسم بالفعالية والكفاءة في المجالات ذات الاهتمام المشترك للقطاعات الثلاثة والأمانة العامة، وذلك لتجنب ازدواج الجهود واستعمال موارد الاتحاد على</w:t>
      </w:r>
      <w:r w:rsidRPr="00621E23">
        <w:rPr>
          <w:rFonts w:hint="cs"/>
          <w:spacing w:val="-2"/>
          <w:rtl/>
        </w:rPr>
        <w:t xml:space="preserve"> ال</w:t>
      </w:r>
      <w:r w:rsidRPr="00621E23">
        <w:rPr>
          <w:spacing w:val="-2"/>
          <w:rtl/>
        </w:rPr>
        <w:t xml:space="preserve">وجه </w:t>
      </w:r>
      <w:r w:rsidRPr="00621E23">
        <w:rPr>
          <w:rFonts w:hint="cs"/>
          <w:spacing w:val="-2"/>
          <w:rtl/>
        </w:rPr>
        <w:t>ال</w:t>
      </w:r>
      <w:r w:rsidRPr="00621E23">
        <w:rPr>
          <w:spacing w:val="-2"/>
          <w:rtl/>
        </w:rPr>
        <w:t>أمثل. وعلاوةً على ذلك، تكلّف الأمينة العامة بتحديد جميع أشكال وأمثلة الوظائف والأنشطة المتداخلة بين القطاعات والأمانة العامة، واقتراح حلول لمعالجتها.</w:t>
      </w:r>
    </w:p>
    <w:p w14:paraId="3C33A82A" w14:textId="77777777" w:rsidR="000479C9" w:rsidRPr="002A5F2E" w:rsidRDefault="000479C9" w:rsidP="000479C9">
      <w:pPr>
        <w:rPr>
          <w:rStyle w:val="normaltextrun"/>
          <w:lang w:val="ar-SA" w:eastAsia="zh-TW" w:bidi="en-GB"/>
        </w:rPr>
      </w:pPr>
      <w:r w:rsidRPr="000479C9">
        <w:rPr>
          <w:rFonts w:hint="cs"/>
          <w:rtl/>
        </w:rPr>
        <w:t>وأخيراً</w:t>
      </w:r>
      <w:r w:rsidRPr="000479C9">
        <w:rPr>
          <w:rtl/>
        </w:rPr>
        <w:t>، يكلف القرار 191 الأمين</w:t>
      </w:r>
      <w:r w:rsidRPr="000479C9">
        <w:rPr>
          <w:rFonts w:hint="cs"/>
          <w:rtl/>
        </w:rPr>
        <w:t>ة</w:t>
      </w:r>
      <w:r w:rsidRPr="000479C9">
        <w:rPr>
          <w:rtl/>
        </w:rPr>
        <w:t xml:space="preserve"> العام</w:t>
      </w:r>
      <w:r w:rsidRPr="000479C9">
        <w:rPr>
          <w:rFonts w:hint="cs"/>
          <w:rtl/>
        </w:rPr>
        <w:t>ة</w:t>
      </w:r>
      <w:r w:rsidRPr="000479C9">
        <w:rPr>
          <w:rtl/>
        </w:rPr>
        <w:t xml:space="preserve"> ومديري المكاتب الثلاثة بضمان تقديم تقارير إلى المجلس عن أنشطة التنسيق المنف</w:t>
      </w:r>
      <w:r w:rsidRPr="000479C9">
        <w:rPr>
          <w:rFonts w:hint="cs"/>
          <w:rtl/>
        </w:rPr>
        <w:t>َّ</w:t>
      </w:r>
      <w:r w:rsidRPr="000479C9">
        <w:rPr>
          <w:rtl/>
        </w:rPr>
        <w:t>ذة بين القطاعات المختلفة في كل مجال محدد كمجال اهتمام مشترك، وعن النتائج التي تم التوصل إليها.</w:t>
      </w:r>
    </w:p>
    <w:p w14:paraId="24C714D2" w14:textId="77777777" w:rsidR="000479C9" w:rsidRPr="00A54837" w:rsidRDefault="000479C9" w:rsidP="000479C9">
      <w:pPr>
        <w:pStyle w:val="Heading1"/>
        <w:textDirection w:val="tbRlV"/>
      </w:pPr>
      <w:r>
        <w:rPr>
          <w:rFonts w:hint="cs"/>
          <w:rtl/>
        </w:rPr>
        <w:t>2</w:t>
      </w:r>
      <w:r>
        <w:rPr>
          <w:rtl/>
        </w:rPr>
        <w:tab/>
      </w:r>
      <w:r w:rsidRPr="00A54837">
        <w:rPr>
          <w:rtl/>
        </w:rPr>
        <w:t xml:space="preserve">التنسيق </w:t>
      </w:r>
      <w:r>
        <w:rPr>
          <w:rFonts w:hint="cs"/>
          <w:rtl/>
        </w:rPr>
        <w:t>ضمن</w:t>
      </w:r>
      <w:r w:rsidRPr="00A54837">
        <w:rPr>
          <w:rtl/>
        </w:rPr>
        <w:t xml:space="preserve"> الأمانة - فريق المهام المعني بالتنسيق بين القطاعات </w:t>
      </w:r>
      <w:r w:rsidRPr="00A54837">
        <w:t>(ISC-TF</w:t>
      </w:r>
      <w:r>
        <w:t>)</w:t>
      </w:r>
    </w:p>
    <w:p w14:paraId="047693A9" w14:textId="77777777" w:rsidR="000479C9" w:rsidRPr="002A5F2E" w:rsidRDefault="000479C9" w:rsidP="000479C9">
      <w:pPr>
        <w:rPr>
          <w:rStyle w:val="normaltextrun"/>
          <w:lang w:val="ar-SA" w:eastAsia="zh-TW" w:bidi="en-GB"/>
        </w:rPr>
      </w:pPr>
      <w:r w:rsidRPr="002A5F2E">
        <w:rPr>
          <w:rtl/>
        </w:rPr>
        <w:t>يرأس نائب الأمين</w:t>
      </w:r>
      <w:r>
        <w:rPr>
          <w:rFonts w:hint="cs"/>
          <w:rtl/>
        </w:rPr>
        <w:t>ة</w:t>
      </w:r>
      <w:r w:rsidRPr="002A5F2E">
        <w:rPr>
          <w:rtl/>
        </w:rPr>
        <w:t xml:space="preserve"> العام</w:t>
      </w:r>
      <w:r>
        <w:rPr>
          <w:rFonts w:hint="cs"/>
          <w:rtl/>
        </w:rPr>
        <w:t>ة</w:t>
      </w:r>
      <w:r w:rsidRPr="002A5F2E">
        <w:rPr>
          <w:rtl/>
        </w:rPr>
        <w:t xml:space="preserve"> فريق المهام المعني بالتنسيق بين القطاعات </w:t>
      </w:r>
      <w:r w:rsidRPr="002A5F2E">
        <w:t>ISC-TF</w:t>
      </w:r>
      <w:r>
        <w:t>)</w:t>
      </w:r>
      <w:r w:rsidRPr="002A5F2E">
        <w:rPr>
          <w:rtl/>
        </w:rPr>
        <w:t>) ويضم ممثلين من المكاتب والأمانة العامة.</w:t>
      </w:r>
    </w:p>
    <w:p w14:paraId="540B65ED" w14:textId="0038C721" w:rsidR="000479C9" w:rsidRPr="002A5F2E" w:rsidRDefault="000479C9" w:rsidP="000479C9">
      <w:pPr>
        <w:rPr>
          <w:rStyle w:val="normaltextrun"/>
          <w:lang w:val="ar-SA" w:eastAsia="zh-TW" w:bidi="en-GB"/>
        </w:rPr>
      </w:pPr>
      <w:r w:rsidRPr="002A5F2E">
        <w:rPr>
          <w:rtl/>
        </w:rPr>
        <w:t>و</w:t>
      </w:r>
      <w:r w:rsidRPr="006852A6">
        <w:rPr>
          <w:rtl/>
        </w:rPr>
        <w:t xml:space="preserve">فريق المهام المعني بالتنسيق بين القطاعات </w:t>
      </w:r>
      <w:r w:rsidRPr="002A5F2E">
        <w:rPr>
          <w:rtl/>
        </w:rPr>
        <w:t>ه</w:t>
      </w:r>
      <w:r>
        <w:rPr>
          <w:rFonts w:hint="cs"/>
          <w:rtl/>
        </w:rPr>
        <w:t>و</w:t>
      </w:r>
      <w:r w:rsidRPr="002A5F2E">
        <w:rPr>
          <w:rtl/>
        </w:rPr>
        <w:t xml:space="preserve"> الهيئة التي تنسق داخل الأمانة </w:t>
      </w:r>
      <w:r>
        <w:rPr>
          <w:rFonts w:hint="cs"/>
          <w:rtl/>
        </w:rPr>
        <w:t>وتتواصل</w:t>
      </w:r>
      <w:r w:rsidRPr="002A5F2E">
        <w:rPr>
          <w:rtl/>
        </w:rPr>
        <w:t xml:space="preserve"> مع فريق التنسيق المشترك بين القطاعات</w:t>
      </w:r>
      <w:r w:rsidR="00B13D70">
        <w:rPr>
          <w:rFonts w:hint="cs"/>
          <w:rtl/>
        </w:rPr>
        <w:t> </w:t>
      </w:r>
      <w:r w:rsidRPr="002A5F2E">
        <w:t>(ISCG</w:t>
      </w:r>
      <w:r>
        <w:t>)</w:t>
      </w:r>
      <w:r w:rsidRPr="002A5F2E">
        <w:rPr>
          <w:rtl/>
        </w:rPr>
        <w:t xml:space="preserve"> لتحديد احتياجات الأعضاء وتوفير خيارات لتحسين التعاون والتنسيق عبر الاتحاد.</w:t>
      </w:r>
    </w:p>
    <w:p w14:paraId="54522364" w14:textId="77777777" w:rsidR="000479C9" w:rsidRPr="002A5F2E" w:rsidRDefault="000479C9" w:rsidP="000479C9">
      <w:pPr>
        <w:rPr>
          <w:rStyle w:val="normaltextrun"/>
          <w:lang w:val="ar-SA" w:eastAsia="zh-TW" w:bidi="en-GB"/>
        </w:rPr>
      </w:pPr>
      <w:r w:rsidRPr="002A5F2E">
        <w:rPr>
          <w:rtl/>
        </w:rPr>
        <w:t xml:space="preserve">ومنذ </w:t>
      </w:r>
      <w:r>
        <w:rPr>
          <w:rFonts w:hint="cs"/>
          <w:rtl/>
        </w:rPr>
        <w:t>عرض</w:t>
      </w:r>
      <w:r w:rsidRPr="002A5F2E">
        <w:rPr>
          <w:rtl/>
        </w:rPr>
        <w:t xml:space="preserve"> التقرير </w:t>
      </w:r>
      <w:r>
        <w:rPr>
          <w:rFonts w:hint="cs"/>
          <w:rtl/>
        </w:rPr>
        <w:t>ع</w:t>
      </w:r>
      <w:r w:rsidRPr="002A5F2E">
        <w:rPr>
          <w:rtl/>
        </w:rPr>
        <w:t xml:space="preserve">لى المجلس العام الماضي، تواصل الأمانة العمل على تنظيم وإيجاد أفضل السبل لضمان إدارة التنسيق بين القطاعات. وتشمل هذه </w:t>
      </w:r>
      <w:r>
        <w:rPr>
          <w:rFonts w:hint="cs"/>
          <w:rtl/>
        </w:rPr>
        <w:t>الجهود</w:t>
      </w:r>
      <w:r w:rsidRPr="002A5F2E">
        <w:rPr>
          <w:rtl/>
        </w:rPr>
        <w:t xml:space="preserve"> ما يلي:</w:t>
      </w:r>
    </w:p>
    <w:p w14:paraId="6E249B8D" w14:textId="021A6CF4" w:rsidR="000479C9" w:rsidRPr="00A525E1" w:rsidRDefault="000479C9" w:rsidP="00CA73EB">
      <w:pPr>
        <w:pStyle w:val="enumlev1"/>
        <w:rPr>
          <w:rFonts w:eastAsia="Calibri"/>
          <w:spacing w:val="4"/>
          <w:lang w:val="ar-SA" w:eastAsia="zh-TW" w:bidi="en-GB"/>
        </w:rPr>
      </w:pPr>
      <w:r w:rsidRPr="00A525E1">
        <w:rPr>
          <w:rFonts w:hint="cs"/>
          <w:spacing w:val="4"/>
        </w:rPr>
        <w:sym w:font="Symbol" w:char="F0B7"/>
      </w:r>
      <w:r w:rsidRPr="00A525E1">
        <w:rPr>
          <w:spacing w:val="4"/>
          <w:rtl/>
        </w:rPr>
        <w:tab/>
        <w:t xml:space="preserve">تحسين </w:t>
      </w:r>
      <w:hyperlink r:id="rId11" w:history="1">
        <w:r w:rsidRPr="00A525E1">
          <w:rPr>
            <w:rStyle w:val="Hyperlink"/>
            <w:spacing w:val="4"/>
            <w:rtl/>
          </w:rPr>
          <w:t>الصفحة الإلكترونية للتنسيق بين القطاعات</w:t>
        </w:r>
      </w:hyperlink>
      <w:r w:rsidRPr="00A525E1">
        <w:rPr>
          <w:spacing w:val="4"/>
          <w:rtl/>
        </w:rPr>
        <w:t xml:space="preserve"> في إطار الأمانة العامة وبالتنسيق مع رئيس فريق التنسيق بين القطاعات.</w:t>
      </w:r>
    </w:p>
    <w:p w14:paraId="0D706377" w14:textId="77777777" w:rsidR="000479C9" w:rsidRPr="002A5F2E" w:rsidRDefault="000479C9" w:rsidP="00CA73EB">
      <w:pPr>
        <w:pStyle w:val="enumlev1"/>
        <w:rPr>
          <w:rStyle w:val="normaltextrun"/>
          <w:lang w:val="ar-SA" w:eastAsia="zh-TW" w:bidi="en-GB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Pr="00004399">
        <w:rPr>
          <w:rFonts w:hint="cs"/>
          <w:rtl/>
        </w:rPr>
        <w:t>ما</w:t>
      </w:r>
      <w:r w:rsidRPr="00004399">
        <w:rPr>
          <w:rtl/>
        </w:rPr>
        <w:t xml:space="preserve"> </w:t>
      </w:r>
      <w:r w:rsidRPr="00004399">
        <w:rPr>
          <w:rFonts w:hint="cs"/>
          <w:rtl/>
        </w:rPr>
        <w:t>نُفِّذ</w:t>
      </w:r>
      <w:r w:rsidRPr="00004399">
        <w:rPr>
          <w:rtl/>
        </w:rPr>
        <w:t xml:space="preserve"> بعد مؤتمر المندوبين المفوضين لعام 2022 (</w:t>
      </w:r>
      <w:r w:rsidRPr="00004399">
        <w:rPr>
          <w:rFonts w:hint="cs"/>
          <w:rtl/>
        </w:rPr>
        <w:t>وحُدِّث</w:t>
      </w:r>
      <w:r w:rsidRPr="00004399">
        <w:rPr>
          <w:rtl/>
        </w:rPr>
        <w:t xml:space="preserve"> بعد جمعية الاتصالات الراديوية لعام 2023)</w:t>
      </w:r>
      <w:r>
        <w:rPr>
          <w:rFonts w:hint="cs"/>
          <w:rtl/>
        </w:rPr>
        <w:t xml:space="preserve"> من</w:t>
      </w:r>
      <w:r w:rsidRPr="00004399">
        <w:rPr>
          <w:rtl/>
        </w:rPr>
        <w:t xml:space="preserve"> </w:t>
      </w:r>
      <w:r>
        <w:rPr>
          <w:rFonts w:hint="cs"/>
          <w:rtl/>
        </w:rPr>
        <w:t>رسم خارطة ارتباطات</w:t>
      </w:r>
      <w:r w:rsidRPr="002A5F2E">
        <w:rPr>
          <w:rtl/>
        </w:rPr>
        <w:t xml:space="preserve"> </w:t>
      </w:r>
      <w:r>
        <w:rPr>
          <w:rFonts w:hint="cs"/>
          <w:rtl/>
        </w:rPr>
        <w:t>ا</w:t>
      </w:r>
      <w:r w:rsidRPr="002A5F2E">
        <w:rPr>
          <w:rtl/>
        </w:rPr>
        <w:t>لقرارات الصادرة عن مؤتمرات الاتحاد وجمعياته الرئيسية، فضلاً عن استعراض لأفرقة المهام والأفرقة الداخلية ل</w:t>
      </w:r>
      <w:r>
        <w:rPr>
          <w:rFonts w:hint="cs"/>
          <w:rtl/>
        </w:rPr>
        <w:t>دى ا</w:t>
      </w:r>
      <w:r w:rsidRPr="002A5F2E">
        <w:rPr>
          <w:rtl/>
        </w:rPr>
        <w:t>لأمانة، لاقتراح استراتيجية تتناول العدد المتزايد من المجالات ذات الاهتمام المشترك.</w:t>
      </w:r>
    </w:p>
    <w:p w14:paraId="2BA48DCB" w14:textId="77777777" w:rsidR="000479C9" w:rsidRPr="002A5F2E" w:rsidRDefault="000479C9" w:rsidP="00CA73EB">
      <w:pPr>
        <w:pStyle w:val="enumlev1"/>
        <w:rPr>
          <w:rStyle w:val="normaltextrun"/>
          <w:lang w:val="ar-SA" w:eastAsia="zh-TW" w:bidi="en-GB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Pr="002A5F2E">
        <w:rPr>
          <w:rtl/>
        </w:rPr>
        <w:t>تحديث قائمة المواضيع التي تدعو إلى التنسيق بين القطاعات إلى جانب جهات الاتصال التي تعي</w:t>
      </w:r>
      <w:r>
        <w:rPr>
          <w:rFonts w:hint="cs"/>
          <w:rtl/>
        </w:rPr>
        <w:t>ِّ</w:t>
      </w:r>
      <w:r w:rsidRPr="002A5F2E">
        <w:rPr>
          <w:rtl/>
        </w:rPr>
        <w:t>نها القطاعات والأمانة العامة والمنشورة في الصفحة الإلكترونية.</w:t>
      </w:r>
    </w:p>
    <w:p w14:paraId="62E07C1C" w14:textId="1499EBB2" w:rsidR="000479C9" w:rsidRPr="002A5F2E" w:rsidRDefault="000479C9" w:rsidP="00CA73EB">
      <w:pPr>
        <w:pStyle w:val="enumlev1"/>
        <w:rPr>
          <w:rStyle w:val="normaltextrun"/>
          <w:lang w:val="ar-SA" w:eastAsia="zh-TW" w:bidi="en-GB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Pr="002A5F2E">
        <w:rPr>
          <w:rtl/>
        </w:rPr>
        <w:t xml:space="preserve">استعراض تشكيل فريق المهام المعني بالتنسيق بين القطاعات </w:t>
      </w:r>
      <w:r w:rsidRPr="002A5F2E">
        <w:t>(ISC-TF</w:t>
      </w:r>
      <w:r>
        <w:t>)</w:t>
      </w:r>
      <w:r w:rsidRPr="002A5F2E">
        <w:rPr>
          <w:rtl/>
        </w:rPr>
        <w:t xml:space="preserve"> لجعله أكثر تركيزاً وكفاءة وفعالية.</w:t>
      </w:r>
    </w:p>
    <w:p w14:paraId="5906366E" w14:textId="6FF3BB77" w:rsidR="000479C9" w:rsidRPr="002A5F2E" w:rsidRDefault="000479C9" w:rsidP="00CA73EB">
      <w:pPr>
        <w:pStyle w:val="enumlev1"/>
        <w:rPr>
          <w:rStyle w:val="normaltextrun"/>
          <w:lang w:val="ar-SA" w:eastAsia="zh-TW" w:bidi="en-GB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Pr="002A5F2E">
        <w:rPr>
          <w:rtl/>
        </w:rPr>
        <w:t xml:space="preserve">تحديث أدوات التخطيط </w:t>
      </w:r>
      <w:r>
        <w:rPr>
          <w:rFonts w:hint="cs"/>
          <w:rtl/>
        </w:rPr>
        <w:t>والمراقبة</w:t>
      </w:r>
      <w:r w:rsidRPr="002A5F2E">
        <w:rPr>
          <w:rtl/>
        </w:rPr>
        <w:t xml:space="preserve"> والإبلاغ، مثل متتبع التنسيق بين القطاعات حيث يقوم منسقو الأمانة ب</w:t>
      </w:r>
      <w:r>
        <w:rPr>
          <w:rFonts w:hint="cs"/>
          <w:rtl/>
        </w:rPr>
        <w:t>ال</w:t>
      </w:r>
      <w:r w:rsidRPr="002A5F2E">
        <w:rPr>
          <w:rtl/>
        </w:rPr>
        <w:t>إبلاغ</w:t>
      </w:r>
      <w:r>
        <w:rPr>
          <w:rFonts w:hint="cs"/>
          <w:rtl/>
        </w:rPr>
        <w:t xml:space="preserve"> عن</w:t>
      </w:r>
      <w:r w:rsidRPr="002A5F2E">
        <w:rPr>
          <w:rtl/>
        </w:rPr>
        <w:t xml:space="preserve"> أولوياتهم/أنشطتهم الرئيسية سنوياً لأغراض التخطيط الداخلي، و</w:t>
      </w:r>
      <w:r w:rsidRPr="00283B5B">
        <w:rPr>
          <w:rtl/>
        </w:rPr>
        <w:t xml:space="preserve">بإبلاغ </w:t>
      </w:r>
      <w:r w:rsidRPr="002A5F2E">
        <w:rPr>
          <w:rtl/>
        </w:rPr>
        <w:t>منصة الويب لتقديم تقرير سنوي إلى المجلس عن تنفيذ قرارات مؤتمر المندوبين المفوضين، بما في ذلك التنسيق بين القطاعات.</w:t>
      </w:r>
    </w:p>
    <w:p w14:paraId="5E630841" w14:textId="77777777" w:rsidR="000479C9" w:rsidRPr="002438D9" w:rsidRDefault="000479C9" w:rsidP="00CA73EB">
      <w:pPr>
        <w:pStyle w:val="enumlev1"/>
        <w:rPr>
          <w:rFonts w:eastAsia="Calibri"/>
          <w:color w:val="0C0C0C"/>
          <w:spacing w:val="-2"/>
          <w:lang w:val="ar-SA" w:eastAsia="zh-TW" w:bidi="en-GB"/>
        </w:rPr>
      </w:pPr>
      <w:r w:rsidRPr="002438D9">
        <w:rPr>
          <w:rFonts w:hint="cs"/>
          <w:spacing w:val="-2"/>
        </w:rPr>
        <w:sym w:font="Symbol" w:char="F0B7"/>
      </w:r>
      <w:r w:rsidRPr="002438D9">
        <w:rPr>
          <w:spacing w:val="-2"/>
          <w:rtl/>
        </w:rPr>
        <w:tab/>
        <w:t>مراجعة الأمر الإداري ذي الصلة لمعالجة المواضيع المحددة ذات الاهتمام المشترك من خلال تنفيذ آلية تنسيق</w:t>
      </w:r>
      <w:r w:rsidRPr="002438D9">
        <w:rPr>
          <w:rFonts w:hint="cs"/>
          <w:spacing w:val="-2"/>
          <w:rtl/>
        </w:rPr>
        <w:t xml:space="preserve"> متينة</w:t>
      </w:r>
      <w:r w:rsidRPr="002438D9">
        <w:rPr>
          <w:spacing w:val="-2"/>
          <w:rtl/>
        </w:rPr>
        <w:t>، بما في ذلك التخطيط والمراقبة والتقييم والإبلاغ، مما يعزز الفعالية التنظيمية ويقلل المخاطر المحتملة إلى أدنى حد.</w:t>
      </w:r>
    </w:p>
    <w:p w14:paraId="18408DD7" w14:textId="5680D5E6" w:rsidR="000479C9" w:rsidRPr="002A5F2E" w:rsidRDefault="000479C9" w:rsidP="000479C9">
      <w:pPr>
        <w:textDirection w:val="tbRlV"/>
        <w:rPr>
          <w:rStyle w:val="normaltextrun"/>
          <w:lang w:val="ar-SA" w:eastAsia="zh-TW" w:bidi="en-GB"/>
        </w:rPr>
      </w:pPr>
      <w:r w:rsidRPr="002A5F2E">
        <w:rPr>
          <w:rtl/>
        </w:rPr>
        <w:t xml:space="preserve">ويمكن الاطلاع على نتائج ملموسة للأفرقة المشتركة بين القطاعات التي تنسق العمل عبر الاتحاد في </w:t>
      </w:r>
      <w:r w:rsidRPr="00283B5B">
        <w:rPr>
          <w:rtl/>
        </w:rPr>
        <w:t>وثيقة</w:t>
      </w:r>
      <w:r>
        <w:rPr>
          <w:rFonts w:hint="cs"/>
          <w:rtl/>
        </w:rPr>
        <w:t xml:space="preserve"> </w:t>
      </w:r>
      <w:r w:rsidRPr="002A5F2E">
        <w:rPr>
          <w:rtl/>
        </w:rPr>
        <w:t xml:space="preserve">المجلس </w:t>
      </w:r>
      <w:hyperlink r:id="rId12" w:history="1">
        <w:r w:rsidRPr="002438D9">
          <w:rPr>
            <w:rStyle w:val="Hyperlink"/>
            <w:rtl/>
          </w:rPr>
          <w:t>C24/35</w:t>
        </w:r>
      </w:hyperlink>
      <w:r w:rsidRPr="002A5F2E">
        <w:rPr>
          <w:rtl/>
        </w:rPr>
        <w:t xml:space="preserve"> بشأن تنفيذ الخطة الاستراتيجية وأنشطة الاتحاد، </w:t>
      </w:r>
      <w:r>
        <w:rPr>
          <w:rFonts w:hint="cs"/>
          <w:rtl/>
        </w:rPr>
        <w:t>وفي</w:t>
      </w:r>
      <w:r w:rsidRPr="002A5F2E">
        <w:rPr>
          <w:rtl/>
        </w:rPr>
        <w:t xml:space="preserve"> الوثيقة </w:t>
      </w:r>
      <w:hyperlink r:id="rId13" w:history="1">
        <w:r w:rsidRPr="002438D9">
          <w:rPr>
            <w:rStyle w:val="Hyperlink"/>
            <w:rtl/>
          </w:rPr>
          <w:t>C24/17</w:t>
        </w:r>
      </w:hyperlink>
      <w:r w:rsidRPr="002A5F2E">
        <w:rPr>
          <w:rtl/>
        </w:rPr>
        <w:t xml:space="preserve"> بشأن تنفيذ مفهوم "الاتحاد الواحد".</w:t>
      </w:r>
    </w:p>
    <w:p w14:paraId="7F8E3DFA" w14:textId="5D15FE90" w:rsidR="000479C9" w:rsidRPr="00932DAD" w:rsidRDefault="000479C9" w:rsidP="000479C9">
      <w:pPr>
        <w:pStyle w:val="Heading1"/>
        <w:textDirection w:val="tbRlV"/>
      </w:pPr>
      <w:r>
        <w:rPr>
          <w:rFonts w:hint="cs"/>
          <w:rtl/>
        </w:rPr>
        <w:t>3</w:t>
      </w:r>
      <w:r>
        <w:rPr>
          <w:rtl/>
        </w:rPr>
        <w:tab/>
      </w:r>
      <w:r w:rsidRPr="00932DAD">
        <w:rPr>
          <w:rtl/>
        </w:rPr>
        <w:t xml:space="preserve">التنسيق بين الأعضاء </w:t>
      </w:r>
      <w:r w:rsidR="002438D9">
        <w:rPr>
          <w:rFonts w:hint="cs"/>
          <w:rtl/>
        </w:rPr>
        <w:t>-</w:t>
      </w:r>
      <w:r w:rsidRPr="00932DAD">
        <w:rPr>
          <w:rtl/>
        </w:rPr>
        <w:t xml:space="preserve"> فريق التنسيق المشترك بين القطاعات </w:t>
      </w:r>
      <w:r w:rsidRPr="00932DAD">
        <w:t>(ISCG)</w:t>
      </w:r>
    </w:p>
    <w:p w14:paraId="0EECADF6" w14:textId="5E8EFFA0" w:rsidR="000479C9" w:rsidRPr="002A5F2E" w:rsidRDefault="000479C9" w:rsidP="000479C9">
      <w:pPr>
        <w:textDirection w:val="tbRlV"/>
        <w:rPr>
          <w:rStyle w:val="normaltextrun"/>
          <w:lang w:val="ar-SA" w:eastAsia="zh-TW" w:bidi="en-GB"/>
        </w:rPr>
      </w:pPr>
      <w:r w:rsidRPr="002A5F2E">
        <w:rPr>
          <w:rtl/>
        </w:rPr>
        <w:t>لا</w:t>
      </w:r>
      <w:r w:rsidR="002438D9">
        <w:rPr>
          <w:rFonts w:hint="cs"/>
          <w:rtl/>
        </w:rPr>
        <w:t> </w:t>
      </w:r>
      <w:r w:rsidRPr="002A5F2E">
        <w:rPr>
          <w:rtl/>
        </w:rPr>
        <w:t xml:space="preserve">يزال </w:t>
      </w:r>
      <w:r>
        <w:rPr>
          <w:rFonts w:hint="cs"/>
          <w:rtl/>
        </w:rPr>
        <w:t>ال</w:t>
      </w:r>
      <w:r w:rsidRPr="002A5F2E">
        <w:rPr>
          <w:rtl/>
        </w:rPr>
        <w:t>تنسيق</w:t>
      </w:r>
      <w:r>
        <w:rPr>
          <w:rFonts w:hint="cs"/>
          <w:rtl/>
        </w:rPr>
        <w:t xml:space="preserve"> بين</w:t>
      </w:r>
      <w:r w:rsidRPr="002A5F2E">
        <w:rPr>
          <w:rtl/>
        </w:rPr>
        <w:t xml:space="preserve"> الأعضاء في إطار فريق التنسيق بين القطاعات برئاسة السيد فابيو</w:t>
      </w:r>
      <w:r w:rsidR="002438D9">
        <w:rPr>
          <w:rFonts w:hint="cs"/>
          <w:rtl/>
        </w:rPr>
        <w:t> </w:t>
      </w:r>
      <w:r w:rsidRPr="002A5F2E">
        <w:rPr>
          <w:rtl/>
        </w:rPr>
        <w:t>بيجي (إيطاليا)، بوصفه فريقاً يقوم على</w:t>
      </w:r>
      <w:r w:rsidR="004B05A2">
        <w:rPr>
          <w:rFonts w:hint="cs"/>
          <w:rtl/>
        </w:rPr>
        <w:t> </w:t>
      </w:r>
      <w:r w:rsidRPr="002A5F2E">
        <w:rPr>
          <w:rtl/>
        </w:rPr>
        <w:t>المساهمات.</w:t>
      </w:r>
    </w:p>
    <w:p w14:paraId="28DA7FE0" w14:textId="0A1C7ED8" w:rsidR="000479C9" w:rsidRPr="004B05A2" w:rsidRDefault="000479C9" w:rsidP="000479C9">
      <w:pPr>
        <w:textDirection w:val="tbRlV"/>
        <w:rPr>
          <w:rStyle w:val="normaltextrun"/>
          <w:spacing w:val="-2"/>
          <w:lang w:val="ar-SA" w:eastAsia="zh-TW" w:bidi="en-GB"/>
        </w:rPr>
      </w:pPr>
      <w:r w:rsidRPr="004B05A2">
        <w:rPr>
          <w:rFonts w:hint="cs"/>
          <w:spacing w:val="-2"/>
          <w:rtl/>
        </w:rPr>
        <w:t>و</w:t>
      </w:r>
      <w:r w:rsidRPr="004B05A2">
        <w:rPr>
          <w:spacing w:val="-2"/>
          <w:rtl/>
        </w:rPr>
        <w:t xml:space="preserve">سيكون فريق التنسيق بين القطاعات قد اجتمع مرتين، بصفته آلية تنسيق </w:t>
      </w:r>
      <w:r w:rsidRPr="004B05A2">
        <w:rPr>
          <w:rFonts w:hint="cs"/>
          <w:spacing w:val="-2"/>
          <w:rtl/>
        </w:rPr>
        <w:t xml:space="preserve">بين </w:t>
      </w:r>
      <w:r w:rsidRPr="004B05A2">
        <w:rPr>
          <w:spacing w:val="-2"/>
          <w:rtl/>
        </w:rPr>
        <w:t xml:space="preserve">الأعضاء، منذ التقرير الأخير </w:t>
      </w:r>
      <w:r w:rsidRPr="004B05A2">
        <w:rPr>
          <w:rFonts w:hint="cs"/>
          <w:spacing w:val="-2"/>
          <w:rtl/>
        </w:rPr>
        <w:t>المعروض</w:t>
      </w:r>
      <w:r w:rsidRPr="004B05A2">
        <w:rPr>
          <w:spacing w:val="-2"/>
          <w:rtl/>
        </w:rPr>
        <w:t xml:space="preserve"> </w:t>
      </w:r>
      <w:r w:rsidRPr="004B05A2">
        <w:rPr>
          <w:rFonts w:hint="cs"/>
          <w:spacing w:val="-2"/>
          <w:rtl/>
        </w:rPr>
        <w:t>ع</w:t>
      </w:r>
      <w:r w:rsidRPr="004B05A2">
        <w:rPr>
          <w:spacing w:val="-2"/>
          <w:rtl/>
        </w:rPr>
        <w:t xml:space="preserve">لى المجلس في </w:t>
      </w:r>
      <w:r w:rsidRPr="004B05A2">
        <w:rPr>
          <w:rFonts w:hint="cs"/>
          <w:spacing w:val="-2"/>
          <w:rtl/>
        </w:rPr>
        <w:t>دورته عام</w:t>
      </w:r>
      <w:r w:rsidR="002438D9" w:rsidRPr="004B05A2">
        <w:rPr>
          <w:rFonts w:hint="eastAsia"/>
          <w:spacing w:val="-2"/>
          <w:rtl/>
        </w:rPr>
        <w:t> </w:t>
      </w:r>
      <w:r w:rsidRPr="004B05A2">
        <w:rPr>
          <w:rFonts w:hint="cs"/>
          <w:spacing w:val="-2"/>
          <w:rtl/>
        </w:rPr>
        <w:t>2023</w:t>
      </w:r>
      <w:r w:rsidRPr="004B05A2">
        <w:rPr>
          <w:spacing w:val="-2"/>
          <w:rtl/>
        </w:rPr>
        <w:t xml:space="preserve"> - في 24 يناير 2024، بالاقتران مع</w:t>
      </w:r>
      <w:r w:rsidRPr="004B05A2">
        <w:rPr>
          <w:rFonts w:hint="cs"/>
          <w:spacing w:val="-2"/>
          <w:rtl/>
        </w:rPr>
        <w:t xml:space="preserve"> اجتماع</w:t>
      </w:r>
      <w:r w:rsidRPr="004B05A2">
        <w:rPr>
          <w:spacing w:val="-2"/>
          <w:rtl/>
        </w:rPr>
        <w:t xml:space="preserve"> الفريق الاستشاري لتقييس الاتصالات</w:t>
      </w:r>
      <w:r w:rsidR="002438D9" w:rsidRPr="004B05A2">
        <w:rPr>
          <w:rFonts w:hint="cs"/>
          <w:spacing w:val="-2"/>
          <w:rtl/>
        </w:rPr>
        <w:t> </w:t>
      </w:r>
      <w:r w:rsidRPr="004B05A2">
        <w:rPr>
          <w:rFonts w:hint="cs"/>
          <w:spacing w:val="-2"/>
          <w:rtl/>
        </w:rPr>
        <w:t>(</w:t>
      </w:r>
      <w:r w:rsidRPr="004B05A2">
        <w:rPr>
          <w:spacing w:val="-2"/>
        </w:rPr>
        <w:t>TSAG</w:t>
      </w:r>
      <w:r w:rsidRPr="004B05A2">
        <w:rPr>
          <w:spacing w:val="-2"/>
          <w:rtl/>
        </w:rPr>
        <w:t>)؛ وفي</w:t>
      </w:r>
      <w:r w:rsidR="004B05A2">
        <w:rPr>
          <w:rFonts w:hint="cs"/>
          <w:spacing w:val="-2"/>
          <w:rtl/>
        </w:rPr>
        <w:t> </w:t>
      </w:r>
      <w:r w:rsidRPr="004B05A2">
        <w:rPr>
          <w:spacing w:val="-2"/>
          <w:rtl/>
        </w:rPr>
        <w:t>21</w:t>
      </w:r>
      <w:r w:rsidR="002438D9" w:rsidRPr="004B05A2">
        <w:rPr>
          <w:rFonts w:hint="cs"/>
          <w:spacing w:val="-2"/>
          <w:rtl/>
        </w:rPr>
        <w:t> </w:t>
      </w:r>
      <w:r w:rsidRPr="004B05A2">
        <w:rPr>
          <w:spacing w:val="-2"/>
          <w:rtl/>
        </w:rPr>
        <w:t>مايو</w:t>
      </w:r>
      <w:r w:rsidR="002438D9" w:rsidRPr="004B05A2">
        <w:rPr>
          <w:rFonts w:hint="cs"/>
          <w:spacing w:val="-2"/>
          <w:rtl/>
        </w:rPr>
        <w:t> </w:t>
      </w:r>
      <w:r w:rsidRPr="004B05A2">
        <w:rPr>
          <w:spacing w:val="-2"/>
          <w:rtl/>
        </w:rPr>
        <w:t>2024، بالاقتران مع</w:t>
      </w:r>
      <w:r w:rsidRPr="004B05A2">
        <w:rPr>
          <w:rFonts w:hint="cs"/>
          <w:spacing w:val="-2"/>
          <w:rtl/>
        </w:rPr>
        <w:t xml:space="preserve"> اجتماع</w:t>
      </w:r>
      <w:r w:rsidRPr="004B05A2">
        <w:rPr>
          <w:spacing w:val="-2"/>
          <w:rtl/>
        </w:rPr>
        <w:t xml:space="preserve"> الفريق الاستشاري لتنمية الاتصالات</w:t>
      </w:r>
      <w:r w:rsidR="002438D9" w:rsidRPr="004B05A2">
        <w:rPr>
          <w:rFonts w:hint="cs"/>
          <w:spacing w:val="-2"/>
          <w:rtl/>
        </w:rPr>
        <w:t> </w:t>
      </w:r>
      <w:r w:rsidRPr="004B05A2">
        <w:rPr>
          <w:spacing w:val="-2"/>
          <w:rtl/>
        </w:rPr>
        <w:t>(</w:t>
      </w:r>
      <w:r w:rsidRPr="004B05A2">
        <w:rPr>
          <w:spacing w:val="-2"/>
        </w:rPr>
        <w:t>TDAG</w:t>
      </w:r>
      <w:r w:rsidRPr="004B05A2">
        <w:rPr>
          <w:spacing w:val="-2"/>
          <w:rtl/>
        </w:rPr>
        <w:t xml:space="preserve">). </w:t>
      </w:r>
      <w:r w:rsidRPr="004B05A2">
        <w:rPr>
          <w:rFonts w:hint="cs"/>
          <w:spacing w:val="-2"/>
          <w:rtl/>
        </w:rPr>
        <w:t>و</w:t>
      </w:r>
      <w:r w:rsidRPr="004B05A2">
        <w:rPr>
          <w:spacing w:val="-2"/>
          <w:rtl/>
        </w:rPr>
        <w:t>ع</w:t>
      </w:r>
      <w:r w:rsidRPr="004B05A2">
        <w:rPr>
          <w:rFonts w:hint="cs"/>
          <w:spacing w:val="-2"/>
          <w:rtl/>
        </w:rPr>
        <w:t>ُ</w:t>
      </w:r>
      <w:r w:rsidRPr="004B05A2">
        <w:rPr>
          <w:spacing w:val="-2"/>
          <w:rtl/>
        </w:rPr>
        <w:t xml:space="preserve">قد الاجتماعان </w:t>
      </w:r>
      <w:r w:rsidRPr="004B05A2">
        <w:rPr>
          <w:rFonts w:hint="cs"/>
          <w:spacing w:val="-2"/>
          <w:rtl/>
        </w:rPr>
        <w:t xml:space="preserve">كلاهما </w:t>
      </w:r>
      <w:r w:rsidRPr="004B05A2">
        <w:rPr>
          <w:spacing w:val="-2"/>
          <w:rtl/>
        </w:rPr>
        <w:t>في مقر الاتحاد (جنيف) وسمحا بالمشاركة عن ب</w:t>
      </w:r>
      <w:r w:rsidR="002438D9" w:rsidRPr="004B05A2">
        <w:rPr>
          <w:rFonts w:hint="cs"/>
          <w:spacing w:val="-2"/>
          <w:rtl/>
        </w:rPr>
        <w:t>ُ</w:t>
      </w:r>
      <w:r w:rsidRPr="004B05A2">
        <w:rPr>
          <w:spacing w:val="-2"/>
          <w:rtl/>
        </w:rPr>
        <w:t>عد والعرض النصي</w:t>
      </w:r>
      <w:r w:rsidRPr="004B05A2">
        <w:rPr>
          <w:rFonts w:hint="cs"/>
          <w:spacing w:val="-2"/>
          <w:rtl/>
        </w:rPr>
        <w:t xml:space="preserve"> للحوار</w:t>
      </w:r>
      <w:r w:rsidRPr="004B05A2">
        <w:rPr>
          <w:spacing w:val="-2"/>
          <w:rtl/>
        </w:rPr>
        <w:t xml:space="preserve"> من خلال منصة</w:t>
      </w:r>
      <w:r w:rsidR="002438D9" w:rsidRPr="004B05A2">
        <w:rPr>
          <w:rFonts w:hint="cs"/>
          <w:spacing w:val="-2"/>
          <w:rtl/>
        </w:rPr>
        <w:t> </w:t>
      </w:r>
      <w:r w:rsidRPr="004B05A2">
        <w:rPr>
          <w:spacing w:val="-2"/>
        </w:rPr>
        <w:t>Zoom</w:t>
      </w:r>
      <w:r w:rsidRPr="004B05A2">
        <w:rPr>
          <w:spacing w:val="-2"/>
          <w:rtl/>
        </w:rPr>
        <w:t xml:space="preserve">. </w:t>
      </w:r>
      <w:r w:rsidRPr="004B05A2">
        <w:rPr>
          <w:rFonts w:hint="cs"/>
          <w:spacing w:val="-2"/>
          <w:rtl/>
        </w:rPr>
        <w:t>وتُعرض</w:t>
      </w:r>
      <w:r w:rsidRPr="004B05A2">
        <w:rPr>
          <w:spacing w:val="-2"/>
          <w:rtl/>
        </w:rPr>
        <w:t xml:space="preserve"> تقارير النتائج والدعو</w:t>
      </w:r>
      <w:r w:rsidRPr="004B05A2">
        <w:rPr>
          <w:rFonts w:hint="cs"/>
          <w:spacing w:val="-2"/>
          <w:rtl/>
        </w:rPr>
        <w:t>ات</w:t>
      </w:r>
      <w:r w:rsidRPr="004B05A2">
        <w:rPr>
          <w:spacing w:val="-2"/>
          <w:rtl/>
        </w:rPr>
        <w:t xml:space="preserve"> </w:t>
      </w:r>
      <w:r w:rsidRPr="004B05A2">
        <w:rPr>
          <w:rFonts w:hint="cs"/>
          <w:spacing w:val="-2"/>
          <w:rtl/>
        </w:rPr>
        <w:t>ل</w:t>
      </w:r>
      <w:r w:rsidRPr="004B05A2">
        <w:rPr>
          <w:spacing w:val="-2"/>
          <w:rtl/>
        </w:rPr>
        <w:t xml:space="preserve">اتخاذ إجراءات بانتظام </w:t>
      </w:r>
      <w:r w:rsidRPr="004B05A2">
        <w:rPr>
          <w:rFonts w:hint="cs"/>
          <w:spacing w:val="-2"/>
          <w:rtl/>
        </w:rPr>
        <w:t>ع</w:t>
      </w:r>
      <w:r w:rsidRPr="004B05A2">
        <w:rPr>
          <w:spacing w:val="-2"/>
          <w:rtl/>
        </w:rPr>
        <w:t>لى الأفرقة الاستشارية للقطاع</w:t>
      </w:r>
      <w:r w:rsidRPr="004B05A2">
        <w:rPr>
          <w:rFonts w:hint="cs"/>
          <w:spacing w:val="-2"/>
          <w:rtl/>
        </w:rPr>
        <w:t>ات</w:t>
      </w:r>
      <w:r w:rsidRPr="004B05A2">
        <w:rPr>
          <w:spacing w:val="-2"/>
          <w:rtl/>
        </w:rPr>
        <w:t xml:space="preserve"> و</w:t>
      </w:r>
      <w:r w:rsidRPr="004B05A2">
        <w:rPr>
          <w:rFonts w:hint="cs"/>
          <w:spacing w:val="-2"/>
          <w:rtl/>
        </w:rPr>
        <w:t>ع</w:t>
      </w:r>
      <w:r w:rsidRPr="004B05A2">
        <w:rPr>
          <w:spacing w:val="-2"/>
          <w:rtl/>
        </w:rPr>
        <w:t>لى فريق العمل التابع للمجلس والمعني بالموارد المالية والبشرية (</w:t>
      </w:r>
      <w:r w:rsidRPr="004B05A2">
        <w:rPr>
          <w:spacing w:val="-2"/>
        </w:rPr>
        <w:t>CWG</w:t>
      </w:r>
      <w:r w:rsidR="004B05A2">
        <w:rPr>
          <w:spacing w:val="-2"/>
        </w:rPr>
        <w:noBreakHyphen/>
      </w:r>
      <w:r w:rsidRPr="004B05A2">
        <w:rPr>
          <w:spacing w:val="-2"/>
        </w:rPr>
        <w:t>FHR</w:t>
      </w:r>
      <w:r w:rsidRPr="004B05A2">
        <w:rPr>
          <w:spacing w:val="-2"/>
          <w:rtl/>
        </w:rPr>
        <w:t>)، كلما دعت الحاجة.</w:t>
      </w:r>
    </w:p>
    <w:p w14:paraId="61686F1E" w14:textId="5D5650B9" w:rsidR="000479C9" w:rsidRPr="002A5F2E" w:rsidRDefault="000479C9" w:rsidP="000479C9">
      <w:pPr>
        <w:textDirection w:val="tbRlV"/>
        <w:rPr>
          <w:rStyle w:val="normaltextrun"/>
          <w:lang w:val="ar-SA" w:eastAsia="zh-TW" w:bidi="en-GB"/>
        </w:rPr>
      </w:pPr>
      <w:r w:rsidRPr="002A5F2E">
        <w:rPr>
          <w:rtl/>
        </w:rPr>
        <w:lastRenderedPageBreak/>
        <w:t xml:space="preserve">ويواصل </w:t>
      </w:r>
      <w:r w:rsidRPr="00F04243">
        <w:rPr>
          <w:rtl/>
        </w:rPr>
        <w:t>فريق التنسيق المشترك بين القطاعات (</w:t>
      </w:r>
      <w:r w:rsidRPr="00F04243">
        <w:t>ISCG</w:t>
      </w:r>
      <w:r w:rsidRPr="00F04243">
        <w:rPr>
          <w:rtl/>
        </w:rPr>
        <w:t xml:space="preserve">) </w:t>
      </w:r>
      <w:r>
        <w:rPr>
          <w:rFonts w:hint="cs"/>
          <w:rtl/>
        </w:rPr>
        <w:t>معالجة</w:t>
      </w:r>
      <w:r w:rsidRPr="002A5F2E">
        <w:rPr>
          <w:rtl/>
        </w:rPr>
        <w:t xml:space="preserve"> إمكانية النفاذ وتغير المناخ والاجتماعات الافتراضية/المشاركة عن ب</w:t>
      </w:r>
      <w:r w:rsidR="002438D9">
        <w:rPr>
          <w:rFonts w:hint="cs"/>
          <w:rtl/>
        </w:rPr>
        <w:t>ُ</w:t>
      </w:r>
      <w:r w:rsidRPr="002A5F2E">
        <w:rPr>
          <w:rtl/>
        </w:rPr>
        <w:t>عد باعتبارها مواضيعه الرئيسية ذات الاهتمام المشترك بهدف تحديد احتياجات الأعضاء وتزويد الأمانة بالمشورة اللازمة بشأن أفضل س</w:t>
      </w:r>
      <w:r w:rsidR="002438D9">
        <w:rPr>
          <w:rFonts w:hint="cs"/>
          <w:rtl/>
        </w:rPr>
        <w:t>ُ</w:t>
      </w:r>
      <w:r w:rsidRPr="002A5F2E">
        <w:rPr>
          <w:rtl/>
        </w:rPr>
        <w:t xml:space="preserve">بل </w:t>
      </w:r>
      <w:r>
        <w:rPr>
          <w:rFonts w:hint="cs"/>
          <w:rtl/>
        </w:rPr>
        <w:t>ا</w:t>
      </w:r>
      <w:r w:rsidRPr="002A5F2E">
        <w:rPr>
          <w:rtl/>
        </w:rPr>
        <w:t xml:space="preserve">لتنسيق. وكما اقترح اجتماع الفريق الاستشاري للاتصالات الراديوية </w:t>
      </w:r>
      <w:r>
        <w:rPr>
          <w:rFonts w:hint="cs"/>
          <w:rtl/>
        </w:rPr>
        <w:t>(</w:t>
      </w:r>
      <w:r w:rsidRPr="002A5F2E">
        <w:t>(RAG</w:t>
      </w:r>
      <w:r w:rsidRPr="002A5F2E">
        <w:rPr>
          <w:rtl/>
        </w:rPr>
        <w:t xml:space="preserve"> الذي </w:t>
      </w:r>
      <w:r>
        <w:rPr>
          <w:rFonts w:hint="cs"/>
          <w:rtl/>
        </w:rPr>
        <w:t>ان</w:t>
      </w:r>
      <w:r w:rsidRPr="002A5F2E">
        <w:rPr>
          <w:rtl/>
        </w:rPr>
        <w:t>عقد في مارس</w:t>
      </w:r>
      <w:r w:rsidR="002438D9">
        <w:rPr>
          <w:rFonts w:hint="cs"/>
          <w:rtl/>
        </w:rPr>
        <w:t> </w:t>
      </w:r>
      <w:r w:rsidRPr="002A5F2E">
        <w:rPr>
          <w:rtl/>
        </w:rPr>
        <w:t xml:space="preserve">2024، وافق </w:t>
      </w:r>
      <w:r w:rsidRPr="00F04243">
        <w:rPr>
          <w:rtl/>
        </w:rPr>
        <w:t>فريق التنسيق المشترك بين القطاعات</w:t>
      </w:r>
      <w:r w:rsidRPr="002A5F2E">
        <w:rPr>
          <w:rtl/>
        </w:rPr>
        <w:t xml:space="preserve"> على إدراج متابعة التحول الرقمي المستدام كموضوع يتطلب نهجا</w:t>
      </w:r>
      <w:r w:rsidR="002438D9">
        <w:rPr>
          <w:rFonts w:hint="cs"/>
          <w:rtl/>
        </w:rPr>
        <w:t>ً</w:t>
      </w:r>
      <w:r w:rsidRPr="002A5F2E">
        <w:rPr>
          <w:rtl/>
        </w:rPr>
        <w:t xml:space="preserve"> وتنسيقا</w:t>
      </w:r>
      <w:r w:rsidR="002438D9">
        <w:rPr>
          <w:rFonts w:hint="cs"/>
          <w:rtl/>
        </w:rPr>
        <w:t>ً</w:t>
      </w:r>
      <w:r w:rsidRPr="002A5F2E">
        <w:rPr>
          <w:rtl/>
        </w:rPr>
        <w:t xml:space="preserve"> على مستوى الاتحاد ككل.</w:t>
      </w:r>
    </w:p>
    <w:p w14:paraId="7E7BBB52" w14:textId="2FC09D0D" w:rsidR="000479C9" w:rsidRPr="002A5F2E" w:rsidRDefault="000479C9" w:rsidP="000479C9">
      <w:pPr>
        <w:textDirection w:val="tbRlV"/>
        <w:rPr>
          <w:rStyle w:val="normaltextrun"/>
          <w:lang w:val="ar-SA" w:eastAsia="zh-TW" w:bidi="en-GB"/>
        </w:rPr>
      </w:pPr>
      <w:r>
        <w:rPr>
          <w:rFonts w:hint="cs"/>
          <w:rtl/>
        </w:rPr>
        <w:t>و</w:t>
      </w:r>
      <w:r w:rsidRPr="002A5F2E">
        <w:rPr>
          <w:rtl/>
        </w:rPr>
        <w:t xml:space="preserve">أعرب فريق التنسيق بين القطاعات عن اهتمامه </w:t>
      </w:r>
      <w:r>
        <w:rPr>
          <w:rFonts w:hint="cs"/>
          <w:rtl/>
        </w:rPr>
        <w:t xml:space="preserve">أيضاً </w:t>
      </w:r>
      <w:r w:rsidRPr="002A5F2E">
        <w:rPr>
          <w:rtl/>
        </w:rPr>
        <w:t>بالمشاركة في مشروع المبنى الجديد لضمان أخذ جميع مسائل إمكانية النفاذ في الاعتبار</w:t>
      </w:r>
      <w:r>
        <w:rPr>
          <w:rFonts w:hint="cs"/>
          <w:rtl/>
        </w:rPr>
        <w:t>؛</w:t>
      </w:r>
      <w:r w:rsidRPr="002A5F2E">
        <w:rPr>
          <w:rtl/>
        </w:rPr>
        <w:t xml:space="preserve"> </w:t>
      </w:r>
      <w:r>
        <w:rPr>
          <w:rFonts w:hint="cs"/>
          <w:rtl/>
        </w:rPr>
        <w:t>وب</w:t>
      </w:r>
      <w:r w:rsidRPr="002A5F2E">
        <w:rPr>
          <w:rtl/>
        </w:rPr>
        <w:t>وضع استراتيجية لجعل موقع الاتحاد على شبكة الويب أكثر أم</w:t>
      </w:r>
      <w:r>
        <w:rPr>
          <w:rFonts w:hint="cs"/>
          <w:rtl/>
        </w:rPr>
        <w:t>ا</w:t>
      </w:r>
      <w:r w:rsidRPr="002A5F2E">
        <w:rPr>
          <w:rtl/>
        </w:rPr>
        <w:t>نا</w:t>
      </w:r>
      <w:r w:rsidR="002438D9">
        <w:rPr>
          <w:rFonts w:hint="cs"/>
          <w:rtl/>
        </w:rPr>
        <w:t>ً</w:t>
      </w:r>
      <w:r w:rsidRPr="002A5F2E">
        <w:rPr>
          <w:rtl/>
        </w:rPr>
        <w:t xml:space="preserve"> وقابلية للبحث وتعدد</w:t>
      </w:r>
      <w:r>
        <w:rPr>
          <w:rFonts w:hint="cs"/>
          <w:rtl/>
        </w:rPr>
        <w:t>اً</w:t>
      </w:r>
      <w:r w:rsidRPr="002A5F2E">
        <w:rPr>
          <w:rtl/>
        </w:rPr>
        <w:t xml:space="preserve"> </w:t>
      </w:r>
      <w:r>
        <w:rPr>
          <w:rFonts w:hint="cs"/>
          <w:rtl/>
        </w:rPr>
        <w:t>ب</w:t>
      </w:r>
      <w:r w:rsidRPr="002A5F2E">
        <w:rPr>
          <w:rtl/>
        </w:rPr>
        <w:t xml:space="preserve">اللغات </w:t>
      </w:r>
      <w:proofErr w:type="spellStart"/>
      <w:r w:rsidRPr="002A5F2E">
        <w:rPr>
          <w:rtl/>
        </w:rPr>
        <w:t>ومواءم</w:t>
      </w:r>
      <w:r>
        <w:rPr>
          <w:rFonts w:hint="cs"/>
          <w:rtl/>
        </w:rPr>
        <w:t>اً</w:t>
      </w:r>
      <w:proofErr w:type="spellEnd"/>
      <w:r w:rsidRPr="002A5F2E">
        <w:rPr>
          <w:rtl/>
        </w:rPr>
        <w:t xml:space="preserve"> </w:t>
      </w:r>
      <w:proofErr w:type="spellStart"/>
      <w:r w:rsidRPr="002A5F2E">
        <w:rPr>
          <w:rtl/>
        </w:rPr>
        <w:t>ومتمحور</w:t>
      </w:r>
      <w:r>
        <w:rPr>
          <w:rFonts w:hint="cs"/>
          <w:rtl/>
        </w:rPr>
        <w:t>اً</w:t>
      </w:r>
      <w:proofErr w:type="spellEnd"/>
      <w:r w:rsidRPr="002A5F2E">
        <w:rPr>
          <w:rtl/>
        </w:rPr>
        <w:t xml:space="preserve"> حول المستعملين، بما في ذلك استعمال اللغات الرسمية الست للاتحاد على قدم المساواة.</w:t>
      </w:r>
    </w:p>
    <w:p w14:paraId="6BCE286E" w14:textId="0B55C814" w:rsidR="000479C9" w:rsidRPr="002A5F2E" w:rsidRDefault="000479C9" w:rsidP="000479C9">
      <w:pPr>
        <w:textDirection w:val="tbRlV"/>
        <w:rPr>
          <w:rStyle w:val="normaltextrun"/>
          <w:lang w:val="ar-SA" w:eastAsia="zh-TW" w:bidi="en-GB"/>
        </w:rPr>
      </w:pPr>
      <w:r w:rsidRPr="002A5F2E">
        <w:rPr>
          <w:rtl/>
        </w:rPr>
        <w:t xml:space="preserve">وسلط فريق </w:t>
      </w:r>
      <w:bookmarkStart w:id="2" w:name="_Hlk166243592"/>
      <w:r w:rsidRPr="002A5F2E">
        <w:rPr>
          <w:rtl/>
        </w:rPr>
        <w:t xml:space="preserve">التنسيق بين </w:t>
      </w:r>
      <w:r w:rsidRPr="00E02C6A">
        <w:rPr>
          <w:rtl/>
        </w:rPr>
        <w:t xml:space="preserve">القطاعات </w:t>
      </w:r>
      <w:bookmarkEnd w:id="2"/>
      <w:r w:rsidRPr="002A5F2E">
        <w:rPr>
          <w:rtl/>
        </w:rPr>
        <w:t>الضوء على أهمية اتباع نهج</w:t>
      </w:r>
      <w:r w:rsidRPr="00E02C6A">
        <w:rPr>
          <w:rtl/>
        </w:rPr>
        <w:t xml:space="preserve"> أكثر</w:t>
      </w:r>
      <w:r w:rsidRPr="002A5F2E">
        <w:rPr>
          <w:rtl/>
        </w:rPr>
        <w:t xml:space="preserve"> </w:t>
      </w:r>
      <w:r w:rsidRPr="00E02C6A">
        <w:rPr>
          <w:rtl/>
        </w:rPr>
        <w:t xml:space="preserve">استباقية، </w:t>
      </w:r>
      <w:r w:rsidRPr="002A5F2E">
        <w:rPr>
          <w:rtl/>
        </w:rPr>
        <w:t>و</w:t>
      </w:r>
      <w:r>
        <w:rPr>
          <w:rFonts w:hint="cs"/>
          <w:rtl/>
        </w:rPr>
        <w:t xml:space="preserve">على </w:t>
      </w:r>
      <w:r w:rsidRPr="002A5F2E">
        <w:rPr>
          <w:rtl/>
        </w:rPr>
        <w:t>دوره كمستشار لمعالجة الحاجة إلى تبسيط القرارات و/أو توزيع المواضيع على نحو أفضل في إطار القطاعات و/أو في إطار مؤتمر المندوبين المفوضين. ويتمثل الهدف الرئيسي للفريق، بوصفه فريقا</w:t>
      </w:r>
      <w:r w:rsidR="002438D9">
        <w:rPr>
          <w:rFonts w:hint="cs"/>
          <w:rtl/>
        </w:rPr>
        <w:t>ً</w:t>
      </w:r>
      <w:r w:rsidRPr="002A5F2E">
        <w:rPr>
          <w:rtl/>
        </w:rPr>
        <w:t xml:space="preserve"> </w:t>
      </w:r>
      <w:r>
        <w:rPr>
          <w:rFonts w:hint="cs"/>
          <w:rtl/>
        </w:rPr>
        <w:t>ي</w:t>
      </w:r>
      <w:r w:rsidRPr="002A5F2E">
        <w:rPr>
          <w:rtl/>
        </w:rPr>
        <w:t xml:space="preserve">حركه </w:t>
      </w:r>
      <w:r>
        <w:rPr>
          <w:rFonts w:hint="cs"/>
          <w:rtl/>
        </w:rPr>
        <w:t>الأعضاء</w:t>
      </w:r>
      <w:r w:rsidRPr="002A5F2E">
        <w:rPr>
          <w:rtl/>
        </w:rPr>
        <w:t>، في نقل شواغل الأعضاء واقتراح سبل لتحسين التنسيق بين القطاعات.</w:t>
      </w:r>
    </w:p>
    <w:p w14:paraId="0391284A" w14:textId="68090B82" w:rsidR="000479C9" w:rsidRPr="002438D9" w:rsidRDefault="000479C9" w:rsidP="000479C9">
      <w:pPr>
        <w:textDirection w:val="tbRlV"/>
        <w:rPr>
          <w:lang w:val="ar-SA" w:eastAsia="zh-TW" w:bidi="en-GB"/>
        </w:rPr>
      </w:pPr>
      <w:r w:rsidRPr="002A5F2E">
        <w:rPr>
          <w:rtl/>
        </w:rPr>
        <w:t xml:space="preserve">ويمكن الاطلاع على معلومات </w:t>
      </w:r>
      <w:r>
        <w:rPr>
          <w:rFonts w:hint="cs"/>
          <w:rtl/>
        </w:rPr>
        <w:t xml:space="preserve">أوفى عن </w:t>
      </w:r>
      <w:r w:rsidRPr="002A5F2E">
        <w:rPr>
          <w:rtl/>
        </w:rPr>
        <w:t xml:space="preserve">فريق </w:t>
      </w:r>
      <w:r w:rsidRPr="00E02C6A">
        <w:rPr>
          <w:rtl/>
        </w:rPr>
        <w:t>التنسيق بين القطاعات</w:t>
      </w:r>
      <w:r w:rsidRPr="002A5F2E">
        <w:rPr>
          <w:rtl/>
        </w:rPr>
        <w:t xml:space="preserve">، مثل تقارير الاجتماعات والوثائق التي نوقشت، </w:t>
      </w:r>
      <w:r w:rsidRPr="002438D9">
        <w:rPr>
          <w:rtl/>
        </w:rPr>
        <w:t>في</w:t>
      </w:r>
      <w:r w:rsidR="00FF736F">
        <w:rPr>
          <w:rFonts w:hint="cs"/>
          <w:rtl/>
        </w:rPr>
        <w:t> </w:t>
      </w:r>
      <w:hyperlink r:id="rId14" w:anchor="/ar" w:history="1">
        <w:r w:rsidRPr="002438D9">
          <w:rPr>
            <w:rStyle w:val="Hyperlink"/>
            <w:rtl/>
          </w:rPr>
          <w:t>الصفحة الإلكترونية لفريق التنسيق بين القطاعات</w:t>
        </w:r>
      </w:hyperlink>
      <w:r w:rsidRPr="002438D9">
        <w:rPr>
          <w:rtl/>
        </w:rPr>
        <w:t>.</w:t>
      </w:r>
      <w:r w:rsidR="00C60080">
        <w:rPr>
          <w:rFonts w:hint="cs"/>
          <w:rtl/>
        </w:rPr>
        <w:t xml:space="preserve"> </w:t>
      </w:r>
    </w:p>
    <w:p w14:paraId="21DFBADD" w14:textId="1DBD5D45" w:rsidR="00F50E3F" w:rsidRDefault="000479C9" w:rsidP="002438D9">
      <w:pPr>
        <w:spacing w:before="600"/>
        <w:jc w:val="center"/>
        <w:rPr>
          <w:rtl/>
        </w:rPr>
      </w:pPr>
      <w:r w:rsidRPr="002438D9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E1E1" w14:textId="77777777" w:rsidR="00AD3536" w:rsidRDefault="00AD3536" w:rsidP="006C3242">
      <w:pPr>
        <w:spacing w:before="0" w:line="240" w:lineRule="auto"/>
      </w:pPr>
      <w:r>
        <w:separator/>
      </w:r>
    </w:p>
  </w:endnote>
  <w:endnote w:type="continuationSeparator" w:id="0">
    <w:p w14:paraId="49094A0E" w14:textId="77777777" w:rsidR="00AD3536" w:rsidRDefault="00AD35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419F151" w14:textId="77777777" w:rsidTr="00357086">
      <w:trPr>
        <w:jc w:val="center"/>
      </w:trPr>
      <w:tc>
        <w:tcPr>
          <w:tcW w:w="868" w:type="pct"/>
          <w:vAlign w:val="center"/>
        </w:tcPr>
        <w:p w14:paraId="148B01CD" w14:textId="50997E0F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33D0D636" w14:textId="27F08134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0479C9">
            <w:rPr>
              <w:rFonts w:ascii="Calibri" w:hAnsi="Calibri" w:cs="Arial"/>
              <w:bCs/>
              <w:color w:val="7F7F7F"/>
              <w:sz w:val="18"/>
            </w:rPr>
            <w:t>27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DB6AD0E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24B7463" w14:textId="5F0E7F3F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1EC4371" w14:textId="77777777" w:rsidTr="00F50E3F">
      <w:trPr>
        <w:jc w:val="center"/>
      </w:trPr>
      <w:tc>
        <w:tcPr>
          <w:tcW w:w="868" w:type="pct"/>
          <w:vAlign w:val="center"/>
        </w:tcPr>
        <w:p w14:paraId="5FABE477" w14:textId="77777777" w:rsidR="007B0AA0" w:rsidRPr="007B0AA0" w:rsidRDefault="00FA407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60689547" w14:textId="73A055BC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0479C9">
            <w:rPr>
              <w:rFonts w:ascii="Calibri" w:hAnsi="Calibri" w:cs="Arial"/>
              <w:bCs/>
              <w:color w:val="7F7F7F"/>
              <w:sz w:val="18"/>
            </w:rPr>
            <w:t>27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7339BC9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FE3FC39" w14:textId="51CC9CFF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7CF0" w14:textId="77777777" w:rsidR="00AD3536" w:rsidRDefault="00AD3536" w:rsidP="006C3242">
      <w:pPr>
        <w:spacing w:before="0" w:line="240" w:lineRule="auto"/>
      </w:pPr>
      <w:r>
        <w:separator/>
      </w:r>
    </w:p>
  </w:footnote>
  <w:footnote w:type="continuationSeparator" w:id="0">
    <w:p w14:paraId="4D41D33E" w14:textId="77777777" w:rsidR="00AD3536" w:rsidRDefault="00AD35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8830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552D5" wp14:editId="6C479CA1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D33BDD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1250B1DF" wp14:editId="3CC46259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36"/>
    <w:rsid w:val="000479C9"/>
    <w:rsid w:val="0006468A"/>
    <w:rsid w:val="00090574"/>
    <w:rsid w:val="0009186A"/>
    <w:rsid w:val="000C1C0E"/>
    <w:rsid w:val="000C548A"/>
    <w:rsid w:val="001100A7"/>
    <w:rsid w:val="00195B5F"/>
    <w:rsid w:val="001A33A4"/>
    <w:rsid w:val="001C0169"/>
    <w:rsid w:val="001D1D50"/>
    <w:rsid w:val="001D6745"/>
    <w:rsid w:val="001E446E"/>
    <w:rsid w:val="002154EE"/>
    <w:rsid w:val="002276D2"/>
    <w:rsid w:val="0023283D"/>
    <w:rsid w:val="002438D9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87876"/>
    <w:rsid w:val="003F4B29"/>
    <w:rsid w:val="0042686F"/>
    <w:rsid w:val="004317D8"/>
    <w:rsid w:val="00434183"/>
    <w:rsid w:val="00443869"/>
    <w:rsid w:val="00447F32"/>
    <w:rsid w:val="004B05A2"/>
    <w:rsid w:val="004B7334"/>
    <w:rsid w:val="004E11DC"/>
    <w:rsid w:val="00525DDD"/>
    <w:rsid w:val="00530E99"/>
    <w:rsid w:val="005409AC"/>
    <w:rsid w:val="0055516A"/>
    <w:rsid w:val="00562A38"/>
    <w:rsid w:val="0058491B"/>
    <w:rsid w:val="00592EA5"/>
    <w:rsid w:val="005A3170"/>
    <w:rsid w:val="00621E23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24B53"/>
    <w:rsid w:val="0074420E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52765"/>
    <w:rsid w:val="008A7F84"/>
    <w:rsid w:val="0091702E"/>
    <w:rsid w:val="00923B0C"/>
    <w:rsid w:val="0094021C"/>
    <w:rsid w:val="00952F86"/>
    <w:rsid w:val="00974B51"/>
    <w:rsid w:val="00982B28"/>
    <w:rsid w:val="00993D6F"/>
    <w:rsid w:val="009D313F"/>
    <w:rsid w:val="009D47CB"/>
    <w:rsid w:val="00A47A5A"/>
    <w:rsid w:val="00A525E1"/>
    <w:rsid w:val="00A6683B"/>
    <w:rsid w:val="00A97F94"/>
    <w:rsid w:val="00AA7EA2"/>
    <w:rsid w:val="00AD3536"/>
    <w:rsid w:val="00AF2D4E"/>
    <w:rsid w:val="00B03099"/>
    <w:rsid w:val="00B05BC8"/>
    <w:rsid w:val="00B13D70"/>
    <w:rsid w:val="00B6080B"/>
    <w:rsid w:val="00B64B47"/>
    <w:rsid w:val="00B91B14"/>
    <w:rsid w:val="00B95654"/>
    <w:rsid w:val="00C002DE"/>
    <w:rsid w:val="00C53BF8"/>
    <w:rsid w:val="00C60080"/>
    <w:rsid w:val="00C66157"/>
    <w:rsid w:val="00C674FE"/>
    <w:rsid w:val="00C67501"/>
    <w:rsid w:val="00C75633"/>
    <w:rsid w:val="00CA73EB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95327"/>
    <w:rsid w:val="00EB796D"/>
    <w:rsid w:val="00F058DC"/>
    <w:rsid w:val="00F24FC4"/>
    <w:rsid w:val="00F2676C"/>
    <w:rsid w:val="00F363FE"/>
    <w:rsid w:val="00F50E3F"/>
    <w:rsid w:val="00F77CF7"/>
    <w:rsid w:val="00F84366"/>
    <w:rsid w:val="00F85089"/>
    <w:rsid w:val="00F974C5"/>
    <w:rsid w:val="00FA407F"/>
    <w:rsid w:val="00FA6F46"/>
    <w:rsid w:val="00FC4592"/>
    <w:rsid w:val="00FD4770"/>
    <w:rsid w:val="00FD527F"/>
    <w:rsid w:val="00FE5872"/>
    <w:rsid w:val="00FE7FCA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CC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paragraph" w:customStyle="1" w:styleId="Annextitle0">
    <w:name w:val="Annex_title"/>
    <w:basedOn w:val="Normal"/>
    <w:next w:val="Normal"/>
    <w:uiPriority w:val="1"/>
    <w:rsid w:val="000479C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bidi w:val="0"/>
      <w:spacing w:before="240" w:after="240" w:line="240" w:lineRule="auto"/>
      <w:jc w:val="center"/>
    </w:pPr>
    <w:rPr>
      <w:rFonts w:ascii="Times New Roman" w:eastAsia="Times New Roman" w:hAnsi="CG Times" w:cs="Simplified Arabic" w:hint="cs"/>
      <w:b/>
      <w:bCs/>
      <w:sz w:val="28"/>
      <w:szCs w:val="28"/>
    </w:rPr>
  </w:style>
  <w:style w:type="character" w:customStyle="1" w:styleId="normaltextrun">
    <w:name w:val="normaltextrun"/>
    <w:basedOn w:val="DefaultParagraphFont"/>
    <w:rsid w:val="000479C9"/>
  </w:style>
  <w:style w:type="character" w:styleId="UnresolvedMention">
    <w:name w:val="Unresolved Mention"/>
    <w:basedOn w:val="DefaultParagraphFont"/>
    <w:uiPriority w:val="99"/>
    <w:semiHidden/>
    <w:unhideWhenUsed/>
    <w:rsid w:val="000479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5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71-A.pdf" TargetMode="External"/><Relationship Id="rId13" Type="http://schemas.openxmlformats.org/officeDocument/2006/relationships/hyperlink" Target="https://www.itu.int/md/S24-CL-C-0017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4-CL-C-0035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ar/general-secretariat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council/Documents/basic-texts-2023/DEC-005-A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191-A.pdf" TargetMode="External"/><Relationship Id="rId14" Type="http://schemas.openxmlformats.org/officeDocument/2006/relationships/hyperlink" Target="https://www.itu.int/en/general-secretariat/Pages/ISCG/defaul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2024-05-23T16:03:00Z</dcterms:created>
  <dcterms:modified xsi:type="dcterms:W3CDTF">2024-05-23T16:03:00Z</dcterms:modified>
  <cp:category>Conference document</cp:category>
</cp:coreProperties>
</file>