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33A30CB6" w14:textId="77777777" w:rsidTr="00C538FC">
        <w:trPr>
          <w:cantSplit/>
          <w:trHeight w:val="23"/>
        </w:trPr>
        <w:tc>
          <w:tcPr>
            <w:tcW w:w="3969" w:type="dxa"/>
            <w:vMerge w:val="restart"/>
            <w:tcMar>
              <w:left w:w="0" w:type="dxa"/>
            </w:tcMar>
          </w:tcPr>
          <w:p w14:paraId="03770CAA" w14:textId="5DF90429" w:rsidR="00FE57F6" w:rsidRPr="00E85629" w:rsidRDefault="001D4474" w:rsidP="00C538FC">
            <w:pPr>
              <w:tabs>
                <w:tab w:val="left" w:pos="851"/>
              </w:tabs>
              <w:spacing w:before="0" w:line="240" w:lineRule="atLeast"/>
              <w:rPr>
                <w:b/>
              </w:rPr>
            </w:pPr>
            <w:bookmarkStart w:id="0" w:name="_Hlk133421839"/>
            <w:r>
              <w:rPr>
                <w:b/>
                <w:bCs/>
                <w:lang w:val="es-ES"/>
              </w:rPr>
              <w:t>Punto del orden del día: PL.2</w:t>
            </w:r>
          </w:p>
        </w:tc>
        <w:tc>
          <w:tcPr>
            <w:tcW w:w="5245" w:type="dxa"/>
          </w:tcPr>
          <w:p w14:paraId="092D8DBC" w14:textId="2B4DE7A7"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1D4474">
              <w:rPr>
                <w:b/>
              </w:rPr>
              <w:t>26</w:t>
            </w:r>
            <w:r>
              <w:rPr>
                <w:b/>
              </w:rPr>
              <w:t>-</w:t>
            </w:r>
            <w:r w:rsidR="00F24B71">
              <w:rPr>
                <w:b/>
              </w:rPr>
              <w:t>S</w:t>
            </w:r>
          </w:p>
        </w:tc>
      </w:tr>
      <w:tr w:rsidR="00FE57F6" w:rsidRPr="00813E5E" w14:paraId="63EAF6D2" w14:textId="77777777" w:rsidTr="00C538FC">
        <w:trPr>
          <w:cantSplit/>
        </w:trPr>
        <w:tc>
          <w:tcPr>
            <w:tcW w:w="3969" w:type="dxa"/>
            <w:vMerge/>
          </w:tcPr>
          <w:p w14:paraId="112B6A6D" w14:textId="77777777" w:rsidR="00FE57F6" w:rsidRPr="00813E5E" w:rsidRDefault="00FE57F6" w:rsidP="00C538FC">
            <w:pPr>
              <w:tabs>
                <w:tab w:val="left" w:pos="851"/>
              </w:tabs>
              <w:spacing w:line="240" w:lineRule="atLeast"/>
              <w:rPr>
                <w:b/>
              </w:rPr>
            </w:pPr>
          </w:p>
        </w:tc>
        <w:tc>
          <w:tcPr>
            <w:tcW w:w="5245" w:type="dxa"/>
          </w:tcPr>
          <w:p w14:paraId="499E95F0" w14:textId="5A5723C7" w:rsidR="00FE57F6" w:rsidRPr="00E85629" w:rsidRDefault="001D4474" w:rsidP="00C538FC">
            <w:pPr>
              <w:tabs>
                <w:tab w:val="left" w:pos="851"/>
              </w:tabs>
              <w:spacing w:before="0"/>
              <w:jc w:val="right"/>
              <w:rPr>
                <w:b/>
              </w:rPr>
            </w:pPr>
            <w:r>
              <w:rPr>
                <w:b/>
                <w:bCs/>
                <w:lang w:val="es-ES"/>
              </w:rPr>
              <w:t xml:space="preserve">9 de abril de </w:t>
            </w:r>
            <w:r w:rsidR="00FE57F6">
              <w:rPr>
                <w:b/>
              </w:rPr>
              <w:t>202</w:t>
            </w:r>
            <w:r w:rsidR="0064481D">
              <w:rPr>
                <w:b/>
              </w:rPr>
              <w:t>4</w:t>
            </w:r>
          </w:p>
        </w:tc>
      </w:tr>
      <w:tr w:rsidR="00FE57F6" w:rsidRPr="00F24B71" w14:paraId="79B27AB6" w14:textId="77777777" w:rsidTr="00C538FC">
        <w:trPr>
          <w:cantSplit/>
          <w:trHeight w:val="23"/>
        </w:trPr>
        <w:tc>
          <w:tcPr>
            <w:tcW w:w="3969" w:type="dxa"/>
            <w:vMerge/>
          </w:tcPr>
          <w:p w14:paraId="480BBFF0" w14:textId="77777777" w:rsidR="00FE57F6" w:rsidRPr="00813E5E" w:rsidRDefault="00FE57F6" w:rsidP="00C538FC">
            <w:pPr>
              <w:tabs>
                <w:tab w:val="left" w:pos="851"/>
              </w:tabs>
              <w:spacing w:line="240" w:lineRule="atLeast"/>
              <w:rPr>
                <w:b/>
              </w:rPr>
            </w:pPr>
          </w:p>
        </w:tc>
        <w:tc>
          <w:tcPr>
            <w:tcW w:w="5245" w:type="dxa"/>
          </w:tcPr>
          <w:p w14:paraId="05CF3860"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694044AF" w14:textId="77777777" w:rsidTr="00C538FC">
        <w:trPr>
          <w:cantSplit/>
          <w:trHeight w:val="23"/>
        </w:trPr>
        <w:tc>
          <w:tcPr>
            <w:tcW w:w="3969" w:type="dxa"/>
          </w:tcPr>
          <w:p w14:paraId="4F1A8F07" w14:textId="77777777" w:rsidR="00FE57F6" w:rsidRPr="00813E5E" w:rsidRDefault="00FE57F6" w:rsidP="00C538FC">
            <w:pPr>
              <w:tabs>
                <w:tab w:val="left" w:pos="851"/>
              </w:tabs>
              <w:spacing w:line="240" w:lineRule="atLeast"/>
              <w:rPr>
                <w:b/>
              </w:rPr>
            </w:pPr>
          </w:p>
        </w:tc>
        <w:tc>
          <w:tcPr>
            <w:tcW w:w="5245" w:type="dxa"/>
          </w:tcPr>
          <w:p w14:paraId="48EDE392" w14:textId="77777777" w:rsidR="00FE57F6" w:rsidRDefault="00FE57F6" w:rsidP="00C538FC">
            <w:pPr>
              <w:tabs>
                <w:tab w:val="left" w:pos="851"/>
              </w:tabs>
              <w:spacing w:before="0" w:line="240" w:lineRule="atLeast"/>
              <w:jc w:val="right"/>
              <w:rPr>
                <w:b/>
              </w:rPr>
            </w:pPr>
          </w:p>
        </w:tc>
      </w:tr>
      <w:tr w:rsidR="00FE57F6" w:rsidRPr="00FE57F6" w14:paraId="18F7A618" w14:textId="77777777" w:rsidTr="00C538FC">
        <w:trPr>
          <w:cantSplit/>
        </w:trPr>
        <w:tc>
          <w:tcPr>
            <w:tcW w:w="9214" w:type="dxa"/>
            <w:gridSpan w:val="2"/>
            <w:tcMar>
              <w:left w:w="0" w:type="dxa"/>
            </w:tcMar>
          </w:tcPr>
          <w:p w14:paraId="6197D5F3" w14:textId="3A416AF8" w:rsidR="00FE57F6" w:rsidRPr="004B5D49" w:rsidRDefault="00FE57F6" w:rsidP="00EE4ECD">
            <w:pPr>
              <w:pStyle w:val="Source"/>
              <w:spacing w:before="600"/>
              <w:jc w:val="left"/>
              <w:rPr>
                <w:sz w:val="34"/>
                <w:szCs w:val="34"/>
                <w:lang w:val="es-ES"/>
              </w:rPr>
            </w:pPr>
          </w:p>
        </w:tc>
      </w:tr>
      <w:tr w:rsidR="00FE57F6" w:rsidRPr="00813E5E" w14:paraId="2621B802" w14:textId="77777777" w:rsidTr="00C538FC">
        <w:trPr>
          <w:cantSplit/>
        </w:trPr>
        <w:tc>
          <w:tcPr>
            <w:tcW w:w="9214" w:type="dxa"/>
            <w:gridSpan w:val="2"/>
            <w:tcMar>
              <w:left w:w="0" w:type="dxa"/>
            </w:tcMar>
          </w:tcPr>
          <w:p w14:paraId="6FAB9FE3" w14:textId="3FA44DE8" w:rsidR="00FE57F6" w:rsidRPr="001D4474" w:rsidRDefault="001D4474" w:rsidP="00C538FC">
            <w:pPr>
              <w:pStyle w:val="Subtitle"/>
              <w:framePr w:hSpace="0" w:wrap="auto" w:hAnchor="text" w:xAlign="left" w:yAlign="inline"/>
              <w:rPr>
                <w:lang w:val="es-ES"/>
              </w:rPr>
            </w:pPr>
            <w:bookmarkStart w:id="1" w:name="_Hlk165465668"/>
            <w:r>
              <w:rPr>
                <w:lang w:val="es-ES"/>
              </w:rPr>
              <w:t>INFORME DE SITUACIÓN DEL PRESIDENTE DEL GRUPO DE EXPERTOS SOBRE EL REGLAMENTO DE LAS TELECOMUNICACIONES INTERNACIONALES (GE-RTI)</w:t>
            </w:r>
            <w:bookmarkEnd w:id="1"/>
          </w:p>
        </w:tc>
      </w:tr>
      <w:tr w:rsidR="00FE57F6" w:rsidRPr="00813E5E" w14:paraId="57E6375C" w14:textId="77777777" w:rsidTr="00C538FC">
        <w:trPr>
          <w:cantSplit/>
        </w:trPr>
        <w:tc>
          <w:tcPr>
            <w:tcW w:w="9214" w:type="dxa"/>
            <w:gridSpan w:val="2"/>
            <w:tcBorders>
              <w:top w:val="single" w:sz="4" w:space="0" w:color="auto"/>
              <w:bottom w:val="single" w:sz="4" w:space="0" w:color="auto"/>
            </w:tcBorders>
            <w:tcMar>
              <w:left w:w="0" w:type="dxa"/>
            </w:tcMar>
          </w:tcPr>
          <w:p w14:paraId="769CF7F8" w14:textId="06386156" w:rsidR="00FE57F6" w:rsidRPr="00F24B71" w:rsidRDefault="00F24B71" w:rsidP="00C538FC">
            <w:pPr>
              <w:spacing w:before="160"/>
              <w:rPr>
                <w:b/>
                <w:bCs/>
                <w:sz w:val="26"/>
                <w:szCs w:val="26"/>
                <w:lang w:val="es-ES"/>
              </w:rPr>
            </w:pPr>
            <w:r w:rsidRPr="00F24B71">
              <w:rPr>
                <w:b/>
                <w:bCs/>
                <w:sz w:val="26"/>
                <w:szCs w:val="26"/>
                <w:lang w:val="es-ES"/>
              </w:rPr>
              <w:t>Objetivo</w:t>
            </w:r>
          </w:p>
          <w:p w14:paraId="7EE1DDBA" w14:textId="499ABA72" w:rsidR="00FE57F6" w:rsidRPr="00F24B71" w:rsidRDefault="001D4474" w:rsidP="00C538FC">
            <w:pPr>
              <w:rPr>
                <w:lang w:val="es-ES"/>
              </w:rPr>
            </w:pPr>
            <w:r>
              <w:rPr>
                <w:lang w:val="es-ES"/>
              </w:rPr>
              <w:t>En el presente informe de situación se exponen los principales resultados de la primera y segunda reunión del GE-RTI, celebradas los días 16 de octubre de 2023, y 29 y 30 de enero de 2024, respectivamente, de conformidad con la Resolución 146 (Rev. Bucarest, 2022) de la PP y la Resolución 1379 (Mod. 2023).</w:t>
            </w:r>
          </w:p>
          <w:p w14:paraId="3A04137E"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96CAA68" w14:textId="3808EF6F" w:rsidR="00FE57F6" w:rsidRPr="00F24B71" w:rsidRDefault="001D4474" w:rsidP="00C538FC">
            <w:pPr>
              <w:rPr>
                <w:lang w:val="es-ES"/>
              </w:rPr>
            </w:pPr>
            <w:r>
              <w:rPr>
                <w:lang w:val="es-ES"/>
              </w:rPr>
              <w:t>Se invita al Consejo a que</w:t>
            </w:r>
            <w:r>
              <w:rPr>
                <w:b/>
                <w:bCs/>
                <w:lang w:val="es-ES"/>
              </w:rPr>
              <w:t xml:space="preserve"> tome nota</w:t>
            </w:r>
            <w:r>
              <w:rPr>
                <w:lang w:val="es-ES"/>
              </w:rPr>
              <w:t xml:space="preserve"> del Informe.</w:t>
            </w:r>
          </w:p>
          <w:p w14:paraId="68D22541"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60EC27C5" w14:textId="352F8A67" w:rsidR="00FE57F6" w:rsidRPr="00F24B71" w:rsidRDefault="001D4474" w:rsidP="00C538FC">
            <w:pPr>
              <w:rPr>
                <w:lang w:val="es-ES"/>
              </w:rPr>
            </w:pPr>
            <w:r>
              <w:rPr>
                <w:lang w:val="es-ES"/>
              </w:rPr>
              <w:t>Plataforma de convocación; desarrollo y aplicación de los Reglamentos Administrativos de la UIT.</w:t>
            </w:r>
          </w:p>
          <w:p w14:paraId="0799766D" w14:textId="214149F7" w:rsidR="001D4474" w:rsidRDefault="00F24B71" w:rsidP="00C538FC">
            <w:pPr>
              <w:spacing w:before="160"/>
              <w:rPr>
                <w:b/>
                <w:bCs/>
                <w:sz w:val="26"/>
                <w:szCs w:val="26"/>
              </w:rPr>
            </w:pPr>
            <w:r w:rsidRPr="00F24B71">
              <w:rPr>
                <w:b/>
                <w:bCs/>
                <w:sz w:val="26"/>
                <w:szCs w:val="26"/>
              </w:rPr>
              <w:t>Repercusiones financieras</w:t>
            </w:r>
          </w:p>
          <w:p w14:paraId="5EBEA5C1" w14:textId="0F09B28C" w:rsidR="00FE57F6" w:rsidRDefault="001D4474" w:rsidP="00C538FC">
            <w:pPr>
              <w:spacing w:before="160"/>
              <w:rPr>
                <w:b/>
                <w:bCs/>
                <w:sz w:val="26"/>
                <w:szCs w:val="26"/>
              </w:rPr>
            </w:pPr>
            <w:r w:rsidRPr="00E374BD">
              <w:rPr>
                <w:lang w:val="es-ES"/>
              </w:rPr>
              <w:t>Dentro del presupuesto asignado 2024-2025.</w:t>
            </w:r>
          </w:p>
          <w:p w14:paraId="52E9BA40" w14:textId="77777777" w:rsidR="00FE57F6" w:rsidRPr="00813E5E" w:rsidRDefault="00FE57F6" w:rsidP="00C538FC">
            <w:pPr>
              <w:spacing w:before="160"/>
              <w:rPr>
                <w:caps/>
                <w:sz w:val="22"/>
              </w:rPr>
            </w:pPr>
            <w:r w:rsidRPr="00813E5E">
              <w:rPr>
                <w:sz w:val="22"/>
              </w:rPr>
              <w:t>____________</w:t>
            </w:r>
            <w:r>
              <w:rPr>
                <w:sz w:val="22"/>
              </w:rPr>
              <w:t>______</w:t>
            </w:r>
          </w:p>
          <w:p w14:paraId="6B9AFA9F" w14:textId="08F56D06" w:rsidR="00FE57F6" w:rsidRDefault="00F24B71" w:rsidP="00C538FC">
            <w:pPr>
              <w:spacing w:before="160"/>
              <w:rPr>
                <w:b/>
                <w:bCs/>
                <w:sz w:val="26"/>
                <w:szCs w:val="26"/>
              </w:rPr>
            </w:pPr>
            <w:r w:rsidRPr="00F24B71">
              <w:rPr>
                <w:b/>
                <w:bCs/>
                <w:sz w:val="26"/>
                <w:szCs w:val="26"/>
              </w:rPr>
              <w:t>Referencia</w:t>
            </w:r>
            <w:r w:rsidR="001D4474">
              <w:rPr>
                <w:b/>
                <w:bCs/>
                <w:sz w:val="26"/>
                <w:szCs w:val="26"/>
              </w:rPr>
              <w:t>s</w:t>
            </w:r>
          </w:p>
          <w:p w14:paraId="338D89A4" w14:textId="70794DF4" w:rsidR="00FE57F6" w:rsidRDefault="00EE4ECD" w:rsidP="00C538FC">
            <w:pPr>
              <w:spacing w:after="160"/>
            </w:pPr>
            <w:hyperlink r:id="rId7" w:history="1">
              <w:r w:rsidR="001D4474" w:rsidRPr="00E374BD">
                <w:rPr>
                  <w:rStyle w:val="Hyperlink"/>
                  <w:i/>
                  <w:iCs/>
                  <w:lang w:val="es-ES"/>
                </w:rPr>
                <w:t>Resolución 146 (Rev. Bucarest, 2022)</w:t>
              </w:r>
            </w:hyperlink>
            <w:r w:rsidR="001D4474" w:rsidRPr="00E374BD">
              <w:rPr>
                <w:i/>
                <w:iCs/>
                <w:u w:val="single"/>
                <w:lang w:val="es-ES"/>
              </w:rPr>
              <w:t>;</w:t>
            </w:r>
            <w:r w:rsidR="001D4474" w:rsidRPr="00E374BD">
              <w:rPr>
                <w:lang w:val="es-ES"/>
              </w:rPr>
              <w:t xml:space="preserve"> </w:t>
            </w:r>
            <w:hyperlink r:id="rId8" w:history="1">
              <w:r w:rsidR="001D4474" w:rsidRPr="00E374BD">
                <w:rPr>
                  <w:rStyle w:val="Hyperlink"/>
                  <w:i/>
                  <w:iCs/>
                  <w:lang w:val="es-ES"/>
                </w:rPr>
                <w:t>Resolución 1379 (Mod.2023) del Consejo</w:t>
              </w:r>
            </w:hyperlink>
          </w:p>
        </w:tc>
      </w:tr>
      <w:bookmarkEnd w:id="0"/>
    </w:tbl>
    <w:p w14:paraId="35E6BC02" w14:textId="77777777" w:rsidR="00093EEB" w:rsidRDefault="00093EEB"/>
    <w:p w14:paraId="6FC76EAB"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7567C4E7" w14:textId="414D6C06" w:rsidR="001D4474" w:rsidRPr="00E374BD" w:rsidRDefault="001D4474" w:rsidP="001D4474">
      <w:pPr>
        <w:pStyle w:val="Heading1"/>
        <w:rPr>
          <w:lang w:val="es-ES"/>
        </w:rPr>
      </w:pPr>
      <w:r>
        <w:rPr>
          <w:lang w:val="es-ES"/>
        </w:rPr>
        <w:lastRenderedPageBreak/>
        <w:t>1</w:t>
      </w:r>
      <w:r>
        <w:rPr>
          <w:lang w:val="es-ES"/>
        </w:rPr>
        <w:tab/>
        <w:t>Introducción</w:t>
      </w:r>
    </w:p>
    <w:p w14:paraId="28F9C0BD" w14:textId="1AA84F52" w:rsidR="001D4474" w:rsidRPr="00E374BD" w:rsidRDefault="001D4474" w:rsidP="001D4474">
      <w:pPr>
        <w:rPr>
          <w:lang w:val="es-ES"/>
        </w:rPr>
      </w:pPr>
      <w:r>
        <w:rPr>
          <w:lang w:val="es-ES"/>
        </w:rPr>
        <w:t>1.1</w:t>
      </w:r>
      <w:r>
        <w:rPr>
          <w:lang w:val="es-ES"/>
        </w:rPr>
        <w:tab/>
        <w:t xml:space="preserve">El </w:t>
      </w:r>
      <w:hyperlink r:id="rId9" w:anchor="/es" w:history="1">
        <w:r w:rsidRPr="00E374BD">
          <w:rPr>
            <w:rStyle w:val="Hyperlink"/>
            <w:lang w:val="es-ES"/>
          </w:rPr>
          <w:t>Grupo de Expertos sobre el Reglamento de las Telecomunicaciones Internacionales (GE-RTI)</w:t>
        </w:r>
      </w:hyperlink>
      <w:r>
        <w:rPr>
          <w:lang w:val="es-ES"/>
        </w:rPr>
        <w:t xml:space="preserve">, abierto a todos los Estados Miembros y Miembros de Sector, fue convocado de nuevo por la Resolución 1379 del Consejo (C16, última modificación C23) para seguir examinando cuestiones relativas al RTI, incluido su examen, de conformidad con el mandato que figura en el Anexo 1 a la presente Resolución. </w:t>
      </w:r>
    </w:p>
    <w:p w14:paraId="1063DF04" w14:textId="77777777" w:rsidR="001D4474" w:rsidRPr="00E374BD" w:rsidRDefault="001D4474" w:rsidP="001D4474">
      <w:pPr>
        <w:rPr>
          <w:szCs w:val="24"/>
          <w:lang w:val="es-ES"/>
        </w:rPr>
      </w:pPr>
      <w:r>
        <w:rPr>
          <w:lang w:val="es-ES"/>
        </w:rPr>
        <w:t>1.2</w:t>
      </w:r>
      <w:r>
        <w:rPr>
          <w:lang w:val="es-ES"/>
        </w:rPr>
        <w:tab/>
        <w:t>El mandato del GE-RTI, especificado en la Resolución 1379 del Consejo (C16, última modificación C23), consiste en seguir examinando el RTI. Teniendo en cuenta la labor de los dos anteriores Grupos de Expertos, en el examen se podrán abordar, entre otras cosas:</w:t>
      </w:r>
    </w:p>
    <w:p w14:paraId="626F5373" w14:textId="650C1BD7" w:rsidR="001D4474" w:rsidRPr="00E374BD" w:rsidRDefault="001D4474" w:rsidP="001D4474">
      <w:pPr>
        <w:pStyle w:val="enumlev1"/>
        <w:rPr>
          <w:szCs w:val="24"/>
          <w:lang w:val="es-ES"/>
        </w:rPr>
      </w:pPr>
      <w:r w:rsidRPr="001D4474">
        <w:rPr>
          <w:lang w:val="es-ES"/>
        </w:rPr>
        <w:t>•</w:t>
      </w:r>
      <w:r>
        <w:rPr>
          <w:lang w:val="es-ES"/>
        </w:rPr>
        <w:tab/>
        <w:t>las nuevas tendencias en las telecomunicaciones/TIC y los nuevos problemas del entorno internacional de las telecomunicaciones/TIC que pueden repercutir en el RTI;</w:t>
      </w:r>
    </w:p>
    <w:p w14:paraId="63E1490D" w14:textId="197A7393" w:rsidR="001D4474" w:rsidRPr="00E374BD" w:rsidRDefault="001D4474" w:rsidP="001D4474">
      <w:pPr>
        <w:pStyle w:val="enumlev1"/>
        <w:rPr>
          <w:szCs w:val="24"/>
          <w:lang w:val="es-ES"/>
        </w:rPr>
      </w:pPr>
      <w:r w:rsidRPr="001D4474">
        <w:rPr>
          <w:lang w:val="es-ES"/>
        </w:rPr>
        <w:t>•</w:t>
      </w:r>
      <w:r>
        <w:rPr>
          <w:lang w:val="es-ES"/>
        </w:rPr>
        <w:tab/>
        <w:t>datos empíricos de la utilización actual del RTI por parte de los organismos y/o administraciones de explotación y la proporción de los servicios de telecomunicaciones mundiales que se basan actualmente en el RTI, y</w:t>
      </w:r>
    </w:p>
    <w:p w14:paraId="54BC759A" w14:textId="57AF15A7" w:rsidR="001D4474" w:rsidRPr="00E374BD" w:rsidRDefault="001D4474" w:rsidP="001D4474">
      <w:pPr>
        <w:pStyle w:val="enumlev1"/>
        <w:rPr>
          <w:lang w:val="es-ES"/>
        </w:rPr>
      </w:pPr>
      <w:r w:rsidRPr="001D4474">
        <w:rPr>
          <w:lang w:val="es-ES"/>
        </w:rPr>
        <w:t>•</w:t>
      </w:r>
      <w:r>
        <w:rPr>
          <w:lang w:val="es-ES"/>
        </w:rPr>
        <w:tab/>
        <w:t>la pertinencia del RTI que está conformado por "los principios rectores de alto nivel" en el entorno actual de telecomunicaciones/TIC.</w:t>
      </w:r>
    </w:p>
    <w:p w14:paraId="5CF874C7" w14:textId="77777777" w:rsidR="001D4474" w:rsidRPr="00E374BD" w:rsidRDefault="001D4474" w:rsidP="001D4474">
      <w:pPr>
        <w:pStyle w:val="Heading1"/>
        <w:rPr>
          <w:lang w:val="es-ES"/>
        </w:rPr>
      </w:pPr>
      <w:r>
        <w:rPr>
          <w:lang w:val="es-ES"/>
        </w:rPr>
        <w:t>2</w:t>
      </w:r>
      <w:r>
        <w:rPr>
          <w:lang w:val="es-ES"/>
        </w:rPr>
        <w:tab/>
        <w:t>Actividades del GE-RTI</w:t>
      </w:r>
    </w:p>
    <w:p w14:paraId="42A4DC58" w14:textId="77777777" w:rsidR="001D4474" w:rsidRPr="00E374BD" w:rsidRDefault="001D4474" w:rsidP="001D4474">
      <w:pPr>
        <w:rPr>
          <w:rFonts w:eastAsia="Calibri" w:cs="Calibri"/>
          <w:color w:val="000000"/>
          <w:szCs w:val="24"/>
          <w:u w:color="000000"/>
          <w:bdr w:val="nil"/>
          <w:lang w:val="es-ES"/>
        </w:rPr>
      </w:pPr>
      <w:r>
        <w:rPr>
          <w:lang w:val="es-ES"/>
        </w:rPr>
        <w:t>2.1</w:t>
      </w:r>
      <w:r>
        <w:rPr>
          <w:lang w:val="es-ES"/>
        </w:rPr>
        <w:tab/>
        <w:t xml:space="preserve">El GE-RTI celebró sus reuniones primera y segunda en la sede de la UIT en Ginebra (Suiza), los días 16 de octubre de 2023, y 29 y 30 de enero de 2024, respectivamente. </w:t>
      </w:r>
    </w:p>
    <w:p w14:paraId="49A604F1" w14:textId="77777777" w:rsidR="001D4474" w:rsidRPr="00E374BD" w:rsidRDefault="001D4474" w:rsidP="001D4474">
      <w:pPr>
        <w:rPr>
          <w:rFonts w:eastAsia="Calibri" w:cs="Calibri"/>
          <w:color w:val="000000"/>
          <w:szCs w:val="24"/>
          <w:u w:color="000000"/>
          <w:bdr w:val="nil"/>
          <w:lang w:val="es-ES"/>
        </w:rPr>
      </w:pPr>
      <w:r>
        <w:rPr>
          <w:lang w:val="es-ES"/>
        </w:rPr>
        <w:t>2.2</w:t>
      </w:r>
      <w:r>
        <w:rPr>
          <w:lang w:val="es-ES"/>
        </w:rPr>
        <w:tab/>
        <w:t xml:space="preserve">El Grupo aprobó los Informes de la </w:t>
      </w:r>
      <w:hyperlink r:id="rId10" w:history="1">
        <w:r w:rsidRPr="00B66786">
          <w:rPr>
            <w:rStyle w:val="Hyperlink"/>
            <w:lang w:val="es-ES"/>
          </w:rPr>
          <w:t>primera</w:t>
        </w:r>
      </w:hyperlink>
      <w:r>
        <w:rPr>
          <w:lang w:val="es-ES"/>
        </w:rPr>
        <w:t xml:space="preserve"> y </w:t>
      </w:r>
      <w:hyperlink r:id="rId11" w:history="1">
        <w:r w:rsidRPr="00B66786">
          <w:rPr>
            <w:rStyle w:val="Hyperlink"/>
            <w:lang w:val="es-ES"/>
          </w:rPr>
          <w:t>segunda</w:t>
        </w:r>
      </w:hyperlink>
      <w:r>
        <w:rPr>
          <w:lang w:val="es-ES"/>
        </w:rPr>
        <w:t xml:space="preserve"> reunión del GE-RTI.</w:t>
      </w:r>
    </w:p>
    <w:p w14:paraId="01187DC0" w14:textId="77777777" w:rsidR="001D4474" w:rsidRPr="00E374BD" w:rsidRDefault="001D4474" w:rsidP="001D4474">
      <w:pPr>
        <w:rPr>
          <w:rFonts w:eastAsia="Calibri" w:cs="Calibri"/>
          <w:color w:val="000000"/>
          <w:szCs w:val="24"/>
          <w:u w:color="000000"/>
          <w:bdr w:val="nil"/>
          <w:lang w:val="es-ES"/>
        </w:rPr>
      </w:pPr>
      <w:bookmarkStart w:id="2" w:name="_Hlk38891878"/>
      <w:r>
        <w:rPr>
          <w:lang w:val="es-ES"/>
        </w:rPr>
        <w:t>2.3</w:t>
      </w:r>
      <w:r>
        <w:rPr>
          <w:lang w:val="es-ES"/>
        </w:rPr>
        <w:tab/>
        <w:t xml:space="preserve">En la primera reunión del GE-RTI el Grupo examinó las contribuciones recibidas, centrándose en las propuestas de plan de trabajo. No se llegó a un consenso sobre el plan de trabajo. </w:t>
      </w:r>
    </w:p>
    <w:p w14:paraId="239CED51" w14:textId="4FA58AD4" w:rsidR="001D4474" w:rsidRPr="00E374BD" w:rsidRDefault="001D4474" w:rsidP="001D4474">
      <w:pPr>
        <w:rPr>
          <w:rFonts w:eastAsia="Calibri" w:cs="Calibri"/>
          <w:color w:val="000000"/>
          <w:szCs w:val="24"/>
          <w:u w:color="000000"/>
          <w:bdr w:val="nil"/>
          <w:lang w:val="es-ES"/>
        </w:rPr>
      </w:pPr>
      <w:r>
        <w:rPr>
          <w:lang w:val="es-ES"/>
        </w:rPr>
        <w:t>2.4</w:t>
      </w:r>
      <w:r>
        <w:rPr>
          <w:lang w:val="es-ES"/>
        </w:rPr>
        <w:tab/>
        <w:t>En la segunda reunión del GE-RTI, la reunión aprobó un plan de trabajo en el entendimiento que sirve de orientación para los trabajos del Grupo y no restringe que los miembros presenten contribuciones de conformidad con la Resolución 146 (Rev. Bucarest, 2022) y la Resolución 1379 (Mod. 2023) del Consejo. En el Anexo 2 al Informe de la segunda reunión figura una declaración de la Federación de Rusia al respecto.</w:t>
      </w:r>
      <w:bookmarkEnd w:id="2"/>
    </w:p>
    <w:p w14:paraId="5649099A" w14:textId="0E1A509C" w:rsidR="001D4474" w:rsidRPr="00E374BD" w:rsidRDefault="001D4474" w:rsidP="001D4474">
      <w:pPr>
        <w:pStyle w:val="Heading1"/>
        <w:rPr>
          <w:lang w:val="es-ES"/>
        </w:rPr>
      </w:pPr>
      <w:bookmarkStart w:id="3" w:name="dbreak3"/>
      <w:r>
        <w:rPr>
          <w:lang w:val="es-ES"/>
        </w:rPr>
        <w:t>3</w:t>
      </w:r>
      <w:r>
        <w:rPr>
          <w:lang w:val="es-ES"/>
        </w:rPr>
        <w:tab/>
        <w:t>Conclusiones</w:t>
      </w:r>
    </w:p>
    <w:p w14:paraId="4B0241BB" w14:textId="77777777" w:rsidR="001D4474" w:rsidRPr="00E374BD" w:rsidRDefault="001D4474" w:rsidP="001D4474">
      <w:pPr>
        <w:rPr>
          <w:rFonts w:eastAsia="Calibri" w:cs="Calibri"/>
          <w:color w:val="000000"/>
          <w:szCs w:val="24"/>
          <w:u w:color="000000"/>
          <w:bdr w:val="nil"/>
          <w:lang w:val="es-ES"/>
        </w:rPr>
      </w:pPr>
      <w:r>
        <w:rPr>
          <w:lang w:val="es-ES"/>
        </w:rPr>
        <w:t>3.1</w:t>
      </w:r>
      <w:r>
        <w:rPr>
          <w:lang w:val="es-ES"/>
        </w:rPr>
        <w:tab/>
        <w:t>Se invita al Consejo a tomar nota de este Informe de situación del GE-RTI.</w:t>
      </w:r>
    </w:p>
    <w:p w14:paraId="30A090EE" w14:textId="77777777" w:rsidR="001D4474" w:rsidRPr="00E374BD" w:rsidRDefault="001D4474" w:rsidP="001D4474">
      <w:pPr>
        <w:rPr>
          <w:rFonts w:eastAsia="Calibri" w:cs="Calibri"/>
          <w:color w:val="000000"/>
          <w:szCs w:val="24"/>
          <w:u w:color="000000"/>
          <w:bdr w:val="nil"/>
          <w:lang w:val="es-ES"/>
        </w:rPr>
      </w:pPr>
      <w:r>
        <w:rPr>
          <w:lang w:val="es-ES"/>
        </w:rPr>
        <w:t>3.2</w:t>
      </w:r>
      <w:r>
        <w:rPr>
          <w:lang w:val="es-ES"/>
        </w:rPr>
        <w:tab/>
        <w:t>En nombre del GE-RTI, la Presidenta extendió su agradecimiento personal a todos los Estados Miembros de la UIT que presentaron contribuciones y participaron en los trabajos del Grupo, a los Vicepresidentes, la Secretaria General, al Vicesecretario General, a los Directores de la TSB, la BR y la BDT, y a la Secretaría General por su eficiente asistencia durante la primera y segunda reuniones del GE-RTI.</w:t>
      </w:r>
    </w:p>
    <w:p w14:paraId="50ED7D12" w14:textId="7B08726A" w:rsidR="00927F93" w:rsidRPr="000B0D00" w:rsidRDefault="001D4474" w:rsidP="001D4474">
      <w:pPr>
        <w:tabs>
          <w:tab w:val="clear" w:pos="567"/>
          <w:tab w:val="clear" w:pos="1134"/>
          <w:tab w:val="clear" w:pos="1701"/>
          <w:tab w:val="clear" w:pos="2268"/>
          <w:tab w:val="clear" w:pos="2835"/>
        </w:tabs>
        <w:spacing w:before="600"/>
        <w:ind w:left="5387"/>
      </w:pPr>
      <w:r>
        <w:rPr>
          <w:lang w:val="es-ES"/>
        </w:rPr>
        <w:tab/>
      </w:r>
      <w:r>
        <w:rPr>
          <w:b/>
          <w:bCs/>
          <w:lang w:val="es-ES"/>
        </w:rPr>
        <w:t>Presidenta: Shahira Selim</w:t>
      </w:r>
      <w:r>
        <w:rPr>
          <w:b/>
          <w:bCs/>
          <w:lang w:val="es-ES"/>
        </w:rPr>
        <w:br/>
      </w:r>
      <w:r>
        <w:rPr>
          <w:lang w:val="es-ES"/>
        </w:rPr>
        <w:tab/>
      </w:r>
      <w:r>
        <w:rPr>
          <w:b/>
          <w:bCs/>
          <w:lang w:val="es-ES"/>
        </w:rPr>
        <w:t>(EGIPTO)</w:t>
      </w:r>
      <w:bookmarkEnd w:id="3"/>
    </w:p>
    <w:sectPr w:rsidR="00927F93" w:rsidRPr="000B0D00"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AF1D" w14:textId="77777777" w:rsidR="001D4474" w:rsidRDefault="001D4474">
      <w:r>
        <w:separator/>
      </w:r>
    </w:p>
  </w:endnote>
  <w:endnote w:type="continuationSeparator" w:id="0">
    <w:p w14:paraId="69D7FC6F" w14:textId="77777777" w:rsidR="001D4474" w:rsidRDefault="001D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104EC97" w14:textId="77777777" w:rsidTr="00E31DCE">
      <w:trPr>
        <w:jc w:val="center"/>
      </w:trPr>
      <w:tc>
        <w:tcPr>
          <w:tcW w:w="1803" w:type="dxa"/>
          <w:vAlign w:val="center"/>
        </w:tcPr>
        <w:p w14:paraId="6E94A295" w14:textId="2A7AAAB4" w:rsidR="003273A4" w:rsidRDefault="003273A4" w:rsidP="003273A4">
          <w:pPr>
            <w:pStyle w:val="Header"/>
            <w:jc w:val="left"/>
            <w:rPr>
              <w:noProof/>
            </w:rPr>
          </w:pPr>
        </w:p>
      </w:tc>
      <w:tc>
        <w:tcPr>
          <w:tcW w:w="8261" w:type="dxa"/>
        </w:tcPr>
        <w:p w14:paraId="572E29C2" w14:textId="27AD7471"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D4474">
            <w:rPr>
              <w:bCs/>
            </w:rPr>
            <w:t>26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4F53306" w14:textId="24DC1768" w:rsidR="00760F1C" w:rsidRPr="003273A4" w:rsidRDefault="00760F1C" w:rsidP="0035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077D450" w14:textId="77777777" w:rsidTr="00E31DCE">
      <w:trPr>
        <w:jc w:val="center"/>
      </w:trPr>
      <w:tc>
        <w:tcPr>
          <w:tcW w:w="1803" w:type="dxa"/>
          <w:vAlign w:val="center"/>
        </w:tcPr>
        <w:p w14:paraId="66679671" w14:textId="77777777" w:rsidR="00F24B71" w:rsidRDefault="00F24B71" w:rsidP="00F24B71">
          <w:pPr>
            <w:pStyle w:val="Header"/>
            <w:jc w:val="left"/>
            <w:rPr>
              <w:noProof/>
            </w:rPr>
          </w:pPr>
          <w:r w:rsidRPr="0064481D">
            <w:rPr>
              <w:color w:val="0563C1"/>
              <w:szCs w:val="14"/>
            </w:rPr>
            <w:t>www.itu.int/council</w:t>
          </w:r>
        </w:p>
      </w:tc>
      <w:tc>
        <w:tcPr>
          <w:tcW w:w="8261" w:type="dxa"/>
        </w:tcPr>
        <w:p w14:paraId="2F036649" w14:textId="4D5790A0"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D4474">
            <w:rPr>
              <w:bCs/>
            </w:rPr>
            <w:t>26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018DA15" w14:textId="5FFDC0D8"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0B8F" w14:textId="77777777" w:rsidR="001D4474" w:rsidRDefault="001D4474">
      <w:r>
        <w:t>____________________</w:t>
      </w:r>
    </w:p>
  </w:footnote>
  <w:footnote w:type="continuationSeparator" w:id="0">
    <w:p w14:paraId="57C242AB" w14:textId="77777777" w:rsidR="001D4474" w:rsidRDefault="001D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7B7380F" w14:textId="77777777" w:rsidTr="00E31DCE">
      <w:trPr>
        <w:trHeight w:val="1104"/>
        <w:jc w:val="center"/>
      </w:trPr>
      <w:tc>
        <w:tcPr>
          <w:tcW w:w="4390" w:type="dxa"/>
          <w:vAlign w:val="center"/>
        </w:tcPr>
        <w:p w14:paraId="4111A3FD" w14:textId="77777777" w:rsidR="001559F5" w:rsidRPr="009621F8" w:rsidRDefault="0064481D" w:rsidP="001559F5">
          <w:pPr>
            <w:pStyle w:val="Header"/>
            <w:jc w:val="left"/>
            <w:rPr>
              <w:rFonts w:ascii="Arial" w:hAnsi="Arial" w:cs="Arial"/>
              <w:b/>
              <w:bCs/>
              <w:color w:val="009CD6"/>
              <w:sz w:val="36"/>
              <w:szCs w:val="36"/>
            </w:rPr>
          </w:pPr>
          <w:bookmarkStart w:id="4" w:name="_Hlk133422111"/>
          <w:r>
            <w:rPr>
              <w:noProof/>
            </w:rPr>
            <w:drawing>
              <wp:inline distT="0" distB="0" distL="0" distR="0" wp14:anchorId="5DCB9584" wp14:editId="6633DDB0">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5CCD0324" w14:textId="77777777" w:rsidR="001559F5" w:rsidRDefault="001559F5" w:rsidP="001559F5">
          <w:pPr>
            <w:pStyle w:val="Header"/>
            <w:jc w:val="right"/>
            <w:rPr>
              <w:rFonts w:ascii="Arial" w:hAnsi="Arial" w:cs="Arial"/>
              <w:b/>
              <w:bCs/>
              <w:color w:val="009CD6"/>
              <w:szCs w:val="18"/>
            </w:rPr>
          </w:pPr>
        </w:p>
        <w:p w14:paraId="3FFE5AF0" w14:textId="77777777" w:rsidR="001559F5" w:rsidRDefault="001559F5" w:rsidP="001559F5">
          <w:pPr>
            <w:pStyle w:val="Header"/>
            <w:jc w:val="right"/>
            <w:rPr>
              <w:rFonts w:ascii="Arial" w:hAnsi="Arial" w:cs="Arial"/>
              <w:b/>
              <w:bCs/>
              <w:color w:val="009CD6"/>
              <w:szCs w:val="18"/>
            </w:rPr>
          </w:pPr>
        </w:p>
        <w:p w14:paraId="1BF38161"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7AEE7EC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ECCA8FD" wp14:editId="3C7BDC02">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3552B"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D266A"/>
    <w:multiLevelType w:val="hybridMultilevel"/>
    <w:tmpl w:val="DA54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42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D4474"/>
    <w:rsid w:val="001F14A2"/>
    <w:rsid w:val="002801AA"/>
    <w:rsid w:val="002C4676"/>
    <w:rsid w:val="002C70B0"/>
    <w:rsid w:val="002E0C37"/>
    <w:rsid w:val="002F3CC4"/>
    <w:rsid w:val="003273A4"/>
    <w:rsid w:val="00355EEF"/>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EE4ECD"/>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408E5"/>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en/council/Documents/basic-texts-2023/RES-146-S.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EGITRS2-C-0021/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4-EGITRS2-C-0020/es" TargetMode="External"/><Relationship Id="rId4" Type="http://schemas.openxmlformats.org/officeDocument/2006/relationships/webSettings" Target="webSettings.xml"/><Relationship Id="rId9" Type="http://schemas.openxmlformats.org/officeDocument/2006/relationships/hyperlink" Target="https://www.itu.int/en/council/Pages/eg-itrs.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3338</Characters>
  <Application>Microsoft Office Word</Application>
  <DocSecurity>0</DocSecurity>
  <Lines>27</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3895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situación del Presidente del grupo de expertos sobre el reglamento de las telecomunicaciones internacionales (GE-RTI)</dc:title>
  <dc:subject>Consejo 2024 de la UIT</dc:subject>
  <dc:creator>Spanish</dc:creator>
  <cp:keywords>C2024, C24, Council-24</cp:keywords>
  <dc:description/>
  <cp:lastModifiedBy>Brouard, Ricarda</cp:lastModifiedBy>
  <cp:revision>4</cp:revision>
  <cp:lastPrinted>2006-03-24T09:51:00Z</cp:lastPrinted>
  <dcterms:created xsi:type="dcterms:W3CDTF">2024-04-11T09:51:00Z</dcterms:created>
  <dcterms:modified xsi:type="dcterms:W3CDTF">2024-05-01T12:22:00Z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