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918D6" w14:paraId="2592CC74" w14:textId="77777777" w:rsidTr="00D72F49">
        <w:trPr>
          <w:cantSplit/>
          <w:trHeight w:val="23"/>
        </w:trPr>
        <w:tc>
          <w:tcPr>
            <w:tcW w:w="3969" w:type="dxa"/>
            <w:vMerge w:val="restart"/>
            <w:tcMar>
              <w:left w:w="0" w:type="dxa"/>
            </w:tcMar>
          </w:tcPr>
          <w:p w14:paraId="27E56DEB" w14:textId="6F9D520D" w:rsidR="00D72F49" w:rsidRPr="001918D6" w:rsidRDefault="00D72F49" w:rsidP="00D72F49">
            <w:pPr>
              <w:tabs>
                <w:tab w:val="left" w:pos="851"/>
              </w:tabs>
              <w:spacing w:before="0" w:line="240" w:lineRule="atLeast"/>
              <w:rPr>
                <w:b/>
              </w:rPr>
            </w:pPr>
            <w:r w:rsidRPr="001918D6">
              <w:rPr>
                <w:b/>
              </w:rPr>
              <w:t>Point de l'ordre du jour:</w:t>
            </w:r>
            <w:r w:rsidR="008D72CA" w:rsidRPr="001918D6">
              <w:rPr>
                <w:b/>
              </w:rPr>
              <w:t xml:space="preserve"> PL</w:t>
            </w:r>
            <w:r w:rsidR="007722C4">
              <w:rPr>
                <w:b/>
              </w:rPr>
              <w:t xml:space="preserve"> </w:t>
            </w:r>
            <w:r w:rsidR="008D72CA" w:rsidRPr="001918D6">
              <w:rPr>
                <w:b/>
              </w:rPr>
              <w:t>2</w:t>
            </w:r>
          </w:p>
        </w:tc>
        <w:tc>
          <w:tcPr>
            <w:tcW w:w="5245" w:type="dxa"/>
          </w:tcPr>
          <w:p w14:paraId="27B6A98A" w14:textId="683C8F2D" w:rsidR="00D72F49" w:rsidRPr="001918D6" w:rsidRDefault="00D72F49" w:rsidP="00D72F49">
            <w:pPr>
              <w:tabs>
                <w:tab w:val="left" w:pos="851"/>
              </w:tabs>
              <w:spacing w:before="0" w:line="240" w:lineRule="atLeast"/>
              <w:jc w:val="right"/>
              <w:rPr>
                <w:b/>
              </w:rPr>
            </w:pPr>
            <w:r w:rsidRPr="001918D6">
              <w:rPr>
                <w:b/>
              </w:rPr>
              <w:t>Document C2</w:t>
            </w:r>
            <w:r w:rsidR="0073275D" w:rsidRPr="001918D6">
              <w:rPr>
                <w:b/>
              </w:rPr>
              <w:t>4</w:t>
            </w:r>
            <w:r w:rsidR="008D72CA" w:rsidRPr="001918D6">
              <w:rPr>
                <w:b/>
              </w:rPr>
              <w:t>/26</w:t>
            </w:r>
            <w:r w:rsidRPr="001918D6">
              <w:rPr>
                <w:b/>
              </w:rPr>
              <w:t>-F</w:t>
            </w:r>
          </w:p>
        </w:tc>
      </w:tr>
      <w:tr w:rsidR="00D72F49" w:rsidRPr="001918D6" w14:paraId="41096C77" w14:textId="77777777" w:rsidTr="00D72F49">
        <w:trPr>
          <w:cantSplit/>
        </w:trPr>
        <w:tc>
          <w:tcPr>
            <w:tcW w:w="3969" w:type="dxa"/>
            <w:vMerge/>
          </w:tcPr>
          <w:p w14:paraId="0BBA5643" w14:textId="77777777" w:rsidR="00D72F49" w:rsidRPr="001918D6" w:rsidRDefault="00D72F49" w:rsidP="00D72F49">
            <w:pPr>
              <w:tabs>
                <w:tab w:val="left" w:pos="851"/>
              </w:tabs>
              <w:spacing w:line="240" w:lineRule="atLeast"/>
              <w:rPr>
                <w:b/>
              </w:rPr>
            </w:pPr>
          </w:p>
        </w:tc>
        <w:tc>
          <w:tcPr>
            <w:tcW w:w="5245" w:type="dxa"/>
          </w:tcPr>
          <w:p w14:paraId="068BECD5" w14:textId="74091AF6" w:rsidR="00D72F49" w:rsidRPr="001918D6" w:rsidRDefault="008D72CA" w:rsidP="00D72F49">
            <w:pPr>
              <w:tabs>
                <w:tab w:val="left" w:pos="851"/>
              </w:tabs>
              <w:spacing w:before="0"/>
              <w:jc w:val="right"/>
              <w:rPr>
                <w:b/>
              </w:rPr>
            </w:pPr>
            <w:r w:rsidRPr="001918D6">
              <w:rPr>
                <w:b/>
              </w:rPr>
              <w:t>9 avril</w:t>
            </w:r>
            <w:r w:rsidR="00D72F49" w:rsidRPr="001918D6">
              <w:rPr>
                <w:b/>
              </w:rPr>
              <w:t xml:space="preserve"> 202</w:t>
            </w:r>
            <w:r w:rsidR="0073275D" w:rsidRPr="001918D6">
              <w:rPr>
                <w:b/>
              </w:rPr>
              <w:t>4</w:t>
            </w:r>
          </w:p>
        </w:tc>
      </w:tr>
      <w:tr w:rsidR="00D72F49" w:rsidRPr="001918D6" w14:paraId="17E5B988" w14:textId="77777777" w:rsidTr="00D72F49">
        <w:trPr>
          <w:cantSplit/>
          <w:trHeight w:val="23"/>
        </w:trPr>
        <w:tc>
          <w:tcPr>
            <w:tcW w:w="3969" w:type="dxa"/>
            <w:vMerge/>
          </w:tcPr>
          <w:p w14:paraId="2192D6D7" w14:textId="77777777" w:rsidR="00D72F49" w:rsidRPr="001918D6" w:rsidRDefault="00D72F49" w:rsidP="00D72F49">
            <w:pPr>
              <w:tabs>
                <w:tab w:val="left" w:pos="851"/>
              </w:tabs>
              <w:spacing w:line="240" w:lineRule="atLeast"/>
              <w:rPr>
                <w:b/>
              </w:rPr>
            </w:pPr>
          </w:p>
        </w:tc>
        <w:tc>
          <w:tcPr>
            <w:tcW w:w="5245" w:type="dxa"/>
          </w:tcPr>
          <w:p w14:paraId="1948C622" w14:textId="77777777" w:rsidR="00D72F49" w:rsidRPr="001918D6" w:rsidRDefault="00D72F49" w:rsidP="00D72F49">
            <w:pPr>
              <w:tabs>
                <w:tab w:val="left" w:pos="851"/>
              </w:tabs>
              <w:spacing w:before="0" w:line="240" w:lineRule="atLeast"/>
              <w:jc w:val="right"/>
              <w:rPr>
                <w:b/>
              </w:rPr>
            </w:pPr>
            <w:r w:rsidRPr="001918D6">
              <w:rPr>
                <w:b/>
              </w:rPr>
              <w:t>Original: anglais</w:t>
            </w:r>
          </w:p>
        </w:tc>
      </w:tr>
      <w:tr w:rsidR="00D72F49" w:rsidRPr="001918D6" w14:paraId="53623BEE" w14:textId="77777777" w:rsidTr="00D72F49">
        <w:trPr>
          <w:cantSplit/>
          <w:trHeight w:val="23"/>
        </w:trPr>
        <w:tc>
          <w:tcPr>
            <w:tcW w:w="3969" w:type="dxa"/>
          </w:tcPr>
          <w:p w14:paraId="630B4C34" w14:textId="77777777" w:rsidR="00D72F49" w:rsidRPr="001918D6" w:rsidRDefault="00D72F49" w:rsidP="00D72F49">
            <w:pPr>
              <w:tabs>
                <w:tab w:val="left" w:pos="851"/>
              </w:tabs>
              <w:spacing w:line="240" w:lineRule="atLeast"/>
              <w:rPr>
                <w:b/>
              </w:rPr>
            </w:pPr>
          </w:p>
        </w:tc>
        <w:tc>
          <w:tcPr>
            <w:tcW w:w="5245" w:type="dxa"/>
          </w:tcPr>
          <w:p w14:paraId="437750C4" w14:textId="77777777" w:rsidR="00D72F49" w:rsidRPr="001918D6" w:rsidRDefault="00D72F49" w:rsidP="00D72F49">
            <w:pPr>
              <w:tabs>
                <w:tab w:val="left" w:pos="851"/>
              </w:tabs>
              <w:spacing w:before="0" w:line="240" w:lineRule="atLeast"/>
              <w:jc w:val="right"/>
              <w:rPr>
                <w:b/>
              </w:rPr>
            </w:pPr>
          </w:p>
        </w:tc>
      </w:tr>
      <w:tr w:rsidR="00D72F49" w:rsidRPr="001918D6" w14:paraId="31FFA2A5" w14:textId="77777777" w:rsidTr="00D72F49">
        <w:trPr>
          <w:cantSplit/>
        </w:trPr>
        <w:tc>
          <w:tcPr>
            <w:tcW w:w="9214" w:type="dxa"/>
            <w:gridSpan w:val="2"/>
            <w:tcMar>
              <w:left w:w="0" w:type="dxa"/>
            </w:tcMar>
          </w:tcPr>
          <w:p w14:paraId="7AA1F34C" w14:textId="25708E5B" w:rsidR="00D72F49" w:rsidRPr="001918D6" w:rsidRDefault="008D72CA" w:rsidP="00337F00">
            <w:pPr>
              <w:pStyle w:val="Source"/>
              <w:spacing w:before="720"/>
              <w:jc w:val="left"/>
              <w:rPr>
                <w:b w:val="0"/>
                <w:sz w:val="34"/>
                <w:szCs w:val="34"/>
              </w:rPr>
            </w:pPr>
            <w:bookmarkStart w:id="0" w:name="_Hlk165465553"/>
            <w:r w:rsidRPr="001918D6">
              <w:rPr>
                <w:rFonts w:cstheme="minorHAnsi"/>
                <w:b w:val="0"/>
                <w:color w:val="000000"/>
                <w:sz w:val="34"/>
                <w:szCs w:val="34"/>
              </w:rPr>
              <w:t xml:space="preserve">RAPPORT D'ACTIVITÉ </w:t>
            </w:r>
            <w:r w:rsidR="00654A97" w:rsidRPr="001918D6">
              <w:rPr>
                <w:rFonts w:cstheme="minorHAnsi"/>
                <w:b w:val="0"/>
                <w:color w:val="000000"/>
                <w:sz w:val="34"/>
                <w:szCs w:val="34"/>
              </w:rPr>
              <w:t>DE LA PRÉSIDENTE</w:t>
            </w:r>
            <w:r w:rsidRPr="001918D6">
              <w:rPr>
                <w:rFonts w:cstheme="minorHAnsi"/>
                <w:b w:val="0"/>
                <w:color w:val="000000"/>
                <w:sz w:val="34"/>
                <w:szCs w:val="34"/>
              </w:rPr>
              <w:t xml:space="preserve"> DU GROUPE D'EXPERTS SUR LE RÈGLEMENT DES TÉLÉCOMMUNICATIONS INTERNATIONALES (EG-RTI)</w:t>
            </w:r>
            <w:bookmarkEnd w:id="0"/>
          </w:p>
        </w:tc>
      </w:tr>
      <w:tr w:rsidR="00D72F49" w:rsidRPr="001918D6"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1918D6" w:rsidRDefault="00F37FE5" w:rsidP="00D72F49">
            <w:pPr>
              <w:spacing w:before="160"/>
              <w:rPr>
                <w:b/>
                <w:bCs/>
                <w:sz w:val="26"/>
                <w:szCs w:val="26"/>
              </w:rPr>
            </w:pPr>
            <w:r w:rsidRPr="001918D6">
              <w:rPr>
                <w:b/>
                <w:bCs/>
                <w:sz w:val="26"/>
                <w:szCs w:val="26"/>
              </w:rPr>
              <w:t>Objet</w:t>
            </w:r>
          </w:p>
          <w:p w14:paraId="45E55FB2" w14:textId="13743755" w:rsidR="00D72F49" w:rsidRPr="001918D6" w:rsidRDefault="008D72CA" w:rsidP="00D72F49">
            <w:r w:rsidRPr="001918D6">
              <w:t xml:space="preserve">Le présent rapport </w:t>
            </w:r>
            <w:r w:rsidR="005F17B5" w:rsidRPr="001918D6">
              <w:t>contient un résumé d</w:t>
            </w:r>
            <w:r w:rsidRPr="001918D6">
              <w:t xml:space="preserve">es principaux résultats des première et </w:t>
            </w:r>
            <w:proofErr w:type="gramStart"/>
            <w:r w:rsidRPr="001918D6">
              <w:t>deuxième réunions</w:t>
            </w:r>
            <w:proofErr w:type="gramEnd"/>
            <w:r w:rsidRPr="001918D6">
              <w:t xml:space="preserve"> du Groupe d'experts sur le Règlement des télécommunications internationales (EG</w:t>
            </w:r>
            <w:r w:rsidR="006E5434" w:rsidRPr="001918D6">
              <w:noBreakHyphen/>
            </w:r>
            <w:r w:rsidRPr="001918D6">
              <w:t xml:space="preserve">RTI), tenues respectivement le 16 octobre </w:t>
            </w:r>
            <w:r w:rsidR="00FB77F3" w:rsidRPr="001918D6">
              <w:t>2023</w:t>
            </w:r>
            <w:r w:rsidRPr="001918D6">
              <w:t xml:space="preserve"> et les 29 et 30 janvier 2024, conformément à la Résolution 146 (Rév. Bucarest, 2022) de la Conférence de plénipotentiaires et à la Résolution 1379 (Mod. 2023) du Conseil.</w:t>
            </w:r>
          </w:p>
          <w:p w14:paraId="0B950982" w14:textId="77777777" w:rsidR="00D72F49" w:rsidRPr="001918D6" w:rsidRDefault="00D72F49" w:rsidP="00D72F49">
            <w:pPr>
              <w:spacing w:before="160"/>
              <w:rPr>
                <w:b/>
                <w:bCs/>
                <w:sz w:val="26"/>
                <w:szCs w:val="26"/>
              </w:rPr>
            </w:pPr>
            <w:proofErr w:type="gramStart"/>
            <w:r w:rsidRPr="001918D6">
              <w:rPr>
                <w:b/>
                <w:bCs/>
                <w:sz w:val="26"/>
                <w:szCs w:val="26"/>
              </w:rPr>
              <w:t>Suite à</w:t>
            </w:r>
            <w:proofErr w:type="gramEnd"/>
            <w:r w:rsidRPr="001918D6">
              <w:rPr>
                <w:b/>
                <w:bCs/>
                <w:sz w:val="26"/>
                <w:szCs w:val="26"/>
              </w:rPr>
              <w:t xml:space="preserve"> donner par le Conseil</w:t>
            </w:r>
          </w:p>
          <w:p w14:paraId="6F9A6B88" w14:textId="39872D07" w:rsidR="00D72F49" w:rsidRPr="001918D6" w:rsidRDefault="003F36AF" w:rsidP="00D72F49">
            <w:r w:rsidRPr="001918D6">
              <w:t xml:space="preserve">Le Conseil est invité à </w:t>
            </w:r>
            <w:r w:rsidRPr="001918D6">
              <w:rPr>
                <w:b/>
              </w:rPr>
              <w:t>prendre note</w:t>
            </w:r>
            <w:r w:rsidRPr="001918D6">
              <w:t xml:space="preserve"> du rapport.</w:t>
            </w:r>
          </w:p>
          <w:p w14:paraId="121C402A" w14:textId="4FDE1FF1" w:rsidR="00D72F49" w:rsidRPr="001918D6" w:rsidRDefault="00D72F49" w:rsidP="00D72F49">
            <w:pPr>
              <w:spacing w:before="160"/>
              <w:rPr>
                <w:b/>
                <w:bCs/>
                <w:sz w:val="26"/>
                <w:szCs w:val="26"/>
              </w:rPr>
            </w:pPr>
            <w:r w:rsidRPr="001918D6">
              <w:rPr>
                <w:b/>
                <w:bCs/>
                <w:sz w:val="26"/>
                <w:szCs w:val="26"/>
              </w:rPr>
              <w:t xml:space="preserve">Lien(s) pertinent(s) avec le </w:t>
            </w:r>
            <w:r w:rsidR="00F37FE5" w:rsidRPr="001918D6">
              <w:rPr>
                <w:b/>
                <w:bCs/>
                <w:sz w:val="26"/>
                <w:szCs w:val="26"/>
              </w:rPr>
              <w:t>p</w:t>
            </w:r>
            <w:r w:rsidRPr="001918D6">
              <w:rPr>
                <w:b/>
                <w:bCs/>
                <w:sz w:val="26"/>
                <w:szCs w:val="26"/>
              </w:rPr>
              <w:t>lan stratégique</w:t>
            </w:r>
          </w:p>
          <w:p w14:paraId="60D63331" w14:textId="7D5DD0C1" w:rsidR="00D72F49" w:rsidRPr="001918D6" w:rsidRDefault="003F36AF" w:rsidP="00D72F49">
            <w:r w:rsidRPr="001918D6">
              <w:t>Plate-forme fédératrice; élaboration et application des Règlements administratifs de l'UIT.</w:t>
            </w:r>
          </w:p>
          <w:p w14:paraId="11FAADC9" w14:textId="4094A8E8" w:rsidR="00E95647" w:rsidRPr="001918D6" w:rsidRDefault="00D72F49" w:rsidP="00D72F49">
            <w:pPr>
              <w:spacing w:before="160"/>
              <w:rPr>
                <w:b/>
                <w:bCs/>
                <w:sz w:val="26"/>
                <w:szCs w:val="26"/>
              </w:rPr>
            </w:pPr>
            <w:r w:rsidRPr="001918D6">
              <w:rPr>
                <w:b/>
                <w:bCs/>
                <w:sz w:val="26"/>
                <w:szCs w:val="26"/>
              </w:rPr>
              <w:t>Incidences financières</w:t>
            </w:r>
          </w:p>
          <w:p w14:paraId="1476D7E3" w14:textId="523DE507" w:rsidR="00D72F49" w:rsidRPr="001918D6" w:rsidRDefault="003F36AF" w:rsidP="00D72F49">
            <w:pPr>
              <w:spacing w:before="160"/>
              <w:rPr>
                <w:sz w:val="26"/>
                <w:szCs w:val="26"/>
              </w:rPr>
            </w:pPr>
            <w:r w:rsidRPr="001918D6">
              <w:rPr>
                <w:szCs w:val="24"/>
              </w:rPr>
              <w:t>Les coûts sont couverts par le budget alloué pour la période 2024-2025.</w:t>
            </w:r>
          </w:p>
          <w:p w14:paraId="2E44E753" w14:textId="77777777" w:rsidR="00D72F49" w:rsidRPr="001918D6" w:rsidRDefault="00D72F49" w:rsidP="00D72F49">
            <w:pPr>
              <w:spacing w:before="160"/>
              <w:rPr>
                <w:caps/>
                <w:sz w:val="22"/>
              </w:rPr>
            </w:pPr>
            <w:r w:rsidRPr="001918D6">
              <w:rPr>
                <w:sz w:val="22"/>
              </w:rPr>
              <w:t>__________________</w:t>
            </w:r>
          </w:p>
          <w:p w14:paraId="246B160C" w14:textId="77777777" w:rsidR="00D72F49" w:rsidRPr="001918D6" w:rsidRDefault="00D72F49" w:rsidP="00D72F49">
            <w:pPr>
              <w:spacing w:before="160"/>
              <w:rPr>
                <w:b/>
                <w:bCs/>
                <w:sz w:val="26"/>
                <w:szCs w:val="26"/>
              </w:rPr>
            </w:pPr>
            <w:r w:rsidRPr="001918D6">
              <w:rPr>
                <w:b/>
                <w:bCs/>
                <w:sz w:val="26"/>
                <w:szCs w:val="26"/>
              </w:rPr>
              <w:t>Références</w:t>
            </w:r>
          </w:p>
          <w:bookmarkStart w:id="1" w:name="lt_pId019"/>
          <w:p w14:paraId="3B399B5C" w14:textId="4C040853" w:rsidR="00D72F49" w:rsidRPr="001918D6" w:rsidRDefault="00690E45" w:rsidP="006E5434">
            <w:pPr>
              <w:rPr>
                <w:i/>
                <w:iCs/>
              </w:rPr>
            </w:pPr>
            <w:r w:rsidRPr="001918D6">
              <w:rPr>
                <w:i/>
                <w:iCs/>
              </w:rPr>
              <w:fldChar w:fldCharType="begin"/>
            </w:r>
            <w:r w:rsidR="008D7FB7" w:rsidRPr="001918D6">
              <w:rPr>
                <w:i/>
                <w:iCs/>
              </w:rPr>
              <w:instrText>HYPERLINK "https://www.itu.int/en/council/Documents/basic-texts-2023/RES-146-F.pdf"</w:instrText>
            </w:r>
            <w:r w:rsidRPr="001918D6">
              <w:rPr>
                <w:i/>
                <w:iCs/>
              </w:rPr>
            </w:r>
            <w:r w:rsidRPr="001918D6">
              <w:rPr>
                <w:i/>
                <w:iCs/>
              </w:rPr>
              <w:fldChar w:fldCharType="separate"/>
            </w:r>
            <w:r w:rsidR="006E5434" w:rsidRPr="001918D6">
              <w:rPr>
                <w:rStyle w:val="Hyperlink"/>
                <w:i/>
                <w:iCs/>
              </w:rPr>
              <w:t>Résolution 146 (Rév. Bucarest, 2022) de la Conférence de plénipotentiaires</w:t>
            </w:r>
            <w:r w:rsidRPr="001918D6">
              <w:rPr>
                <w:i/>
                <w:iCs/>
              </w:rPr>
              <w:fldChar w:fldCharType="end"/>
            </w:r>
            <w:r w:rsidRPr="001918D6">
              <w:rPr>
                <w:i/>
                <w:iCs/>
              </w:rPr>
              <w:t xml:space="preserve">; </w:t>
            </w:r>
            <w:hyperlink r:id="rId7" w:history="1">
              <w:r w:rsidR="006E5434" w:rsidRPr="001918D6">
                <w:rPr>
                  <w:rStyle w:val="Hyperlink"/>
                  <w:i/>
                  <w:iCs/>
                </w:rPr>
                <w:t>Résolution 1379 (Mod. 2023) du Conseil</w:t>
              </w:r>
            </w:hyperlink>
            <w:bookmarkEnd w:id="1"/>
          </w:p>
        </w:tc>
      </w:tr>
    </w:tbl>
    <w:p w14:paraId="3B7150AC" w14:textId="77777777" w:rsidR="00A51849" w:rsidRPr="001918D6" w:rsidRDefault="00A51849">
      <w:pPr>
        <w:tabs>
          <w:tab w:val="clear" w:pos="567"/>
          <w:tab w:val="clear" w:pos="1134"/>
          <w:tab w:val="clear" w:pos="1701"/>
          <w:tab w:val="clear" w:pos="2268"/>
          <w:tab w:val="clear" w:pos="2835"/>
        </w:tabs>
        <w:overflowPunct/>
        <w:autoSpaceDE/>
        <w:autoSpaceDN/>
        <w:adjustRightInd/>
        <w:spacing w:before="0"/>
        <w:textAlignment w:val="auto"/>
      </w:pPr>
      <w:r w:rsidRPr="001918D6">
        <w:br w:type="page"/>
      </w:r>
    </w:p>
    <w:p w14:paraId="526CC349" w14:textId="77777777" w:rsidR="00337F00" w:rsidRDefault="00337F00" w:rsidP="006E5434">
      <w:pPr>
        <w:pStyle w:val="Heading1"/>
        <w:rPr>
          <w:szCs w:val="24"/>
        </w:rPr>
        <w:sectPr w:rsidR="00337F00"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pPr>
    </w:p>
    <w:p w14:paraId="2C786B0C" w14:textId="59BE20EB" w:rsidR="00B443AB" w:rsidRPr="00337F00" w:rsidRDefault="00B443AB" w:rsidP="00337F00">
      <w:pPr>
        <w:pStyle w:val="Heading1"/>
        <w:spacing w:before="0"/>
        <w:rPr>
          <w:sz w:val="26"/>
          <w:szCs w:val="26"/>
        </w:rPr>
      </w:pPr>
      <w:r w:rsidRPr="00337F00">
        <w:rPr>
          <w:sz w:val="26"/>
          <w:szCs w:val="26"/>
        </w:rPr>
        <w:lastRenderedPageBreak/>
        <w:t>1</w:t>
      </w:r>
      <w:r w:rsidRPr="00337F00">
        <w:rPr>
          <w:sz w:val="26"/>
          <w:szCs w:val="26"/>
        </w:rPr>
        <w:tab/>
      </w:r>
      <w:r w:rsidRPr="00337F00">
        <w:rPr>
          <w:rFonts w:eastAsia="Calibri"/>
          <w:sz w:val="26"/>
          <w:szCs w:val="26"/>
        </w:rPr>
        <w:t>Introduction</w:t>
      </w:r>
    </w:p>
    <w:p w14:paraId="71321FAF" w14:textId="7C0781DD" w:rsidR="00B443AB" w:rsidRPr="001918D6" w:rsidRDefault="00B443AB" w:rsidP="00B443AB">
      <w:pPr>
        <w:tabs>
          <w:tab w:val="clear" w:pos="567"/>
          <w:tab w:val="clear" w:pos="1134"/>
          <w:tab w:val="clear" w:pos="1701"/>
          <w:tab w:val="clear" w:pos="2268"/>
          <w:tab w:val="clear" w:pos="2835"/>
        </w:tabs>
        <w:spacing w:after="120"/>
        <w:jc w:val="both"/>
      </w:pPr>
      <w:r w:rsidRPr="001918D6">
        <w:rPr>
          <w:rFonts w:eastAsia="Calibri" w:cs="Calibri"/>
          <w:bCs/>
        </w:rPr>
        <w:t>1.1</w:t>
      </w:r>
      <w:r w:rsidRPr="001918D6">
        <w:tab/>
      </w:r>
      <w:r w:rsidR="008D16EB" w:rsidRPr="001918D6">
        <w:t>Par sa Résolution 1379 (C16, dernière mod. C23), l</w:t>
      </w:r>
      <w:r w:rsidRPr="001918D6">
        <w:t xml:space="preserve">e Conseil a convoqué à nouveau le </w:t>
      </w:r>
      <w:hyperlink r:id="rId13" w:history="1">
        <w:r w:rsidRPr="001918D6">
          <w:rPr>
            <w:rStyle w:val="Hyperlink"/>
          </w:rPr>
          <w:t>Groupe d'experts sur le Règlement des télécommunications internationales (EG-RTI)</w:t>
        </w:r>
      </w:hyperlink>
      <w:r w:rsidRPr="001918D6">
        <w:t xml:space="preserve">, ouvert à la participation de tous les États Membres </w:t>
      </w:r>
      <w:r w:rsidR="00333A25" w:rsidRPr="001918D6">
        <w:t xml:space="preserve">et Membres de Secteur, </w:t>
      </w:r>
      <w:r w:rsidR="00B86F3B" w:rsidRPr="001918D6">
        <w:t>afin de poursuivre l'étude des questions relatives au RTI, notamment en ce qui concerne son examen, et dont le mandat est reproduit dans l'Annexe 1 de la Résolution susvisée.</w:t>
      </w:r>
    </w:p>
    <w:p w14:paraId="265F68FF" w14:textId="6A8DCF71" w:rsidR="000773E9" w:rsidRPr="001918D6" w:rsidRDefault="00B443AB" w:rsidP="000773E9">
      <w:pPr>
        <w:tabs>
          <w:tab w:val="clear" w:pos="567"/>
          <w:tab w:val="clear" w:pos="1134"/>
          <w:tab w:val="clear" w:pos="1701"/>
          <w:tab w:val="clear" w:pos="2268"/>
          <w:tab w:val="clear" w:pos="2835"/>
        </w:tabs>
        <w:spacing w:after="120"/>
        <w:jc w:val="both"/>
        <w:rPr>
          <w:rFonts w:asciiTheme="minorHAnsi" w:hAnsiTheme="minorHAnsi"/>
        </w:rPr>
      </w:pPr>
      <w:r w:rsidRPr="001918D6">
        <w:rPr>
          <w:rFonts w:eastAsia="Calibri" w:cs="Calibri"/>
          <w:bCs/>
        </w:rPr>
        <w:t>1.2</w:t>
      </w:r>
      <w:r w:rsidRPr="001918D6">
        <w:tab/>
      </w:r>
      <w:r w:rsidR="000773E9" w:rsidRPr="001918D6">
        <w:rPr>
          <w:szCs w:val="24"/>
        </w:rPr>
        <w:t>Le mandat du Groupe EG-RTI, défini dans la Résolution 1379 (</w:t>
      </w:r>
      <w:r w:rsidR="000773E9" w:rsidRPr="001918D6">
        <w:t>C16, dernière mod. C23</w:t>
      </w:r>
      <w:r w:rsidR="000773E9" w:rsidRPr="001918D6">
        <w:rPr>
          <w:szCs w:val="24"/>
        </w:rPr>
        <w:t xml:space="preserve">) du Conseil, consiste à poursuivre l'examen du RTI. </w:t>
      </w:r>
      <w:r w:rsidR="000773E9" w:rsidRPr="001918D6">
        <w:rPr>
          <w:rFonts w:asciiTheme="minorHAnsi" w:hAnsiTheme="minorHAnsi"/>
        </w:rPr>
        <w:t>Compte tenu des travaux menés par les deux groupes d'experts précédents, l'examen peut notamment porter sur:</w:t>
      </w:r>
    </w:p>
    <w:p w14:paraId="354BBDF4" w14:textId="519A2F0F" w:rsidR="000773E9" w:rsidRPr="001918D6" w:rsidRDefault="006E5434" w:rsidP="006E5434">
      <w:pPr>
        <w:pStyle w:val="enumlev1"/>
      </w:pPr>
      <w:r w:rsidRPr="001918D6">
        <w:t>•</w:t>
      </w:r>
      <w:r w:rsidRPr="001918D6">
        <w:tab/>
      </w:r>
      <w:r w:rsidR="000773E9" w:rsidRPr="001918D6">
        <w:t>les nouvelles tendances des télécommunications/TIC ainsi que les nouveaux problèmes qui se font jour dans l'environnement international des télécommunications/TIC et qui sont susceptibles d'avoir des incidences sur le RTI;</w:t>
      </w:r>
    </w:p>
    <w:p w14:paraId="35C2FFC6" w14:textId="75B14FF5" w:rsidR="000773E9" w:rsidRPr="001918D6" w:rsidRDefault="006E5434" w:rsidP="006E5434">
      <w:pPr>
        <w:pStyle w:val="enumlev1"/>
      </w:pPr>
      <w:r w:rsidRPr="001918D6">
        <w:t>•</w:t>
      </w:r>
      <w:r w:rsidRPr="001918D6">
        <w:tab/>
      </w:r>
      <w:r w:rsidR="000773E9" w:rsidRPr="001918D6">
        <w:t>des données empiriques relatives à l'utilisation actuelle du RTI par les exploitations et/ou les administrations et à la proportion de services mondiaux de télécommunication qui reposent sur le RTI à l'heure actuelle;</w:t>
      </w:r>
    </w:p>
    <w:p w14:paraId="0273DF45" w14:textId="2E554DD0" w:rsidR="00C12508" w:rsidRPr="001918D6" w:rsidRDefault="006E5434" w:rsidP="006E5434">
      <w:pPr>
        <w:pStyle w:val="enumlev1"/>
        <w:rPr>
          <w:szCs w:val="24"/>
        </w:rPr>
      </w:pPr>
      <w:r w:rsidRPr="001918D6">
        <w:t>•</w:t>
      </w:r>
      <w:r w:rsidRPr="001918D6">
        <w:tab/>
      </w:r>
      <w:r w:rsidR="000773E9" w:rsidRPr="001918D6">
        <w:t>la pertinence du RTI, qui comprend des "principes directeurs de haut niveau", dans l'environnement des télécommunications/TIC actuel.</w:t>
      </w:r>
    </w:p>
    <w:p w14:paraId="35B884CA" w14:textId="53241487" w:rsidR="00B443AB" w:rsidRPr="00337F00" w:rsidRDefault="00B443AB" w:rsidP="00337F00">
      <w:pPr>
        <w:pStyle w:val="Heading1"/>
        <w:spacing w:before="300"/>
        <w:rPr>
          <w:sz w:val="26"/>
          <w:szCs w:val="26"/>
        </w:rPr>
      </w:pPr>
      <w:r w:rsidRPr="00337F00">
        <w:rPr>
          <w:rFonts w:eastAsia="Calibri"/>
          <w:sz w:val="26"/>
          <w:szCs w:val="26"/>
        </w:rPr>
        <w:t>2</w:t>
      </w:r>
      <w:r w:rsidRPr="00337F00">
        <w:rPr>
          <w:rFonts w:eastAsia="Calibri"/>
          <w:sz w:val="26"/>
          <w:szCs w:val="26"/>
        </w:rPr>
        <w:tab/>
      </w:r>
      <w:r w:rsidR="00CA35C8" w:rsidRPr="00337F00">
        <w:rPr>
          <w:rFonts w:eastAsia="Calibri"/>
          <w:sz w:val="26"/>
          <w:szCs w:val="26"/>
        </w:rPr>
        <w:t>Activités du Groupe EG-RTI</w:t>
      </w:r>
    </w:p>
    <w:p w14:paraId="02CAFE3F" w14:textId="3B90D0DF" w:rsidR="00B443AB" w:rsidRPr="001918D6" w:rsidRDefault="00B443AB" w:rsidP="006E5434">
      <w:r w:rsidRPr="001918D6">
        <w:t>2.1</w:t>
      </w:r>
      <w:r w:rsidRPr="001918D6">
        <w:tab/>
      </w:r>
      <w:r w:rsidR="0086493C" w:rsidRPr="001918D6">
        <w:t xml:space="preserve">Le Groupe EG-RTI a tenu ses première et </w:t>
      </w:r>
      <w:proofErr w:type="gramStart"/>
      <w:r w:rsidR="0086493C" w:rsidRPr="001918D6">
        <w:t>deuxième réunions</w:t>
      </w:r>
      <w:proofErr w:type="gramEnd"/>
      <w:r w:rsidR="0086493C" w:rsidRPr="001918D6">
        <w:t xml:space="preserve"> au siège de l'UIT, à Genève (Suisse), respectivement le 16 octobre 2023 et les 29 et 30 janvier 2024.</w:t>
      </w:r>
    </w:p>
    <w:p w14:paraId="77EDC32F" w14:textId="6D39B9BC" w:rsidR="0086493C" w:rsidRPr="001918D6" w:rsidRDefault="00B443AB" w:rsidP="006E5434">
      <w:r w:rsidRPr="001918D6">
        <w:t>2.2</w:t>
      </w:r>
      <w:r w:rsidRPr="001918D6">
        <w:tab/>
      </w:r>
      <w:r w:rsidR="0086493C" w:rsidRPr="001918D6">
        <w:t xml:space="preserve">Les rapports des </w:t>
      </w:r>
      <w:hyperlink r:id="rId14" w:history="1">
        <w:r w:rsidR="0086493C" w:rsidRPr="001918D6">
          <w:rPr>
            <w:rStyle w:val="Hyperlink"/>
          </w:rPr>
          <w:t>première</w:t>
        </w:r>
      </w:hyperlink>
      <w:r w:rsidR="0086493C" w:rsidRPr="001918D6">
        <w:t xml:space="preserve"> et </w:t>
      </w:r>
      <w:hyperlink r:id="rId15" w:history="1">
        <w:r w:rsidR="0086493C" w:rsidRPr="001918D6">
          <w:rPr>
            <w:rStyle w:val="Hyperlink"/>
          </w:rPr>
          <w:t>deuxième</w:t>
        </w:r>
      </w:hyperlink>
      <w:r w:rsidR="0086493C" w:rsidRPr="001918D6">
        <w:t xml:space="preserve"> réunions du Groupe EG-RTI ont été approuvés par le Groupe.</w:t>
      </w:r>
    </w:p>
    <w:p w14:paraId="5F7EC92E" w14:textId="7BB7FF4A" w:rsidR="0086493C" w:rsidRPr="001918D6" w:rsidRDefault="00B443AB" w:rsidP="006E5434">
      <w:bookmarkStart w:id="2" w:name="_Hlk38891878"/>
      <w:r w:rsidRPr="001918D6">
        <w:t>2.3</w:t>
      </w:r>
      <w:r w:rsidRPr="001918D6">
        <w:tab/>
      </w:r>
      <w:r w:rsidR="0086493C" w:rsidRPr="001918D6">
        <w:t>À sa première réunion, le Groupe EG-RTI a débattu des contributions reçues, les débats portant sur les propositions de programme de travail, sur lequel aucun consensus n'a été atteint</w:t>
      </w:r>
      <w:r w:rsidRPr="001918D6">
        <w:t>.</w:t>
      </w:r>
    </w:p>
    <w:p w14:paraId="73AC81F0" w14:textId="05AC9569" w:rsidR="00B443AB" w:rsidRPr="001918D6" w:rsidRDefault="00B443AB" w:rsidP="006E5434">
      <w:r w:rsidRPr="001918D6">
        <w:t>2.4</w:t>
      </w:r>
      <w:r w:rsidRPr="001918D6">
        <w:tab/>
      </w:r>
      <w:bookmarkEnd w:id="2"/>
      <w:r w:rsidR="0086493C" w:rsidRPr="001918D6">
        <w:t>À la deuxième réunion du Groupe EG-RTI, les participants ont approuvé un programme de travail, étant entendu que ce programme donne des orientations pour les travaux du Groupe et n'empêche pas les membres de soumettre des contributions, conformément à la Résolution 146 (Rév. Bucarest, 2022) et à la Résolution 1379 du Conseil (Mod. 2023). Une déclaration de la Fédération de Russie à cet égard est reproduite dans l'Annexe 2 du rapport de la deuxième réunion</w:t>
      </w:r>
      <w:r w:rsidRPr="001918D6">
        <w:t>.</w:t>
      </w:r>
    </w:p>
    <w:p w14:paraId="3C01D836" w14:textId="5CC9A4F4" w:rsidR="00B443AB" w:rsidRPr="00337F00" w:rsidRDefault="00B443AB" w:rsidP="00337F00">
      <w:pPr>
        <w:pStyle w:val="Heading1"/>
        <w:keepNext w:val="0"/>
        <w:keepLines w:val="0"/>
        <w:spacing w:before="300"/>
        <w:rPr>
          <w:sz w:val="26"/>
          <w:szCs w:val="26"/>
        </w:rPr>
      </w:pPr>
      <w:bookmarkStart w:id="3" w:name="dbreak3"/>
      <w:r w:rsidRPr="00337F00">
        <w:rPr>
          <w:rFonts w:eastAsia="Calibri"/>
          <w:sz w:val="26"/>
          <w:szCs w:val="26"/>
        </w:rPr>
        <w:t>3</w:t>
      </w:r>
      <w:r w:rsidRPr="00337F00">
        <w:rPr>
          <w:rFonts w:eastAsia="Calibri"/>
          <w:sz w:val="26"/>
          <w:szCs w:val="26"/>
        </w:rPr>
        <w:tab/>
        <w:t>Conclusions</w:t>
      </w:r>
    </w:p>
    <w:p w14:paraId="2DD06B8E" w14:textId="30644903" w:rsidR="00B443AB" w:rsidRPr="001918D6" w:rsidRDefault="00B443AB" w:rsidP="00337F00">
      <w:r w:rsidRPr="001918D6">
        <w:rPr>
          <w:rFonts w:eastAsia="Calibri" w:cs="Calibri"/>
          <w:bCs/>
          <w:color w:val="000000"/>
          <w:szCs w:val="24"/>
          <w:u w:color="000000"/>
          <w:bdr w:val="nil"/>
          <w:lang w:eastAsia="zh-CN"/>
        </w:rPr>
        <w:t>3</w:t>
      </w:r>
      <w:r w:rsidRPr="001918D6">
        <w:t>.1</w:t>
      </w:r>
      <w:r w:rsidRPr="001918D6">
        <w:tab/>
      </w:r>
      <w:r w:rsidR="00857C48" w:rsidRPr="001918D6">
        <w:t>Le Conseil est invité à prendre note du présent rapport d'activité du Groupe EG-RTI</w:t>
      </w:r>
      <w:r w:rsidRPr="001918D6">
        <w:t>.</w:t>
      </w:r>
    </w:p>
    <w:p w14:paraId="72F4923F" w14:textId="67319B75" w:rsidR="00B21FBF" w:rsidRPr="001918D6" w:rsidRDefault="00B443AB" w:rsidP="00337F00">
      <w:r w:rsidRPr="001918D6">
        <w:t>3.2</w:t>
      </w:r>
      <w:r w:rsidRPr="001918D6">
        <w:tab/>
      </w:r>
      <w:r w:rsidR="00B21FBF" w:rsidRPr="001918D6">
        <w:t>Au nom du Groupe EG-RTI, la Présidente remercie personnellement tous les États</w:t>
      </w:r>
      <w:r w:rsidR="008D7FB7" w:rsidRPr="001918D6">
        <w:t> </w:t>
      </w:r>
      <w:r w:rsidR="00B21FBF" w:rsidRPr="001918D6">
        <w:t xml:space="preserve">Membres de l'UIT ayant présenté des contributions et participé aux travaux du Groupe, les Vice-Présidents, </w:t>
      </w:r>
      <w:r w:rsidR="0068582E" w:rsidRPr="001918D6">
        <w:t>la Secrétaire générale</w:t>
      </w:r>
      <w:r w:rsidR="00B21FBF" w:rsidRPr="001918D6">
        <w:t xml:space="preserve">, le Vice-Secrétaire général, les Directeurs du TSB, du BR et du BDT, ainsi que le Secrétariat général pour leur aide efficace </w:t>
      </w:r>
      <w:r w:rsidR="009B6667" w:rsidRPr="001918D6">
        <w:t xml:space="preserve">pendant les première et </w:t>
      </w:r>
      <w:proofErr w:type="gramStart"/>
      <w:r w:rsidR="009B6667" w:rsidRPr="001918D6">
        <w:t>deuxième réunions</w:t>
      </w:r>
      <w:proofErr w:type="gramEnd"/>
      <w:r w:rsidR="009B6667" w:rsidRPr="001918D6">
        <w:t xml:space="preserve"> du Groupe EG-RTI.</w:t>
      </w:r>
    </w:p>
    <w:p w14:paraId="33514FAD" w14:textId="4760DC5E" w:rsidR="00B443AB" w:rsidRPr="001918D6" w:rsidRDefault="008D7FB7" w:rsidP="00337F00">
      <w:pPr>
        <w:tabs>
          <w:tab w:val="clear" w:pos="567"/>
          <w:tab w:val="clear" w:pos="1134"/>
          <w:tab w:val="clear" w:pos="1701"/>
          <w:tab w:val="clear" w:pos="2268"/>
          <w:tab w:val="clear" w:pos="2835"/>
          <w:tab w:val="center" w:pos="7088"/>
        </w:tabs>
        <w:spacing w:before="360"/>
        <w:rPr>
          <w:b/>
          <w:bCs/>
        </w:rPr>
      </w:pPr>
      <w:r w:rsidRPr="001918D6">
        <w:rPr>
          <w:rFonts w:eastAsia="Calibri" w:cs="Calibri"/>
          <w:b/>
          <w:bCs/>
        </w:rPr>
        <w:tab/>
      </w:r>
      <w:r w:rsidR="004F0D8E" w:rsidRPr="001918D6">
        <w:rPr>
          <w:rFonts w:eastAsia="Calibri" w:cs="Calibri"/>
          <w:b/>
          <w:bCs/>
        </w:rPr>
        <w:t>Présidente</w:t>
      </w:r>
      <w:r w:rsidR="00B443AB" w:rsidRPr="001918D6">
        <w:rPr>
          <w:rFonts w:eastAsia="Calibri" w:cs="Calibri"/>
          <w:b/>
          <w:bCs/>
        </w:rPr>
        <w:t>: Shahira Selim</w:t>
      </w:r>
    </w:p>
    <w:p w14:paraId="74BF83CC" w14:textId="04FCBA60" w:rsidR="008D7FB7" w:rsidRDefault="008D7FB7" w:rsidP="00337F00">
      <w:pPr>
        <w:tabs>
          <w:tab w:val="clear" w:pos="567"/>
          <w:tab w:val="clear" w:pos="1134"/>
          <w:tab w:val="clear" w:pos="1701"/>
          <w:tab w:val="clear" w:pos="2268"/>
          <w:tab w:val="clear" w:pos="2835"/>
          <w:tab w:val="center" w:pos="7088"/>
        </w:tabs>
        <w:spacing w:before="0"/>
        <w:rPr>
          <w:rFonts w:eastAsia="Calibri" w:cs="Calibri"/>
          <w:b/>
          <w:bCs/>
        </w:rPr>
      </w:pPr>
      <w:r w:rsidRPr="001918D6">
        <w:rPr>
          <w:rFonts w:eastAsia="Calibri" w:cs="Calibri"/>
          <w:b/>
          <w:bCs/>
        </w:rPr>
        <w:tab/>
      </w:r>
      <w:r w:rsidR="00B443AB" w:rsidRPr="001918D6">
        <w:rPr>
          <w:rFonts w:eastAsia="Calibri" w:cs="Calibri"/>
          <w:b/>
          <w:bCs/>
        </w:rPr>
        <w:t>(</w:t>
      </w:r>
      <w:r w:rsidR="001918D6" w:rsidRPr="001918D6">
        <w:rPr>
          <w:rFonts w:eastAsia="Calibri" w:cs="Calibri"/>
          <w:b/>
          <w:bCs/>
        </w:rPr>
        <w:t>ÉGYPTE</w:t>
      </w:r>
      <w:r w:rsidR="00B443AB" w:rsidRPr="001918D6">
        <w:rPr>
          <w:rFonts w:eastAsia="Calibri" w:cs="Calibri"/>
          <w:b/>
          <w:bCs/>
        </w:rPr>
        <w:t>)</w:t>
      </w:r>
      <w:bookmarkEnd w:id="3"/>
    </w:p>
    <w:p w14:paraId="5D7B09C5" w14:textId="159FC576" w:rsidR="00337F00" w:rsidRPr="00337F00" w:rsidRDefault="00337F00" w:rsidP="00337F00">
      <w:pPr>
        <w:tabs>
          <w:tab w:val="clear" w:pos="567"/>
          <w:tab w:val="clear" w:pos="1134"/>
          <w:tab w:val="clear" w:pos="1701"/>
          <w:tab w:val="clear" w:pos="2268"/>
          <w:tab w:val="clear" w:pos="2835"/>
          <w:tab w:val="center" w:pos="7088"/>
        </w:tabs>
        <w:jc w:val="center"/>
        <w:rPr>
          <w:rFonts w:eastAsia="Calibri" w:cs="Calibri"/>
        </w:rPr>
      </w:pPr>
      <w:r w:rsidRPr="00337F00">
        <w:rPr>
          <w:rFonts w:eastAsia="Calibri" w:cs="Calibri"/>
        </w:rPr>
        <w:t>________________</w:t>
      </w:r>
    </w:p>
    <w:sectPr w:rsidR="00337F00" w:rsidRPr="00337F00" w:rsidSect="00337F00">
      <w:headerReference w:type="first" r:id="rId16"/>
      <w:footerReference w:type="first" r:id="rId17"/>
      <w:pgSz w:w="11907" w:h="16840" w:code="9"/>
      <w:pgMar w:top="1247"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262FA7F" w:rsidR="00732045" w:rsidRDefault="00337F00">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26.04.24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4CE1632" w:rsidR="00A51849" w:rsidRDefault="00A51849" w:rsidP="00A51849">
          <w:pPr>
            <w:pStyle w:val="Header"/>
            <w:jc w:val="left"/>
            <w:rPr>
              <w:noProof/>
            </w:rPr>
          </w:pPr>
        </w:p>
      </w:tc>
      <w:tc>
        <w:tcPr>
          <w:tcW w:w="8261" w:type="dxa"/>
        </w:tcPr>
        <w:p w14:paraId="0DB0A3C6" w14:textId="2FE4E6A2" w:rsidR="00A51849" w:rsidRPr="00E06FD5" w:rsidRDefault="00A51849" w:rsidP="00FD0295">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D0295">
            <w:rPr>
              <w:bCs/>
            </w:rPr>
            <w:t>26</w:t>
          </w:r>
          <w:r w:rsidRPr="00623AE3">
            <w:rPr>
              <w:bCs/>
            </w:rPr>
            <w:t>-</w:t>
          </w:r>
          <w:r w:rsidR="00973F53">
            <w:rPr>
              <w:bCs/>
            </w:rPr>
            <w:t>F</w:t>
          </w:r>
          <w:r>
            <w:rPr>
              <w:bCs/>
            </w:rPr>
            <w:tab/>
          </w:r>
          <w:r>
            <w:fldChar w:fldCharType="begin"/>
          </w:r>
          <w:r>
            <w:instrText>PAGE</w:instrText>
          </w:r>
          <w:r>
            <w:fldChar w:fldCharType="separate"/>
          </w:r>
          <w:r w:rsidR="00FD0295">
            <w:rPr>
              <w:noProof/>
            </w:rPr>
            <w:t>3</w:t>
          </w:r>
          <w:r>
            <w:rPr>
              <w:noProof/>
            </w:rPr>
            <w:fldChar w:fldCharType="end"/>
          </w:r>
        </w:p>
      </w:tc>
    </w:tr>
  </w:tbl>
  <w:p w14:paraId="0BA722AB" w14:textId="41362DFE" w:rsidR="00732045" w:rsidRPr="00A51849" w:rsidRDefault="00732045" w:rsidP="006E5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337F0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231B1750" w:rsidR="00A51849" w:rsidRPr="00E06FD5" w:rsidRDefault="00A51849" w:rsidP="00B22B1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B22B18">
            <w:rPr>
              <w:bCs/>
            </w:rPr>
            <w:t>26</w:t>
          </w:r>
          <w:r w:rsidRPr="00623AE3">
            <w:rPr>
              <w:bCs/>
            </w:rPr>
            <w:t>-</w:t>
          </w:r>
          <w:r w:rsidR="00D72F49">
            <w:rPr>
              <w:bCs/>
            </w:rPr>
            <w:t>F</w:t>
          </w:r>
          <w:r>
            <w:rPr>
              <w:bCs/>
            </w:rPr>
            <w:tab/>
          </w:r>
          <w:r>
            <w:fldChar w:fldCharType="begin"/>
          </w:r>
          <w:r>
            <w:instrText>PAGE</w:instrText>
          </w:r>
          <w:r>
            <w:fldChar w:fldCharType="separate"/>
          </w:r>
          <w:r w:rsidR="00FD0295">
            <w:rPr>
              <w:noProof/>
            </w:rPr>
            <w:t>1</w:t>
          </w:r>
          <w:r>
            <w:rPr>
              <w:noProof/>
            </w:rPr>
            <w:fldChar w:fldCharType="end"/>
          </w:r>
        </w:p>
      </w:tc>
    </w:tr>
  </w:tbl>
  <w:p w14:paraId="67CF33E3" w14:textId="637B11B6" w:rsidR="00732045" w:rsidRPr="00A51849" w:rsidRDefault="00732045" w:rsidP="006E5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7F00" w:rsidRPr="00784011" w14:paraId="2905D9CF" w14:textId="77777777" w:rsidTr="00E31DCE">
      <w:trPr>
        <w:jc w:val="center"/>
      </w:trPr>
      <w:tc>
        <w:tcPr>
          <w:tcW w:w="1803" w:type="dxa"/>
          <w:vAlign w:val="center"/>
        </w:tcPr>
        <w:p w14:paraId="408DB6E9" w14:textId="69E7C0AF" w:rsidR="00337F00" w:rsidRPr="0082299A" w:rsidRDefault="00337F00" w:rsidP="00A51849">
          <w:pPr>
            <w:pStyle w:val="Header"/>
            <w:jc w:val="left"/>
            <w:rPr>
              <w:noProof/>
              <w:color w:val="0563C1"/>
            </w:rPr>
          </w:pPr>
        </w:p>
      </w:tc>
      <w:tc>
        <w:tcPr>
          <w:tcW w:w="8261" w:type="dxa"/>
        </w:tcPr>
        <w:p w14:paraId="17AED3F3" w14:textId="77777777" w:rsidR="00337F00" w:rsidRPr="00E06FD5" w:rsidRDefault="00337F00" w:rsidP="00B22B1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26</w:t>
          </w:r>
          <w:r w:rsidRPr="00623AE3">
            <w:rPr>
              <w:bCs/>
            </w:rPr>
            <w:t>-</w:t>
          </w:r>
          <w:r>
            <w:rPr>
              <w:bCs/>
            </w:rPr>
            <w:t>F</w:t>
          </w:r>
          <w:r>
            <w:rPr>
              <w:bCs/>
            </w:rPr>
            <w:tab/>
          </w:r>
          <w:r>
            <w:fldChar w:fldCharType="begin"/>
          </w:r>
          <w:r>
            <w:instrText>PAGE</w:instrText>
          </w:r>
          <w:r>
            <w:fldChar w:fldCharType="separate"/>
          </w:r>
          <w:r>
            <w:rPr>
              <w:noProof/>
            </w:rPr>
            <w:t>1</w:t>
          </w:r>
          <w:r>
            <w:rPr>
              <w:noProof/>
            </w:rPr>
            <w:fldChar w:fldCharType="end"/>
          </w:r>
        </w:p>
      </w:tc>
    </w:tr>
  </w:tbl>
  <w:p w14:paraId="6081AD71" w14:textId="77777777" w:rsidR="00337F00" w:rsidRPr="00A51849" w:rsidRDefault="00337F00" w:rsidP="006E5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lang w:val="en-US"/>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347" w14:textId="475FFDF4" w:rsidR="00337F00" w:rsidRDefault="00337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34B4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EACD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BEB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0C6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8D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8E9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384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9E01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E66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7234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6285D"/>
    <w:multiLevelType w:val="hybridMultilevel"/>
    <w:tmpl w:val="C068CCAA"/>
    <w:lvl w:ilvl="0" w:tplc="BC42B204">
      <w:numFmt w:val="bullet"/>
      <w:lvlText w:val="–"/>
      <w:lvlJc w:val="left"/>
      <w:pPr>
        <w:ind w:left="1155" w:hanging="79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B31E1"/>
    <w:multiLevelType w:val="hybridMultilevel"/>
    <w:tmpl w:val="6C72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D266A"/>
    <w:multiLevelType w:val="hybridMultilevel"/>
    <w:tmpl w:val="DA54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61434">
    <w:abstractNumId w:val="12"/>
  </w:num>
  <w:num w:numId="2" w16cid:durableId="915939151">
    <w:abstractNumId w:val="11"/>
  </w:num>
  <w:num w:numId="3" w16cid:durableId="1688436185">
    <w:abstractNumId w:val="10"/>
  </w:num>
  <w:num w:numId="4" w16cid:durableId="1138453335">
    <w:abstractNumId w:val="9"/>
  </w:num>
  <w:num w:numId="5" w16cid:durableId="459882784">
    <w:abstractNumId w:val="7"/>
  </w:num>
  <w:num w:numId="6" w16cid:durableId="851991903">
    <w:abstractNumId w:val="6"/>
  </w:num>
  <w:num w:numId="7" w16cid:durableId="1088651254">
    <w:abstractNumId w:val="5"/>
  </w:num>
  <w:num w:numId="8" w16cid:durableId="1723212243">
    <w:abstractNumId w:val="4"/>
  </w:num>
  <w:num w:numId="9" w16cid:durableId="1782531627">
    <w:abstractNumId w:val="8"/>
  </w:num>
  <w:num w:numId="10" w16cid:durableId="594168397">
    <w:abstractNumId w:val="3"/>
  </w:num>
  <w:num w:numId="11" w16cid:durableId="1394817760">
    <w:abstractNumId w:val="2"/>
  </w:num>
  <w:num w:numId="12" w16cid:durableId="334963860">
    <w:abstractNumId w:val="1"/>
  </w:num>
  <w:num w:numId="13" w16cid:durableId="210688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24DB0"/>
    <w:rsid w:val="00076A2C"/>
    <w:rsid w:val="000773E9"/>
    <w:rsid w:val="000D0D0A"/>
    <w:rsid w:val="00103163"/>
    <w:rsid w:val="00106B19"/>
    <w:rsid w:val="001133EF"/>
    <w:rsid w:val="00115D93"/>
    <w:rsid w:val="001247A8"/>
    <w:rsid w:val="001378C0"/>
    <w:rsid w:val="0018694A"/>
    <w:rsid w:val="001918D6"/>
    <w:rsid w:val="001A3287"/>
    <w:rsid w:val="001A6508"/>
    <w:rsid w:val="001D4C31"/>
    <w:rsid w:val="001E4D21"/>
    <w:rsid w:val="00207CD1"/>
    <w:rsid w:val="00226657"/>
    <w:rsid w:val="002477A2"/>
    <w:rsid w:val="00263A51"/>
    <w:rsid w:val="00267E02"/>
    <w:rsid w:val="002A5D44"/>
    <w:rsid w:val="002E0BC4"/>
    <w:rsid w:val="002F1B76"/>
    <w:rsid w:val="00333A25"/>
    <w:rsid w:val="0033568E"/>
    <w:rsid w:val="00337F00"/>
    <w:rsid w:val="00355FF5"/>
    <w:rsid w:val="00361350"/>
    <w:rsid w:val="003C3FAE"/>
    <w:rsid w:val="003F36AF"/>
    <w:rsid w:val="004038CB"/>
    <w:rsid w:val="0040546F"/>
    <w:rsid w:val="0042404A"/>
    <w:rsid w:val="0044618F"/>
    <w:rsid w:val="0046769A"/>
    <w:rsid w:val="004724DE"/>
    <w:rsid w:val="00475FB3"/>
    <w:rsid w:val="004C37A9"/>
    <w:rsid w:val="004D1D50"/>
    <w:rsid w:val="004F0D8E"/>
    <w:rsid w:val="004F0F7F"/>
    <w:rsid w:val="004F259E"/>
    <w:rsid w:val="00511F1D"/>
    <w:rsid w:val="00520F36"/>
    <w:rsid w:val="00534E13"/>
    <w:rsid w:val="00540615"/>
    <w:rsid w:val="00540A6D"/>
    <w:rsid w:val="00566679"/>
    <w:rsid w:val="00571EEA"/>
    <w:rsid w:val="00575417"/>
    <w:rsid w:val="005768E1"/>
    <w:rsid w:val="005924C5"/>
    <w:rsid w:val="005B1938"/>
    <w:rsid w:val="005C3890"/>
    <w:rsid w:val="005F17B5"/>
    <w:rsid w:val="005F7BFE"/>
    <w:rsid w:val="00600017"/>
    <w:rsid w:val="006235CA"/>
    <w:rsid w:val="00654A97"/>
    <w:rsid w:val="006643AB"/>
    <w:rsid w:val="0068582E"/>
    <w:rsid w:val="00690E45"/>
    <w:rsid w:val="006A11AE"/>
    <w:rsid w:val="006E5434"/>
    <w:rsid w:val="006F0A53"/>
    <w:rsid w:val="007210CD"/>
    <w:rsid w:val="00732045"/>
    <w:rsid w:val="0073275D"/>
    <w:rsid w:val="007369DB"/>
    <w:rsid w:val="007722C4"/>
    <w:rsid w:val="007956C2"/>
    <w:rsid w:val="007A187E"/>
    <w:rsid w:val="007C72C2"/>
    <w:rsid w:val="007D4436"/>
    <w:rsid w:val="007F257A"/>
    <w:rsid w:val="007F3665"/>
    <w:rsid w:val="00800037"/>
    <w:rsid w:val="0082299A"/>
    <w:rsid w:val="0083391C"/>
    <w:rsid w:val="00857C48"/>
    <w:rsid w:val="00861D73"/>
    <w:rsid w:val="0086493C"/>
    <w:rsid w:val="00897553"/>
    <w:rsid w:val="008A4E87"/>
    <w:rsid w:val="008D16EB"/>
    <w:rsid w:val="008D72CA"/>
    <w:rsid w:val="008D76E6"/>
    <w:rsid w:val="008D7FB7"/>
    <w:rsid w:val="0092392D"/>
    <w:rsid w:val="0093234A"/>
    <w:rsid w:val="00956A78"/>
    <w:rsid w:val="0097363B"/>
    <w:rsid w:val="00973F53"/>
    <w:rsid w:val="009A6BAA"/>
    <w:rsid w:val="009B6667"/>
    <w:rsid w:val="009C307F"/>
    <w:rsid w:val="009C353C"/>
    <w:rsid w:val="009F60B3"/>
    <w:rsid w:val="00A2113E"/>
    <w:rsid w:val="00A23A51"/>
    <w:rsid w:val="00A24607"/>
    <w:rsid w:val="00A25CD3"/>
    <w:rsid w:val="00A51849"/>
    <w:rsid w:val="00A709FE"/>
    <w:rsid w:val="00A73C60"/>
    <w:rsid w:val="00A82767"/>
    <w:rsid w:val="00AA332F"/>
    <w:rsid w:val="00AA7BBB"/>
    <w:rsid w:val="00AB64A8"/>
    <w:rsid w:val="00AC0266"/>
    <w:rsid w:val="00AD24EC"/>
    <w:rsid w:val="00AF0D98"/>
    <w:rsid w:val="00B21FBF"/>
    <w:rsid w:val="00B22B18"/>
    <w:rsid w:val="00B309F9"/>
    <w:rsid w:val="00B32B60"/>
    <w:rsid w:val="00B443AB"/>
    <w:rsid w:val="00B61619"/>
    <w:rsid w:val="00B86F3B"/>
    <w:rsid w:val="00BB4545"/>
    <w:rsid w:val="00BD5873"/>
    <w:rsid w:val="00BF4B60"/>
    <w:rsid w:val="00C04BE3"/>
    <w:rsid w:val="00C12508"/>
    <w:rsid w:val="00C25D29"/>
    <w:rsid w:val="00C27A7C"/>
    <w:rsid w:val="00C42437"/>
    <w:rsid w:val="00CA08ED"/>
    <w:rsid w:val="00CA35C8"/>
    <w:rsid w:val="00CF183B"/>
    <w:rsid w:val="00CF6159"/>
    <w:rsid w:val="00D1377B"/>
    <w:rsid w:val="00D375CD"/>
    <w:rsid w:val="00D553A2"/>
    <w:rsid w:val="00D72F49"/>
    <w:rsid w:val="00D774D3"/>
    <w:rsid w:val="00D904E8"/>
    <w:rsid w:val="00DA08C3"/>
    <w:rsid w:val="00DB5A3E"/>
    <w:rsid w:val="00DC22AA"/>
    <w:rsid w:val="00DF74DD"/>
    <w:rsid w:val="00E25AD0"/>
    <w:rsid w:val="00E4428F"/>
    <w:rsid w:val="00E84BE9"/>
    <w:rsid w:val="00E93668"/>
    <w:rsid w:val="00E95647"/>
    <w:rsid w:val="00EB6350"/>
    <w:rsid w:val="00ED3A20"/>
    <w:rsid w:val="00F15B57"/>
    <w:rsid w:val="00F35EF4"/>
    <w:rsid w:val="00F37FE5"/>
    <w:rsid w:val="00F427DB"/>
    <w:rsid w:val="00FA5EB1"/>
    <w:rsid w:val="00FA7439"/>
    <w:rsid w:val="00FB77F3"/>
    <w:rsid w:val="00FC4EC0"/>
    <w:rsid w:val="00FD029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styleId="ListParagraph">
    <w:name w:val="List Paragraph"/>
    <w:basedOn w:val="Normal"/>
    <w:uiPriority w:val="34"/>
    <w:qFormat/>
    <w:rsid w:val="000773E9"/>
    <w:pPr>
      <w:ind w:left="720"/>
      <w:contextualSpacing/>
    </w:pPr>
  </w:style>
  <w:style w:type="character" w:styleId="CommentReference">
    <w:name w:val="annotation reference"/>
    <w:basedOn w:val="DefaultParagraphFont"/>
    <w:semiHidden/>
    <w:unhideWhenUsed/>
    <w:rsid w:val="004F0F7F"/>
    <w:rPr>
      <w:sz w:val="16"/>
      <w:szCs w:val="16"/>
    </w:rPr>
  </w:style>
  <w:style w:type="paragraph" w:styleId="CommentText">
    <w:name w:val="annotation text"/>
    <w:basedOn w:val="Normal"/>
    <w:link w:val="CommentTextChar"/>
    <w:semiHidden/>
    <w:unhideWhenUsed/>
    <w:rsid w:val="004F0F7F"/>
    <w:rPr>
      <w:sz w:val="20"/>
    </w:rPr>
  </w:style>
  <w:style w:type="character" w:customStyle="1" w:styleId="CommentTextChar">
    <w:name w:val="Comment Text Char"/>
    <w:basedOn w:val="DefaultParagraphFont"/>
    <w:link w:val="CommentText"/>
    <w:semiHidden/>
    <w:rsid w:val="004F0F7F"/>
    <w:rPr>
      <w:rFonts w:ascii="Calibri" w:hAnsi="Calibri"/>
      <w:lang w:val="fr-FR" w:eastAsia="en-US"/>
    </w:rPr>
  </w:style>
  <w:style w:type="paragraph" w:styleId="CommentSubject">
    <w:name w:val="annotation subject"/>
    <w:basedOn w:val="CommentText"/>
    <w:next w:val="CommentText"/>
    <w:link w:val="CommentSubjectChar"/>
    <w:semiHidden/>
    <w:unhideWhenUsed/>
    <w:rsid w:val="004F0F7F"/>
    <w:rPr>
      <w:b/>
      <w:bCs/>
    </w:rPr>
  </w:style>
  <w:style w:type="character" w:customStyle="1" w:styleId="CommentSubjectChar">
    <w:name w:val="Comment Subject Char"/>
    <w:basedOn w:val="CommentTextChar"/>
    <w:link w:val="CommentSubject"/>
    <w:semiHidden/>
    <w:rsid w:val="004F0F7F"/>
    <w:rPr>
      <w:rFonts w:ascii="Calibri" w:hAnsi="Calibri"/>
      <w:b/>
      <w:bCs/>
      <w:lang w:val="fr-FR" w:eastAsia="en-US"/>
    </w:rPr>
  </w:style>
  <w:style w:type="paragraph" w:styleId="BalloonText">
    <w:name w:val="Balloon Text"/>
    <w:basedOn w:val="Normal"/>
    <w:link w:val="BalloonTextChar"/>
    <w:semiHidden/>
    <w:unhideWhenUsed/>
    <w:rsid w:val="004F0F7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0F7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en/council/Pages/eg-itr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3-CL-C-0121/fr" TargetMode="Externa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S24-EGITRS2-C-0021/fr"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md/S24-EGITRS2-C-0020/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4160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de la présidente du groupe d'experts sur le règlement des télécommunications internationales (EG-RTI)</dc:title>
  <dc:subject>Conseil 2024 de l'UIT</dc:subject>
  <dc:creator/>
  <cp:keywords>C2024, C24, Council-24</cp:keywords>
  <dc:description/>
  <cp:lastModifiedBy>Brouard, Ricarda</cp:lastModifiedBy>
  <cp:revision>5</cp:revision>
  <cp:lastPrinted>2000-07-18T08:55:00Z</cp:lastPrinted>
  <dcterms:created xsi:type="dcterms:W3CDTF">2024-04-26T14:30:00Z</dcterms:created>
  <dcterms:modified xsi:type="dcterms:W3CDTF">2024-05-01T12:19:00Z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