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151C5AB1">
        <w:trPr>
          <w:cantSplit/>
          <w:trHeight w:val="23"/>
        </w:trPr>
        <w:tc>
          <w:tcPr>
            <w:tcW w:w="3969" w:type="dxa"/>
            <w:vMerge w:val="restart"/>
            <w:tcMar>
              <w:left w:w="0" w:type="dxa"/>
            </w:tcMar>
          </w:tcPr>
          <w:p w14:paraId="60A806D3" w14:textId="6A84480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E0065D">
              <w:rPr>
                <w:b/>
              </w:rPr>
              <w:t>PL 3</w:t>
            </w:r>
          </w:p>
        </w:tc>
        <w:tc>
          <w:tcPr>
            <w:tcW w:w="5245" w:type="dxa"/>
          </w:tcPr>
          <w:p w14:paraId="291AB2A2" w14:textId="5196343E"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951DD2">
              <w:rPr>
                <w:b/>
              </w:rPr>
              <w:t>24</w:t>
            </w:r>
            <w:r>
              <w:rPr>
                <w:b/>
              </w:rPr>
              <w:t>-E</w:t>
            </w:r>
          </w:p>
        </w:tc>
      </w:tr>
      <w:tr w:rsidR="00AD3606" w:rsidRPr="00813E5E" w14:paraId="789B45BA" w14:textId="77777777" w:rsidTr="151C5AB1">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E66508D" w:rsidR="00AD3606" w:rsidRPr="00E85629" w:rsidRDefault="00581942" w:rsidP="00AD3606">
            <w:pPr>
              <w:tabs>
                <w:tab w:val="left" w:pos="851"/>
              </w:tabs>
              <w:spacing w:before="0"/>
              <w:jc w:val="right"/>
              <w:rPr>
                <w:b/>
              </w:rPr>
            </w:pPr>
            <w:r>
              <w:rPr>
                <w:b/>
              </w:rPr>
              <w:t>6</w:t>
            </w:r>
            <w:r w:rsidR="00FC44B7">
              <w:rPr>
                <w:b/>
              </w:rPr>
              <w:t xml:space="preserve"> May</w:t>
            </w:r>
            <w:r w:rsidR="00AD3606">
              <w:rPr>
                <w:b/>
              </w:rPr>
              <w:t xml:space="preserve"> 202</w:t>
            </w:r>
            <w:r w:rsidR="00E23618">
              <w:rPr>
                <w:b/>
              </w:rPr>
              <w:t>4</w:t>
            </w:r>
          </w:p>
        </w:tc>
      </w:tr>
      <w:tr w:rsidR="00AD3606" w:rsidRPr="00813E5E" w14:paraId="58A84C4A" w14:textId="77777777" w:rsidTr="151C5AB1">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151C5AB1">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151C5AB1">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151C5AB1">
        <w:trPr>
          <w:cantSplit/>
        </w:trPr>
        <w:tc>
          <w:tcPr>
            <w:tcW w:w="9214" w:type="dxa"/>
            <w:gridSpan w:val="2"/>
            <w:tcMar>
              <w:left w:w="0" w:type="dxa"/>
            </w:tcMar>
          </w:tcPr>
          <w:p w14:paraId="47B91AA8" w14:textId="03E525CA" w:rsidR="00AD3606" w:rsidRPr="006850BE" w:rsidRDefault="00DC44F6" w:rsidP="006850BE">
            <w:pPr>
              <w:pStyle w:val="Subtitle1"/>
              <w:framePr w:hSpace="0" w:wrap="auto" w:xAlign="left" w:yAlign="inline"/>
            </w:pPr>
            <w:bookmarkStart w:id="9" w:name="dtitle1"/>
            <w:bookmarkStart w:id="10" w:name="_Hlk165925589"/>
            <w:bookmarkEnd w:id="8"/>
            <w:r>
              <w:t xml:space="preserve">PREPARATIONS FOR THE </w:t>
            </w:r>
            <w:r w:rsidR="26120038">
              <w:t xml:space="preserve">2024 </w:t>
            </w:r>
            <w:r>
              <w:t>WORLD TELECOMMUNICATION STANDARDIZATION ASSEMBLY (WTSA-24)</w:t>
            </w:r>
            <w:bookmarkEnd w:id="10"/>
          </w:p>
        </w:tc>
      </w:tr>
      <w:tr w:rsidR="00AD3606" w:rsidRPr="00E0065D" w14:paraId="1F564D2D" w14:textId="77777777" w:rsidTr="151C5AB1">
        <w:trPr>
          <w:cantSplit/>
        </w:trPr>
        <w:tc>
          <w:tcPr>
            <w:tcW w:w="9214" w:type="dxa"/>
            <w:gridSpan w:val="2"/>
            <w:tcBorders>
              <w:top w:val="single" w:sz="4" w:space="0" w:color="auto"/>
              <w:bottom w:val="single" w:sz="4" w:space="0" w:color="auto"/>
            </w:tcBorders>
            <w:tcMar>
              <w:left w:w="0" w:type="dxa"/>
            </w:tcMar>
          </w:tcPr>
          <w:p w14:paraId="7AD73B47" w14:textId="7DB3FEAB" w:rsidR="00AD3606" w:rsidRPr="00F16BAB" w:rsidRDefault="00F16BAB" w:rsidP="00F16BAB">
            <w:pPr>
              <w:spacing w:before="160"/>
              <w:rPr>
                <w:b/>
                <w:bCs/>
                <w:sz w:val="26"/>
                <w:szCs w:val="26"/>
              </w:rPr>
            </w:pPr>
            <w:r w:rsidRPr="00F16BAB">
              <w:rPr>
                <w:b/>
                <w:bCs/>
                <w:sz w:val="26"/>
                <w:szCs w:val="26"/>
              </w:rPr>
              <w:t>Purpose</w:t>
            </w:r>
          </w:p>
          <w:p w14:paraId="2E09FE8B" w14:textId="51AEC468" w:rsidR="00AD3606" w:rsidRPr="00813E5E" w:rsidRDefault="005D2D47" w:rsidP="00C55D10">
            <w:pPr>
              <w:jc w:val="both"/>
            </w:pPr>
            <w:r w:rsidRPr="005D2D47">
              <w:t>The document reports about the status of preparations for the World Telecommunication Standardization Assembly (WTSA-2</w:t>
            </w:r>
            <w:r>
              <w:t>4</w:t>
            </w:r>
            <w:r w:rsidRPr="005D2D47">
              <w:t>) and the Global Standards Symposium (GSS-2</w:t>
            </w:r>
            <w:r>
              <w:t>4</w:t>
            </w:r>
            <w:r w:rsidRPr="005D2D47">
              <w:t>).</w:t>
            </w:r>
          </w:p>
          <w:p w14:paraId="5076D5C4" w14:textId="77777777" w:rsidR="00AD3606" w:rsidRPr="00F16BAB" w:rsidRDefault="00AD3606" w:rsidP="00C55D10">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734043E4" w:rsidR="00AD3606" w:rsidRPr="00484009" w:rsidRDefault="00D064AB" w:rsidP="00C55D10">
            <w:pPr>
              <w:jc w:val="both"/>
            </w:pPr>
            <w:r w:rsidRPr="00E405DC">
              <w:rPr>
                <w:rFonts w:asciiTheme="minorHAnsi" w:hAnsiTheme="minorHAnsi"/>
                <w:bCs/>
                <w:szCs w:val="24"/>
              </w:rPr>
              <w:t xml:space="preserve">The Council is invited </w:t>
            </w:r>
            <w:r w:rsidRPr="00E405DC">
              <w:rPr>
                <w:rFonts w:asciiTheme="minorHAnsi" w:hAnsiTheme="minorHAnsi"/>
                <w:b/>
                <w:szCs w:val="24"/>
              </w:rPr>
              <w:t>to note</w:t>
            </w:r>
            <w:r w:rsidRPr="00E405DC">
              <w:rPr>
                <w:rFonts w:asciiTheme="minorHAnsi" w:hAnsiTheme="minorHAnsi"/>
                <w:bCs/>
                <w:szCs w:val="24"/>
              </w:rPr>
              <w:t xml:space="preserve"> the report.</w:t>
            </w:r>
          </w:p>
          <w:p w14:paraId="0F8F1F03" w14:textId="4C82C195" w:rsidR="00F16BAB" w:rsidRPr="00E0065D" w:rsidRDefault="00F16BAB" w:rsidP="00C55D10">
            <w:pPr>
              <w:spacing w:before="160"/>
              <w:jc w:val="both"/>
              <w:rPr>
                <w:b/>
                <w:bCs/>
                <w:sz w:val="26"/>
                <w:szCs w:val="26"/>
              </w:rPr>
            </w:pPr>
            <w:r w:rsidRPr="00E0065D">
              <w:rPr>
                <w:b/>
                <w:bCs/>
                <w:sz w:val="26"/>
                <w:szCs w:val="26"/>
              </w:rPr>
              <w:t>Relevant link</w:t>
            </w:r>
            <w:r w:rsidR="00E0065D">
              <w:rPr>
                <w:b/>
                <w:bCs/>
                <w:sz w:val="26"/>
                <w:szCs w:val="26"/>
              </w:rPr>
              <w:t>(s)</w:t>
            </w:r>
            <w:r w:rsidRPr="00E0065D">
              <w:rPr>
                <w:b/>
                <w:bCs/>
                <w:sz w:val="26"/>
                <w:szCs w:val="26"/>
              </w:rPr>
              <w:t xml:space="preserve"> with the Strategic Plan</w:t>
            </w:r>
          </w:p>
          <w:p w14:paraId="00A55EA1" w14:textId="388457EB" w:rsidR="00F16BAB" w:rsidRPr="00955D93" w:rsidRDefault="00E0065D" w:rsidP="00C55D10">
            <w:pPr>
              <w:jc w:val="both"/>
              <w:rPr>
                <w:highlight w:val="green"/>
              </w:rPr>
            </w:pPr>
            <w:r w:rsidRPr="00E0065D">
              <w:t>Convening platform; membership driven.</w:t>
            </w:r>
          </w:p>
          <w:p w14:paraId="632C043A" w14:textId="5A1B3A5E" w:rsidR="00F16BAB" w:rsidRPr="00C55D10" w:rsidRDefault="00F16BAB" w:rsidP="00C55D10">
            <w:pPr>
              <w:spacing w:before="160"/>
              <w:jc w:val="both"/>
              <w:rPr>
                <w:b/>
                <w:bCs/>
                <w:sz w:val="26"/>
                <w:szCs w:val="26"/>
              </w:rPr>
            </w:pPr>
            <w:r w:rsidRPr="00C55D10">
              <w:rPr>
                <w:b/>
                <w:bCs/>
                <w:sz w:val="26"/>
                <w:szCs w:val="26"/>
              </w:rPr>
              <w:t>Financial implications</w:t>
            </w:r>
          </w:p>
          <w:p w14:paraId="534D70DF" w14:textId="12C88490" w:rsidR="00E0065D" w:rsidRPr="00C55D10" w:rsidRDefault="00E0065D" w:rsidP="00C55D10">
            <w:pPr>
              <w:spacing w:before="160"/>
              <w:jc w:val="both"/>
              <w:rPr>
                <w:szCs w:val="24"/>
              </w:rPr>
            </w:pPr>
            <w:r w:rsidRPr="00E0065D">
              <w:rPr>
                <w:szCs w:val="24"/>
              </w:rPr>
              <w:t>Within the allocated budget 2024-2025.</w:t>
            </w:r>
          </w:p>
          <w:p w14:paraId="2AAB18B0" w14:textId="77777777" w:rsidR="00AD3606" w:rsidRPr="00C55D10" w:rsidRDefault="00AD3606" w:rsidP="00F16BAB">
            <w:pPr>
              <w:spacing w:before="160"/>
              <w:rPr>
                <w:caps/>
                <w:sz w:val="22"/>
              </w:rPr>
            </w:pPr>
            <w:r w:rsidRPr="00C55D10">
              <w:rPr>
                <w:sz w:val="22"/>
              </w:rPr>
              <w:t>__________________</w:t>
            </w:r>
          </w:p>
          <w:p w14:paraId="00DEE14C" w14:textId="77777777" w:rsidR="00AD3606" w:rsidRPr="00C55D10" w:rsidRDefault="00AD3606" w:rsidP="00F16BAB">
            <w:pPr>
              <w:spacing w:before="160"/>
              <w:rPr>
                <w:b/>
                <w:bCs/>
                <w:sz w:val="26"/>
                <w:szCs w:val="26"/>
              </w:rPr>
            </w:pPr>
            <w:r w:rsidRPr="00C55D10">
              <w:rPr>
                <w:b/>
                <w:bCs/>
                <w:sz w:val="26"/>
                <w:szCs w:val="26"/>
              </w:rPr>
              <w:t>References</w:t>
            </w:r>
          </w:p>
          <w:p w14:paraId="0175CD6C" w14:textId="74B8A6C4" w:rsidR="00AD3606" w:rsidRPr="00C55D10" w:rsidRDefault="00581942" w:rsidP="00F16BAB">
            <w:pPr>
              <w:spacing w:after="160"/>
            </w:pPr>
            <w:hyperlink r:id="rId11" w:history="1">
              <w:r w:rsidR="00D064AB" w:rsidRPr="00C55D10">
                <w:rPr>
                  <w:rStyle w:val="Hyperlink"/>
                </w:rPr>
                <w:t>https://www.itu.int/wtsa/2024/</w:t>
              </w:r>
            </w:hyperlink>
            <w:r w:rsidR="00D064AB" w:rsidRPr="00C55D10">
              <w:t xml:space="preserve"> </w:t>
            </w:r>
          </w:p>
        </w:tc>
      </w:tr>
    </w:tbl>
    <w:p w14:paraId="4CDB8B60" w14:textId="2A4D9B15" w:rsidR="00E227F3" w:rsidRPr="00C55D1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4FC22A0F" w14:textId="73D43704" w:rsidR="007616D1" w:rsidRPr="00C55D1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55D10">
        <w:br w:type="page"/>
      </w:r>
      <w:bookmarkEnd w:id="5"/>
      <w:bookmarkEnd w:id="11"/>
    </w:p>
    <w:p w14:paraId="20D8A79D" w14:textId="77777777" w:rsidR="00F96165" w:rsidRPr="00F96165" w:rsidRDefault="00506538" w:rsidP="00F96165">
      <w:pPr>
        <w:numPr>
          <w:ilvl w:val="0"/>
          <w:numId w:val="2"/>
        </w:numPr>
        <w:tabs>
          <w:tab w:val="clear" w:pos="567"/>
          <w:tab w:val="clear" w:pos="1134"/>
          <w:tab w:val="clear" w:pos="1701"/>
          <w:tab w:val="clear" w:pos="2268"/>
          <w:tab w:val="clear" w:pos="2835"/>
        </w:tabs>
        <w:snapToGrid w:val="0"/>
        <w:spacing w:after="120"/>
        <w:ind w:left="0" w:firstLine="0"/>
        <w:jc w:val="both"/>
        <w:rPr>
          <w:szCs w:val="24"/>
        </w:rPr>
      </w:pPr>
      <w:r w:rsidRPr="00F96165">
        <w:rPr>
          <w:b/>
          <w:bCs/>
        </w:rPr>
        <w:lastRenderedPageBreak/>
        <w:t>Venue and date</w:t>
      </w:r>
      <w:bookmarkStart w:id="12" w:name="OLE_LINK6"/>
      <w:bookmarkStart w:id="13" w:name="OLE_LINK5"/>
    </w:p>
    <w:p w14:paraId="2577A4A3" w14:textId="7CA7CCC0" w:rsidR="00C23E3B" w:rsidRPr="00F96165" w:rsidRDefault="00C23E3B" w:rsidP="00F96165">
      <w:pPr>
        <w:tabs>
          <w:tab w:val="clear" w:pos="567"/>
          <w:tab w:val="clear" w:pos="1134"/>
          <w:tab w:val="clear" w:pos="1701"/>
          <w:tab w:val="clear" w:pos="2268"/>
          <w:tab w:val="clear" w:pos="2835"/>
        </w:tabs>
        <w:snapToGrid w:val="0"/>
        <w:spacing w:after="120"/>
        <w:jc w:val="both"/>
        <w:rPr>
          <w:szCs w:val="24"/>
        </w:rPr>
      </w:pPr>
      <w:r w:rsidRPr="00F96165">
        <w:rPr>
          <w:szCs w:val="24"/>
        </w:rPr>
        <w:t>1.</w:t>
      </w:r>
      <w:r w:rsidR="00DB075D">
        <w:rPr>
          <w:szCs w:val="24"/>
        </w:rPr>
        <w:t>1</w:t>
      </w:r>
      <w:r w:rsidRPr="00EB0101">
        <w:tab/>
        <w:t xml:space="preserve">The </w:t>
      </w:r>
      <w:r w:rsidRPr="00F96165">
        <w:rPr>
          <w:szCs w:val="24"/>
        </w:rPr>
        <w:t xml:space="preserve">ITU Secretary-General received in March 2023 an invitation from the Government of India for </w:t>
      </w:r>
      <w:r w:rsidRPr="00F96165">
        <w:rPr>
          <w:spacing w:val="4"/>
          <w:szCs w:val="24"/>
        </w:rPr>
        <w:t>the hosting of WTSA-24 in India with the proposed dates of 15</w:t>
      </w:r>
      <w:r w:rsidRPr="00F96165">
        <w:rPr>
          <w:spacing w:val="4"/>
        </w:rPr>
        <w:t xml:space="preserve"> to 24 October </w:t>
      </w:r>
      <w:r w:rsidRPr="00F96165">
        <w:rPr>
          <w:spacing w:val="4"/>
          <w:szCs w:val="24"/>
        </w:rPr>
        <w:t xml:space="preserve">2024, at Pragati Maidan, New Delhi, India (see </w:t>
      </w:r>
      <w:hyperlink r:id="rId12" w:history="1">
        <w:r w:rsidRPr="00F96165">
          <w:rPr>
            <w:rStyle w:val="Hyperlink"/>
            <w:rFonts w:cstheme="minorHAnsi"/>
            <w:szCs w:val="24"/>
          </w:rPr>
          <w:t>C23/24</w:t>
        </w:r>
      </w:hyperlink>
      <w:r w:rsidRPr="00F96165">
        <w:rPr>
          <w:rFonts w:cstheme="minorHAnsi"/>
          <w:color w:val="000000"/>
          <w:szCs w:val="24"/>
        </w:rPr>
        <w:t xml:space="preserve"> </w:t>
      </w:r>
      <w:hyperlink w:anchor="Annex1" w:history="1">
        <w:r w:rsidRPr="00F96165">
          <w:rPr>
            <w:spacing w:val="4"/>
          </w:rPr>
          <w:t>Annex 1</w:t>
        </w:r>
      </w:hyperlink>
      <w:r w:rsidRPr="00F96165">
        <w:rPr>
          <w:spacing w:val="4"/>
          <w:szCs w:val="24"/>
        </w:rPr>
        <w:t>).</w:t>
      </w:r>
      <w:bookmarkEnd w:id="12"/>
      <w:bookmarkEnd w:id="13"/>
    </w:p>
    <w:p w14:paraId="79F3CB3E" w14:textId="3B3CB59A" w:rsidR="00C23E3B" w:rsidRPr="00137C54" w:rsidRDefault="00C23E3B" w:rsidP="00F96165">
      <w:pPr>
        <w:tabs>
          <w:tab w:val="clear" w:pos="567"/>
          <w:tab w:val="clear" w:pos="1134"/>
          <w:tab w:val="clear" w:pos="1701"/>
          <w:tab w:val="clear" w:pos="2268"/>
          <w:tab w:val="clear" w:pos="2835"/>
        </w:tabs>
        <w:spacing w:after="120"/>
        <w:jc w:val="both"/>
      </w:pPr>
      <w:r>
        <w:t>1.</w:t>
      </w:r>
      <w:r w:rsidR="00DB075D">
        <w:t>2</w:t>
      </w:r>
      <w:r>
        <w:tab/>
        <w:t xml:space="preserve">Following Council </w:t>
      </w:r>
      <w:hyperlink r:id="rId13">
        <w:r w:rsidRPr="2B06E7AD">
          <w:rPr>
            <w:rStyle w:val="Hyperlink"/>
          </w:rPr>
          <w:t>Decision 629</w:t>
        </w:r>
      </w:hyperlink>
      <w:r w:rsidRPr="2B06E7AD">
        <w:rPr>
          <w:rStyle w:val="Hyperlink"/>
        </w:rPr>
        <w:t xml:space="preserve"> </w:t>
      </w:r>
      <w:r>
        <w:t xml:space="preserve">adopted at the 2023 Session of </w:t>
      </w:r>
      <w:r w:rsidR="002B5E9D">
        <w:t xml:space="preserve">the </w:t>
      </w:r>
      <w:r>
        <w:t>Council, the Secretary-General carried out a consultation with all Member States on the precise place and exact dates of WTSA-24.</w:t>
      </w:r>
    </w:p>
    <w:p w14:paraId="18C8F50C" w14:textId="64DFA947" w:rsidR="00C23E3B" w:rsidRDefault="00C23E3B" w:rsidP="00F96165">
      <w:pPr>
        <w:tabs>
          <w:tab w:val="clear" w:pos="567"/>
          <w:tab w:val="clear" w:pos="1134"/>
          <w:tab w:val="clear" w:pos="1701"/>
          <w:tab w:val="clear" w:pos="2268"/>
          <w:tab w:val="clear" w:pos="2835"/>
        </w:tabs>
        <w:snapToGrid w:val="0"/>
        <w:spacing w:after="120"/>
        <w:jc w:val="both"/>
      </w:pPr>
      <w:r w:rsidRPr="00506538">
        <w:t>1.</w:t>
      </w:r>
      <w:r w:rsidR="00DB075D">
        <w:t>3</w:t>
      </w:r>
      <w:r w:rsidRPr="00506538">
        <w:tab/>
        <w:t xml:space="preserve">Following the successful consultation among ITU Member States carried out by Circular Letter </w:t>
      </w:r>
      <w:hyperlink r:id="rId14" w:history="1">
        <w:r w:rsidR="002B5E9D">
          <w:rPr>
            <w:rStyle w:val="Hyperlink"/>
          </w:rPr>
          <w:t>CL-23/28</w:t>
        </w:r>
      </w:hyperlink>
      <w:r w:rsidRPr="00506538">
        <w:t xml:space="preserve"> of </w:t>
      </w:r>
      <w:sdt>
        <w:sdtPr>
          <w:rPr>
            <w:rFonts w:cs="Arial"/>
          </w:rPr>
          <w:alias w:val="Date"/>
          <w:tag w:val="Date"/>
          <w:id w:val="20922293"/>
          <w:placeholder>
            <w:docPart w:val="B0E59BCE1F074A38BF8C57D27DD59DAB"/>
          </w:placeholder>
          <w:date w:fullDate="2023-09-05T00:00:00Z">
            <w:dateFormat w:val="d MMMM yyyy"/>
            <w:lid w:val="en-US"/>
            <w:storeMappedDataAs w:val="date"/>
            <w:calendar w:val="gregorian"/>
          </w:date>
        </w:sdtPr>
        <w:sdtEndPr/>
        <w:sdtContent>
          <w:r w:rsidRPr="006F4A2B">
            <w:rPr>
              <w:rFonts w:cs="Arial"/>
            </w:rPr>
            <w:t>5 September 2023</w:t>
          </w:r>
        </w:sdtContent>
      </w:sdt>
      <w:r w:rsidR="002B5E9D">
        <w:rPr>
          <w:rFonts w:cs="Arial"/>
        </w:rPr>
        <w:t>;</w:t>
      </w:r>
      <w:r w:rsidRPr="00506538">
        <w:t xml:space="preserve"> </w:t>
      </w:r>
      <w:hyperlink r:id="rId15" w:history="1">
        <w:r w:rsidRPr="00DB075D">
          <w:rPr>
            <w:rStyle w:val="Hyperlink"/>
          </w:rPr>
          <w:t>CL-23/37</w:t>
        </w:r>
      </w:hyperlink>
      <w:r w:rsidRPr="00506538">
        <w:t xml:space="preserve"> of </w:t>
      </w:r>
      <w:r w:rsidRPr="006F4A2B">
        <w:t>16 October</w:t>
      </w:r>
      <w:r>
        <w:t xml:space="preserve"> 2023 </w:t>
      </w:r>
      <w:r w:rsidRPr="00506538">
        <w:t>announced the agreement of the required majority of the Member States of ITU (</w:t>
      </w:r>
      <w:r w:rsidRPr="00AD1DF8">
        <w:t>113</w:t>
      </w:r>
      <w:r w:rsidRPr="00506538">
        <w:t xml:space="preserve"> positive replies, 1</w:t>
      </w:r>
      <w:r w:rsidR="00DB075D">
        <w:t> </w:t>
      </w:r>
      <w:r w:rsidRPr="00506538">
        <w:t xml:space="preserve">negative reply, </w:t>
      </w:r>
      <w:r w:rsidRPr="00AD1DF8">
        <w:t>5</w:t>
      </w:r>
      <w:r w:rsidR="00581942">
        <w:t> </w:t>
      </w:r>
      <w:r w:rsidRPr="00506538">
        <w:t xml:space="preserve">abstention), in accordance with No. 42 of the ITU Convention. </w:t>
      </w:r>
    </w:p>
    <w:p w14:paraId="706D9A02" w14:textId="14656D2A" w:rsidR="00C23E3B" w:rsidRDefault="00C23E3B" w:rsidP="00F96165">
      <w:pPr>
        <w:tabs>
          <w:tab w:val="clear" w:pos="567"/>
          <w:tab w:val="clear" w:pos="1134"/>
          <w:tab w:val="clear" w:pos="1701"/>
          <w:tab w:val="clear" w:pos="2268"/>
          <w:tab w:val="clear" w:pos="2835"/>
        </w:tabs>
        <w:snapToGrid w:val="0"/>
        <w:spacing w:after="120"/>
        <w:jc w:val="both"/>
      </w:pPr>
      <w:r>
        <w:t>1.</w:t>
      </w:r>
      <w:r w:rsidR="00DB075D">
        <w:t>4</w:t>
      </w:r>
      <w:r>
        <w:tab/>
        <w:t xml:space="preserve">As a result, the next </w:t>
      </w:r>
      <w:r w:rsidRPr="00E65E4E">
        <w:rPr>
          <w:b/>
          <w:bCs/>
        </w:rPr>
        <w:t>WTSA</w:t>
      </w:r>
      <w:r>
        <w:t xml:space="preserve"> is planned in </w:t>
      </w:r>
      <w:r>
        <w:rPr>
          <w:b/>
          <w:bCs/>
        </w:rPr>
        <w:t>New Delhi</w:t>
      </w:r>
      <w:r w:rsidRPr="00E65E4E">
        <w:rPr>
          <w:b/>
          <w:bCs/>
        </w:rPr>
        <w:t xml:space="preserve"> India</w:t>
      </w:r>
      <w:r>
        <w:t xml:space="preserve"> from </w:t>
      </w:r>
      <w:r>
        <w:rPr>
          <w:b/>
          <w:bCs/>
        </w:rPr>
        <w:t>15</w:t>
      </w:r>
      <w:r w:rsidRPr="00E65E4E">
        <w:rPr>
          <w:b/>
          <w:bCs/>
        </w:rPr>
        <w:t xml:space="preserve"> to </w:t>
      </w:r>
      <w:r>
        <w:rPr>
          <w:b/>
          <w:bCs/>
        </w:rPr>
        <w:t>24</w:t>
      </w:r>
      <w:r w:rsidRPr="00E65E4E">
        <w:rPr>
          <w:b/>
          <w:bCs/>
        </w:rPr>
        <w:t xml:space="preserve"> </w:t>
      </w:r>
      <w:r>
        <w:rPr>
          <w:b/>
          <w:bCs/>
        </w:rPr>
        <w:t>October</w:t>
      </w:r>
      <w:r w:rsidRPr="00E65E4E">
        <w:rPr>
          <w:b/>
          <w:bCs/>
        </w:rPr>
        <w:t xml:space="preserve"> 202</w:t>
      </w:r>
      <w:r>
        <w:rPr>
          <w:b/>
          <w:bCs/>
        </w:rPr>
        <w:t>4</w:t>
      </w:r>
      <w:r>
        <w:t xml:space="preserve">, preceded by the Global Standards Symposium </w:t>
      </w:r>
      <w:r w:rsidRPr="00E65E4E">
        <w:rPr>
          <w:b/>
          <w:bCs/>
        </w:rPr>
        <w:t xml:space="preserve">(GSS) on </w:t>
      </w:r>
      <w:r>
        <w:rPr>
          <w:b/>
          <w:bCs/>
        </w:rPr>
        <w:t>14</w:t>
      </w:r>
      <w:r w:rsidRPr="00E65E4E">
        <w:rPr>
          <w:b/>
          <w:bCs/>
        </w:rPr>
        <w:t xml:space="preserve"> </w:t>
      </w:r>
      <w:r>
        <w:rPr>
          <w:b/>
          <w:bCs/>
        </w:rPr>
        <w:t>October</w:t>
      </w:r>
      <w:r w:rsidRPr="00E65E4E">
        <w:rPr>
          <w:b/>
          <w:bCs/>
        </w:rPr>
        <w:t xml:space="preserve"> 202</w:t>
      </w:r>
      <w:r>
        <w:rPr>
          <w:b/>
          <w:bCs/>
        </w:rPr>
        <w:t>4</w:t>
      </w:r>
      <w:r>
        <w:t>.</w:t>
      </w:r>
    </w:p>
    <w:p w14:paraId="37BA37F6" w14:textId="7CE161D1" w:rsidR="00C23E3B" w:rsidRDefault="00C23E3B" w:rsidP="00F96165">
      <w:pPr>
        <w:tabs>
          <w:tab w:val="clear" w:pos="567"/>
          <w:tab w:val="clear" w:pos="1134"/>
          <w:tab w:val="clear" w:pos="1701"/>
          <w:tab w:val="clear" w:pos="2268"/>
          <w:tab w:val="clear" w:pos="2835"/>
        </w:tabs>
        <w:snapToGrid w:val="0"/>
        <w:spacing w:after="120"/>
        <w:jc w:val="both"/>
      </w:pPr>
      <w:r>
        <w:t>1.</w:t>
      </w:r>
      <w:r w:rsidR="00DB075D">
        <w:t>5</w:t>
      </w:r>
      <w:r>
        <w:tab/>
        <w:t>TSB in coordination with the ITU Conferences and Publications Department carried out an on-site visit in October 2023 to the International Exhibition cum Convention Centre, New Delhi, India, for the further logistical planning of the assembly.</w:t>
      </w:r>
    </w:p>
    <w:p w14:paraId="493DAAD1" w14:textId="77777777" w:rsidR="002C4601" w:rsidRPr="002C4601" w:rsidRDefault="002C4601" w:rsidP="008F6DE2">
      <w:pPr>
        <w:numPr>
          <w:ilvl w:val="0"/>
          <w:numId w:val="2"/>
        </w:numPr>
        <w:tabs>
          <w:tab w:val="clear" w:pos="567"/>
          <w:tab w:val="clear" w:pos="1134"/>
          <w:tab w:val="clear" w:pos="1701"/>
          <w:tab w:val="clear" w:pos="2268"/>
          <w:tab w:val="clear" w:pos="2835"/>
        </w:tabs>
        <w:snapToGrid w:val="0"/>
        <w:spacing w:before="240" w:after="120"/>
        <w:ind w:left="0" w:firstLine="0"/>
        <w:jc w:val="both"/>
        <w:rPr>
          <w:b/>
          <w:bCs/>
        </w:rPr>
      </w:pPr>
      <w:r w:rsidRPr="002C4601">
        <w:rPr>
          <w:b/>
          <w:bCs/>
        </w:rPr>
        <w:t>Invitation letters</w:t>
      </w:r>
    </w:p>
    <w:p w14:paraId="1CB16F19" w14:textId="77777777" w:rsidR="003D46D3" w:rsidRPr="00E405DC" w:rsidRDefault="003D46D3" w:rsidP="00F96165">
      <w:pPr>
        <w:tabs>
          <w:tab w:val="clear" w:pos="567"/>
          <w:tab w:val="clear" w:pos="1134"/>
          <w:tab w:val="clear" w:pos="1701"/>
          <w:tab w:val="clear" w:pos="2268"/>
          <w:tab w:val="clear" w:pos="2835"/>
        </w:tabs>
        <w:snapToGrid w:val="0"/>
        <w:spacing w:after="120"/>
        <w:jc w:val="both"/>
      </w:pPr>
      <w:r>
        <w:t>2.1</w:t>
      </w:r>
      <w:r>
        <w:tab/>
        <w:t>Invitation letters for WTSA-24 and GSS-24 have been sent to:</w:t>
      </w:r>
    </w:p>
    <w:p w14:paraId="5DFFCDF3" w14:textId="77777777" w:rsidR="003D46D3" w:rsidRPr="0074370C" w:rsidRDefault="00581942" w:rsidP="008F6D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1138" w:hanging="432"/>
        <w:textAlignment w:val="auto"/>
      </w:pPr>
      <w:hyperlink r:id="rId16" w:history="1">
        <w:r w:rsidR="003D46D3" w:rsidRPr="0074370C">
          <w:rPr>
            <w:rStyle w:val="Hyperlink"/>
          </w:rPr>
          <w:t>Administrations of the Member States of the Union</w:t>
        </w:r>
      </w:hyperlink>
    </w:p>
    <w:p w14:paraId="398CC223" w14:textId="77777777" w:rsidR="003D46D3" w:rsidRPr="0074370C" w:rsidRDefault="00581942" w:rsidP="008F6D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1138" w:hanging="432"/>
        <w:textAlignment w:val="auto"/>
      </w:pPr>
      <w:hyperlink r:id="rId17" w:history="1">
        <w:r w:rsidR="003D46D3" w:rsidRPr="0074370C">
          <w:rPr>
            <w:rStyle w:val="Hyperlink"/>
          </w:rPr>
          <w:t>ITU-T Sector Members</w:t>
        </w:r>
      </w:hyperlink>
    </w:p>
    <w:p w14:paraId="680090E7" w14:textId="77777777" w:rsidR="003D46D3" w:rsidRPr="0074370C" w:rsidRDefault="00581942" w:rsidP="008F6D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1138" w:hanging="432"/>
        <w:textAlignment w:val="auto"/>
      </w:pPr>
      <w:hyperlink r:id="rId18" w:history="1">
        <w:r w:rsidR="003D46D3" w:rsidRPr="0074370C">
          <w:rPr>
            <w:rStyle w:val="Hyperlink"/>
          </w:rPr>
          <w:t>ITU Academia</w:t>
        </w:r>
      </w:hyperlink>
    </w:p>
    <w:p w14:paraId="78C3E61A" w14:textId="77777777" w:rsidR="003D46D3" w:rsidRDefault="00581942" w:rsidP="008F6D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1138" w:hanging="432"/>
        <w:textAlignment w:val="auto"/>
      </w:pPr>
      <w:hyperlink r:id="rId19" w:history="1">
        <w:r w:rsidR="003D46D3" w:rsidRPr="0074370C">
          <w:rPr>
            <w:rStyle w:val="Hyperlink"/>
          </w:rPr>
          <w:t xml:space="preserve">UN </w:t>
        </w:r>
        <w:r w:rsidR="003D46D3">
          <w:rPr>
            <w:rStyle w:val="Hyperlink"/>
          </w:rPr>
          <w:t>and its</w:t>
        </w:r>
        <w:r w:rsidR="003D46D3" w:rsidRPr="0074370C">
          <w:rPr>
            <w:rStyle w:val="Hyperlink"/>
          </w:rPr>
          <w:t xml:space="preserve"> Specialized Agencies, IAEA, Regional telecommunication organizations, Intergovernmental organizations operating satellite systems, Other regional or international organizations</w:t>
        </w:r>
      </w:hyperlink>
    </w:p>
    <w:p w14:paraId="0E5F5AC6" w14:textId="77777777" w:rsidR="003D46D3" w:rsidRDefault="003D46D3" w:rsidP="008F6DE2">
      <w:pPr>
        <w:pStyle w:val="ListParagraph"/>
        <w:numPr>
          <w:ilvl w:val="0"/>
          <w:numId w:val="4"/>
        </w:numPr>
        <w:tabs>
          <w:tab w:val="clear" w:pos="567"/>
          <w:tab w:val="clear" w:pos="1134"/>
          <w:tab w:val="clear" w:pos="1701"/>
          <w:tab w:val="clear" w:pos="2268"/>
          <w:tab w:val="clear" w:pos="2835"/>
        </w:tabs>
        <w:overflowPunct/>
        <w:autoSpaceDE/>
        <w:autoSpaceDN/>
        <w:adjustRightInd/>
        <w:spacing w:after="120"/>
        <w:ind w:left="1138" w:hanging="432"/>
        <w:textAlignment w:val="auto"/>
      </w:pPr>
      <w:r w:rsidRPr="00D977B0">
        <w:t>State of Palestine</w:t>
      </w:r>
    </w:p>
    <w:p w14:paraId="1AB37462" w14:textId="77777777" w:rsidR="003D46D3" w:rsidRDefault="003D46D3" w:rsidP="00544703">
      <w:pPr>
        <w:tabs>
          <w:tab w:val="clear" w:pos="567"/>
          <w:tab w:val="clear" w:pos="1134"/>
          <w:tab w:val="clear" w:pos="1701"/>
          <w:tab w:val="clear" w:pos="2268"/>
          <w:tab w:val="clear" w:pos="2835"/>
        </w:tabs>
        <w:overflowPunct/>
        <w:autoSpaceDE/>
        <w:autoSpaceDN/>
        <w:adjustRightInd/>
        <w:spacing w:after="120"/>
        <w:jc w:val="both"/>
        <w:textAlignment w:val="auto"/>
      </w:pPr>
      <w:r>
        <w:t>2.2</w:t>
      </w:r>
      <w:r>
        <w:tab/>
        <w:t>Summary of WTSA-24 related Circulars released to date:</w:t>
      </w:r>
    </w:p>
    <w:p w14:paraId="064444AA" w14:textId="0698B183" w:rsidR="003D46D3" w:rsidRDefault="003D46D3"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rPr>
          <w:sz w:val="22"/>
          <w:lang w:eastAsia="en-GB"/>
        </w:rPr>
      </w:pPr>
      <w:r>
        <w:t xml:space="preserve">TSB </w:t>
      </w:r>
      <w:hyperlink r:id="rId20" w:history="1">
        <w:r w:rsidRPr="00954FD6">
          <w:rPr>
            <w:rStyle w:val="Hyperlink"/>
          </w:rPr>
          <w:t>CL 176</w:t>
        </w:r>
      </w:hyperlink>
      <w:r>
        <w:t xml:space="preserve"> (+ Cor.1) Candidates for chairs and vice-chairs of ITU-T study groups, the Telecommunication Standardization Advisory Group (TSAG) and the Standardization Committee for Vocabulary (SCV) for 2025 – 2028</w:t>
      </w:r>
    </w:p>
    <w:p w14:paraId="040AD40D" w14:textId="33ACC89B" w:rsidR="003D46D3" w:rsidRDefault="003D46D3"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pPr>
      <w:r w:rsidRPr="00ED275C">
        <w:t xml:space="preserve">TSB </w:t>
      </w:r>
      <w:hyperlink r:id="rId21" w:history="1">
        <w:r w:rsidRPr="00D14F16">
          <w:rPr>
            <w:rStyle w:val="Hyperlink"/>
          </w:rPr>
          <w:t>CL 177</w:t>
        </w:r>
        <w:r w:rsidRPr="00DB075D">
          <w:rPr>
            <w:rStyle w:val="Hyperlink"/>
            <w:color w:val="auto"/>
            <w:u w:val="none"/>
          </w:rPr>
          <w:t xml:space="preserve"> </w:t>
        </w:r>
      </w:hyperlink>
      <w:r>
        <w:t>World Telecommunication Standardization Assembly (WTSA-24)</w:t>
      </w:r>
    </w:p>
    <w:p w14:paraId="2E75A33B" w14:textId="2ADEAF7B" w:rsidR="003D46D3" w:rsidRPr="00887DFE" w:rsidRDefault="003D46D3"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pPr>
      <w:r w:rsidRPr="00ED275C">
        <w:t xml:space="preserve">TSB </w:t>
      </w:r>
      <w:hyperlink r:id="rId22" w:history="1">
        <w:r w:rsidRPr="00F04FF8">
          <w:rPr>
            <w:rStyle w:val="Hyperlink"/>
          </w:rPr>
          <w:t>CL 178</w:t>
        </w:r>
      </w:hyperlink>
      <w:r w:rsidRPr="00887DFE">
        <w:t xml:space="preserve"> Global Standards Symposium (GSS-24)</w:t>
      </w:r>
    </w:p>
    <w:p w14:paraId="1A575E16" w14:textId="77777777" w:rsidR="003D46D3" w:rsidRDefault="003D46D3"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pPr>
      <w:r w:rsidRPr="00ED275C">
        <w:t>TSB</w:t>
      </w:r>
      <w:r>
        <w:t xml:space="preserve"> </w:t>
      </w:r>
      <w:hyperlink r:id="rId23" w:history="1">
        <w:r w:rsidRPr="00D14F16">
          <w:rPr>
            <w:rStyle w:val="Hyperlink"/>
          </w:rPr>
          <w:t>CL 182</w:t>
        </w:r>
      </w:hyperlink>
      <w:r>
        <w:t xml:space="preserve"> </w:t>
      </w:r>
      <w:r w:rsidRPr="009A54F1">
        <w:t>Network of Women for WTSA-24 (17 October 2024)</w:t>
      </w:r>
    </w:p>
    <w:p w14:paraId="19469185" w14:textId="18463AF4" w:rsidR="00A3087C" w:rsidRDefault="00A3087C"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pPr>
      <w:r w:rsidRPr="00ED275C">
        <w:t xml:space="preserve">TSB </w:t>
      </w:r>
      <w:hyperlink r:id="rId24" w:history="1">
        <w:r w:rsidRPr="00ED275C">
          <w:rPr>
            <w:rStyle w:val="Hyperlink"/>
          </w:rPr>
          <w:t xml:space="preserve">CL </w:t>
        </w:r>
        <w:r w:rsidR="009506B2">
          <w:rPr>
            <w:rStyle w:val="Hyperlink"/>
          </w:rPr>
          <w:t>204</w:t>
        </w:r>
      </w:hyperlink>
      <w:r>
        <w:t xml:space="preserve"> IRM Second Interregional meeting for preparation of WTSA-24 </w:t>
      </w:r>
      <w:r w:rsidRPr="00ED275C">
        <w:t>(</w:t>
      </w:r>
      <w:r w:rsidR="000D2841" w:rsidRPr="000D2841">
        <w:t>25 July 2024</w:t>
      </w:r>
      <w:r w:rsidRPr="00ED275C">
        <w:t>).</w:t>
      </w:r>
    </w:p>
    <w:p w14:paraId="6299DE8F" w14:textId="23524E7D" w:rsidR="003B0FF4" w:rsidRDefault="003D46D3" w:rsidP="0054470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ind w:left="1138" w:hanging="432"/>
        <w:jc w:val="both"/>
        <w:textAlignment w:val="auto"/>
      </w:pPr>
      <w:r>
        <w:t xml:space="preserve">ITU </w:t>
      </w:r>
      <w:hyperlink r:id="rId25" w:history="1">
        <w:r>
          <w:rPr>
            <w:rStyle w:val="Hyperlink"/>
          </w:rPr>
          <w:t>CL-</w:t>
        </w:r>
        <w:r w:rsidRPr="00A3040F">
          <w:rPr>
            <w:rStyle w:val="Hyperlink"/>
          </w:rPr>
          <w:t>24/6</w:t>
        </w:r>
      </w:hyperlink>
      <w:r w:rsidRPr="00DF1291">
        <w:t xml:space="preserve"> – ITU Kaleidoscope 2024 </w:t>
      </w:r>
      <w:r>
        <w:t>(</w:t>
      </w:r>
      <w:r w:rsidRPr="00DF1291">
        <w:t>21-23 October 2024</w:t>
      </w:r>
      <w:r>
        <w:t>)</w:t>
      </w:r>
    </w:p>
    <w:p w14:paraId="04E78CC7" w14:textId="33D158C1" w:rsidR="009128C3" w:rsidRPr="00E405DC" w:rsidRDefault="009128C3" w:rsidP="008F6DE2">
      <w:pPr>
        <w:numPr>
          <w:ilvl w:val="0"/>
          <w:numId w:val="2"/>
        </w:numPr>
        <w:tabs>
          <w:tab w:val="clear" w:pos="567"/>
          <w:tab w:val="clear" w:pos="1134"/>
          <w:tab w:val="clear" w:pos="1701"/>
          <w:tab w:val="clear" w:pos="2268"/>
          <w:tab w:val="clear" w:pos="2835"/>
        </w:tabs>
        <w:snapToGrid w:val="0"/>
        <w:spacing w:before="240" w:after="120"/>
        <w:ind w:left="0" w:firstLine="0"/>
        <w:jc w:val="both"/>
        <w:rPr>
          <w:b/>
          <w:bCs/>
        </w:rPr>
      </w:pPr>
      <w:r w:rsidRPr="00E405DC">
        <w:rPr>
          <w:b/>
          <w:bCs/>
        </w:rPr>
        <w:t>Candidates for chair</w:t>
      </w:r>
      <w:r>
        <w:rPr>
          <w:b/>
          <w:bCs/>
        </w:rPr>
        <w:t xml:space="preserve"> </w:t>
      </w:r>
      <w:r w:rsidRPr="00E405DC">
        <w:rPr>
          <w:b/>
          <w:bCs/>
        </w:rPr>
        <w:t>of ITU-T study groups, TSAG, and SCV</w:t>
      </w:r>
    </w:p>
    <w:p w14:paraId="11C448A9" w14:textId="6E4A7B80" w:rsidR="00405E8D" w:rsidRDefault="00D40296" w:rsidP="008F6DE2">
      <w:pPr>
        <w:tabs>
          <w:tab w:val="clear" w:pos="567"/>
          <w:tab w:val="clear" w:pos="1134"/>
          <w:tab w:val="clear" w:pos="1701"/>
          <w:tab w:val="clear" w:pos="2268"/>
          <w:tab w:val="clear" w:pos="2835"/>
        </w:tabs>
        <w:spacing w:after="120"/>
        <w:ind w:right="-285"/>
        <w:jc w:val="both"/>
      </w:pPr>
      <w:r w:rsidRPr="00E405DC" w:rsidDel="004E3025">
        <w:t>3.1</w:t>
      </w:r>
      <w:r w:rsidRPr="00E405DC">
        <w:tab/>
      </w:r>
      <w:hyperlink r:id="rId26" w:history="1">
        <w:r w:rsidRPr="00225D50">
          <w:rPr>
            <w:rStyle w:val="Hyperlink"/>
            <w:spacing w:val="-2"/>
          </w:rPr>
          <w:t>TSB Circular 176</w:t>
        </w:r>
      </w:hyperlink>
      <w:r w:rsidRPr="00225D50">
        <w:rPr>
          <w:spacing w:val="-2"/>
        </w:rPr>
        <w:t xml:space="preserve"> (12 February 2024) calls for candidates for chairs and vice-chairs of</w:t>
      </w:r>
      <w:r w:rsidRPr="00E405DC">
        <w:t xml:space="preserve"> ITU-T study groups, the Telecommunication Standardization Advisory Group (TSAG) and the Standardization Committee for Vocabulary (SCV) for </w:t>
      </w:r>
      <w:r w:rsidR="00887B69" w:rsidRPr="00E405DC">
        <w:t>202</w:t>
      </w:r>
      <w:r w:rsidR="00887B69">
        <w:t>5</w:t>
      </w:r>
      <w:r w:rsidRPr="00E405DC">
        <w:t>-20</w:t>
      </w:r>
      <w:r w:rsidRPr="000C1655">
        <w:t>2</w:t>
      </w:r>
      <w:r>
        <w:t>8</w:t>
      </w:r>
      <w:r w:rsidRPr="00E405DC">
        <w:t xml:space="preserve">. Member States, ITU-T Sector Members and the study groups concerned and TSAG are encouraged to help WTSA appoint chairs and vice-chairs of ITU-T study groups, the Telecommunication Standardization Advisory Group (TSAG) and the Standardization Committee for Vocabulary (SCV) by indicating suitable </w:t>
      </w:r>
      <w:r w:rsidRPr="00E405DC">
        <w:lastRenderedPageBreak/>
        <w:t xml:space="preserve">candidates. </w:t>
      </w:r>
      <w:r w:rsidRPr="00160BDD">
        <w:t xml:space="preserve">Candidatures received so far are posted on the </w:t>
      </w:r>
      <w:hyperlink r:id="rId27" w:history="1">
        <w:r w:rsidRPr="00955D93">
          <w:rPr>
            <w:rStyle w:val="Hyperlink"/>
          </w:rPr>
          <w:t>WTSA-24 website</w:t>
        </w:r>
      </w:hyperlink>
      <w:r w:rsidRPr="00955D93">
        <w:t>.</w:t>
      </w:r>
      <w:r>
        <w:t xml:space="preserve"> The TSB Director</w:t>
      </w:r>
      <w:r w:rsidRPr="00537077">
        <w:t xml:space="preserve"> would very much appreciate </w:t>
      </w:r>
      <w:r>
        <w:t>receiving nominations</w:t>
      </w:r>
      <w:r w:rsidRPr="00537077">
        <w:t xml:space="preserve"> </w:t>
      </w:r>
      <w:r w:rsidRPr="00405E8D">
        <w:t xml:space="preserve">by </w:t>
      </w:r>
      <w:r w:rsidRPr="00405E8D">
        <w:rPr>
          <w:b/>
          <w:bCs/>
        </w:rPr>
        <w:t>14 July 2024</w:t>
      </w:r>
      <w:r w:rsidRPr="00405E8D">
        <w:t xml:space="preserve"> but not later than 16</w:t>
      </w:r>
      <w:r w:rsidR="00225D50">
        <w:t> </w:t>
      </w:r>
      <w:r w:rsidRPr="00405E8D">
        <w:t>September 2024</w:t>
      </w:r>
      <w:r>
        <w:t>.</w:t>
      </w:r>
    </w:p>
    <w:p w14:paraId="58FC54E8" w14:textId="77777777" w:rsidR="009A6D45" w:rsidRDefault="009A6D45" w:rsidP="008F6DE2">
      <w:pPr>
        <w:tabs>
          <w:tab w:val="clear" w:pos="567"/>
          <w:tab w:val="clear" w:pos="1134"/>
          <w:tab w:val="clear" w:pos="1701"/>
          <w:tab w:val="clear" w:pos="2268"/>
          <w:tab w:val="clear" w:pos="2835"/>
        </w:tabs>
        <w:spacing w:before="240" w:after="120"/>
        <w:rPr>
          <w:b/>
          <w:bCs/>
        </w:rPr>
      </w:pPr>
      <w:r w:rsidRPr="00E405DC">
        <w:rPr>
          <w:b/>
          <w:bCs/>
        </w:rPr>
        <w:t>4.</w:t>
      </w:r>
      <w:r w:rsidRPr="00E405DC">
        <w:rPr>
          <w:b/>
          <w:bCs/>
        </w:rPr>
        <w:tab/>
        <w:t>Regional preparatory meetings</w:t>
      </w:r>
    </w:p>
    <w:p w14:paraId="70EABB82" w14:textId="77777777" w:rsidR="00CC7061" w:rsidRPr="00E405DC" w:rsidRDefault="00CC7061" w:rsidP="00544703">
      <w:pPr>
        <w:tabs>
          <w:tab w:val="clear" w:pos="567"/>
          <w:tab w:val="clear" w:pos="1134"/>
          <w:tab w:val="clear" w:pos="1701"/>
          <w:tab w:val="clear" w:pos="2268"/>
          <w:tab w:val="clear" w:pos="2835"/>
        </w:tabs>
        <w:spacing w:after="120"/>
        <w:jc w:val="both"/>
        <w:rPr>
          <w:szCs w:val="24"/>
        </w:rPr>
      </w:pPr>
      <w:r w:rsidRPr="00E405DC">
        <w:rPr>
          <w:szCs w:val="24"/>
        </w:rPr>
        <w:t>4.1</w:t>
      </w:r>
      <w:r w:rsidRPr="00E405DC">
        <w:rPr>
          <w:szCs w:val="24"/>
        </w:rPr>
        <w:tab/>
        <w:t>Regional preparatory meetings have been or will be organized by the</w:t>
      </w:r>
      <w:r>
        <w:rPr>
          <w:szCs w:val="24"/>
        </w:rPr>
        <w:t xml:space="preserve"> </w:t>
      </w:r>
      <w:r w:rsidRPr="00E405DC">
        <w:rPr>
          <w:szCs w:val="24"/>
        </w:rPr>
        <w:t>regional telecommunication organizations in coordination with TSB. The latest updates on the calendar of all planned preparatory meetings are also available on the</w:t>
      </w:r>
      <w:r>
        <w:rPr>
          <w:szCs w:val="24"/>
        </w:rPr>
        <w:t xml:space="preserve"> </w:t>
      </w:r>
      <w:hyperlink r:id="rId28" w:history="1">
        <w:r w:rsidRPr="00DB3109">
          <w:rPr>
            <w:rStyle w:val="Hyperlink"/>
            <w:szCs w:val="24"/>
          </w:rPr>
          <w:t>WTSA-24 website</w:t>
        </w:r>
      </w:hyperlink>
      <w:r>
        <w:rPr>
          <w:szCs w:val="24"/>
        </w:rPr>
        <w:t>.</w:t>
      </w:r>
      <w:r w:rsidRPr="00E405DC">
        <w:rPr>
          <w:szCs w:val="24"/>
        </w:rPr>
        <w:t xml:space="preserve"> </w:t>
      </w:r>
    </w:p>
    <w:p w14:paraId="78284B1B" w14:textId="77777777" w:rsidR="00CC7061" w:rsidRPr="00DB3109" w:rsidRDefault="00CC7061" w:rsidP="00544703">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highlight w:val="green"/>
        </w:rPr>
      </w:pPr>
      <w:r w:rsidRPr="00E405DC">
        <w:t>4.2</w:t>
      </w:r>
      <w:r>
        <w:tab/>
      </w:r>
      <w:hyperlink r:id="rId29" w:history="1">
        <w:r w:rsidRPr="00803676">
          <w:rPr>
            <w:rStyle w:val="Hyperlink"/>
          </w:rPr>
          <w:t>The first Interregional meeting (IRM)</w:t>
        </w:r>
      </w:hyperlink>
      <w:r w:rsidRPr="00803676">
        <w:t xml:space="preserve"> was held on 18 January 2024 as a virtual meeting, back-to-back with the </w:t>
      </w:r>
      <w:r>
        <w:t>3rd</w:t>
      </w:r>
      <w:r w:rsidRPr="00803676">
        <w:t xml:space="preserve"> TSAG meeting. </w:t>
      </w:r>
    </w:p>
    <w:p w14:paraId="3CD645C4" w14:textId="52A8D831" w:rsidR="00CC7061" w:rsidRPr="00B847D1" w:rsidRDefault="00CC7061" w:rsidP="00544703">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pPr>
      <w:r w:rsidRPr="009E347F">
        <w:t>4.3</w:t>
      </w:r>
      <w:r w:rsidRPr="009E347F">
        <w:tab/>
      </w:r>
      <w:hyperlink r:id="rId30" w:history="1">
        <w:r w:rsidRPr="009E347F">
          <w:t>The second IRM</w:t>
        </w:r>
      </w:hyperlink>
      <w:r w:rsidRPr="009E347F">
        <w:t xml:space="preserve"> will be held</w:t>
      </w:r>
      <w:r>
        <w:t xml:space="preserve"> virtually</w:t>
      </w:r>
      <w:r w:rsidRPr="009E347F">
        <w:t xml:space="preserve"> on 25 July 2024, back-to-back with the </w:t>
      </w:r>
      <w:r>
        <w:t>4</w:t>
      </w:r>
      <w:r w:rsidR="00544703">
        <w:t>th</w:t>
      </w:r>
      <w:r w:rsidR="008F6DE2">
        <w:t xml:space="preserve"> </w:t>
      </w:r>
      <w:r w:rsidRPr="009E347F">
        <w:t>meeting of TSAG.</w:t>
      </w:r>
    </w:p>
    <w:p w14:paraId="033F4CE5" w14:textId="03291873" w:rsidR="00CC7061" w:rsidRPr="00B847D1" w:rsidRDefault="00CC7061" w:rsidP="00544703">
      <w:pPr>
        <w:shd w:val="clear" w:color="auto" w:fill="FFFFFF" w:themeFill="background1"/>
        <w:tabs>
          <w:tab w:val="clear" w:pos="567"/>
          <w:tab w:val="clear" w:pos="1134"/>
          <w:tab w:val="clear" w:pos="1701"/>
          <w:tab w:val="clear" w:pos="2268"/>
          <w:tab w:val="clear" w:pos="2835"/>
        </w:tabs>
        <w:overflowPunct/>
        <w:autoSpaceDE/>
        <w:autoSpaceDN/>
        <w:adjustRightInd/>
        <w:spacing w:after="120"/>
        <w:jc w:val="both"/>
        <w:textAlignment w:val="auto"/>
      </w:pPr>
      <w:r>
        <w:t>4.4</w:t>
      </w:r>
      <w:r>
        <w:tab/>
        <w:t xml:space="preserve">A third IRM </w:t>
      </w:r>
      <w:r w:rsidR="2EB509EC">
        <w:t>is</w:t>
      </w:r>
      <w:r w:rsidR="00CF4AD3">
        <w:t xml:space="preserve"> </w:t>
      </w:r>
      <w:r>
        <w:t xml:space="preserve">planned virtually </w:t>
      </w:r>
      <w:r w:rsidR="00CF4AD3">
        <w:t xml:space="preserve">on 9 </w:t>
      </w:r>
      <w:r w:rsidRPr="003460A9">
        <w:t>September</w:t>
      </w:r>
      <w:r>
        <w:t xml:space="preserve"> 2024.</w:t>
      </w:r>
    </w:p>
    <w:p w14:paraId="309FD8C3" w14:textId="25DE015F" w:rsidR="00405E8D" w:rsidRPr="00D306DB" w:rsidRDefault="00CC7061" w:rsidP="00544703">
      <w:pPr>
        <w:tabs>
          <w:tab w:val="clear" w:pos="567"/>
          <w:tab w:val="clear" w:pos="1134"/>
          <w:tab w:val="clear" w:pos="1701"/>
          <w:tab w:val="clear" w:pos="2268"/>
          <w:tab w:val="clear" w:pos="2835"/>
        </w:tabs>
        <w:spacing w:after="120"/>
        <w:jc w:val="both"/>
        <w:rPr>
          <w:rFonts w:cstheme="minorHAnsi"/>
          <w:color w:val="000000"/>
          <w:szCs w:val="24"/>
        </w:rPr>
      </w:pPr>
      <w:r w:rsidRPr="00830D0D">
        <w:rPr>
          <w:szCs w:val="24"/>
        </w:rPr>
        <w:t>4.5</w:t>
      </w:r>
      <w:r w:rsidRPr="00830D0D">
        <w:rPr>
          <w:szCs w:val="24"/>
        </w:rPr>
        <w:tab/>
      </w:r>
      <w:r w:rsidRPr="00830D0D">
        <w:t xml:space="preserve">Information about the Inter-regional coordination can be found on </w:t>
      </w:r>
      <w:r>
        <w:t>its</w:t>
      </w:r>
      <w:r w:rsidRPr="00830D0D">
        <w:t xml:space="preserve"> </w:t>
      </w:r>
      <w:hyperlink r:id="rId31" w:history="1">
        <w:r w:rsidRPr="00830D0D">
          <w:rPr>
            <w:rStyle w:val="Hyperlink"/>
          </w:rPr>
          <w:t>webpage</w:t>
        </w:r>
      </w:hyperlink>
      <w:r w:rsidRPr="00830D0D">
        <w:t>.</w:t>
      </w:r>
    </w:p>
    <w:p w14:paraId="37063A01" w14:textId="687D81DF" w:rsidR="00C63B1A" w:rsidRPr="00776888" w:rsidRDefault="00776888" w:rsidP="008F6DE2">
      <w:pPr>
        <w:tabs>
          <w:tab w:val="clear" w:pos="567"/>
          <w:tab w:val="clear" w:pos="1134"/>
          <w:tab w:val="clear" w:pos="1701"/>
          <w:tab w:val="clear" w:pos="2268"/>
          <w:tab w:val="clear" w:pos="2835"/>
        </w:tabs>
        <w:spacing w:before="240" w:after="120"/>
        <w:ind w:left="706" w:hanging="706"/>
        <w:rPr>
          <w:b/>
          <w:bCs/>
        </w:rPr>
      </w:pPr>
      <w:r>
        <w:rPr>
          <w:b/>
          <w:bCs/>
        </w:rPr>
        <w:t>5.</w:t>
      </w:r>
      <w:r w:rsidR="00F96165">
        <w:rPr>
          <w:b/>
          <w:bCs/>
        </w:rPr>
        <w:tab/>
      </w:r>
      <w:r w:rsidR="00C63B1A" w:rsidRPr="00776888">
        <w:rPr>
          <w:b/>
          <w:bCs/>
        </w:rPr>
        <w:t>Telecommunication Standardization Advisory Group (TSAG) and ITU-T Study Group preparations for WTSA</w:t>
      </w:r>
    </w:p>
    <w:p w14:paraId="3BD87F2F" w14:textId="67C7262C" w:rsidR="00166F30" w:rsidRPr="00C9236B" w:rsidRDefault="00DB075D" w:rsidP="00F96165">
      <w:pPr>
        <w:tabs>
          <w:tab w:val="clear" w:pos="567"/>
          <w:tab w:val="clear" w:pos="1134"/>
          <w:tab w:val="clear" w:pos="1701"/>
          <w:tab w:val="clear" w:pos="2268"/>
          <w:tab w:val="clear" w:pos="2835"/>
        </w:tabs>
        <w:spacing w:after="120"/>
        <w:rPr>
          <w:highlight w:val="green"/>
        </w:rPr>
      </w:pPr>
      <w:r>
        <w:t>5.1</w:t>
      </w:r>
      <w:r>
        <w:tab/>
      </w:r>
      <w:r w:rsidR="00166F30" w:rsidRPr="00D139C0">
        <w:t xml:space="preserve">All </w:t>
      </w:r>
      <w:hyperlink r:id="rId32" w:history="1">
        <w:r w:rsidR="00166F30" w:rsidRPr="00D139C0">
          <w:rPr>
            <w:rStyle w:val="Hyperlink"/>
          </w:rPr>
          <w:t>ITU-T study groups</w:t>
        </w:r>
      </w:hyperlink>
      <w:r w:rsidR="00166F30" w:rsidRPr="00D139C0">
        <w:t xml:space="preserve"> have begun their preparations for WTSA-24.</w:t>
      </w:r>
    </w:p>
    <w:p w14:paraId="7B93F973" w14:textId="77777777" w:rsidR="00166F30" w:rsidRPr="00D139C0" w:rsidRDefault="00166F30" w:rsidP="00F96165">
      <w:pPr>
        <w:tabs>
          <w:tab w:val="clear" w:pos="567"/>
          <w:tab w:val="clear" w:pos="1134"/>
          <w:tab w:val="clear" w:pos="1701"/>
          <w:tab w:val="clear" w:pos="2268"/>
          <w:tab w:val="clear" w:pos="2835"/>
        </w:tabs>
        <w:spacing w:after="120"/>
        <w:jc w:val="both"/>
      </w:pPr>
      <w:r w:rsidRPr="00D139C0">
        <w:t>5.2</w:t>
      </w:r>
      <w:r w:rsidRPr="00D139C0">
        <w:tab/>
        <w:t>TSAG has established and is operating two rapporteur groups that are specifically tasked with preparations for WTSA-24: the Rapporteur Group on ITU-T work programme and study group restructuring (RG-WPR); and the Rapporteur Group on WTSA preparations and review of resolutions (RG-WTSA).</w:t>
      </w:r>
    </w:p>
    <w:p w14:paraId="76D5B21A" w14:textId="0C25B309" w:rsidR="00166F30" w:rsidRPr="00EB0101" w:rsidRDefault="00166F30" w:rsidP="00F96165">
      <w:pPr>
        <w:tabs>
          <w:tab w:val="clear" w:pos="567"/>
          <w:tab w:val="clear" w:pos="1134"/>
          <w:tab w:val="clear" w:pos="1701"/>
          <w:tab w:val="clear" w:pos="2268"/>
          <w:tab w:val="clear" w:pos="2835"/>
        </w:tabs>
        <w:spacing w:after="120"/>
        <w:jc w:val="both"/>
      </w:pPr>
      <w:r>
        <w:t>5.3</w:t>
      </w:r>
      <w:r>
        <w:tab/>
        <w:t xml:space="preserve">TSAG has planned one more </w:t>
      </w:r>
      <w:r w:rsidRPr="003460A9">
        <w:t>meeting</w:t>
      </w:r>
      <w:r w:rsidR="0085112F">
        <w:t xml:space="preserve"> </w:t>
      </w:r>
      <w:r w:rsidR="00B46946">
        <w:t>from</w:t>
      </w:r>
      <w:r w:rsidR="0085112F">
        <w:t xml:space="preserve"> </w:t>
      </w:r>
      <w:r w:rsidR="00B46946" w:rsidRPr="00B46946">
        <w:t>29 July</w:t>
      </w:r>
      <w:r w:rsidR="00B46946">
        <w:t xml:space="preserve"> to </w:t>
      </w:r>
      <w:r w:rsidR="00B46946" w:rsidRPr="00B46946">
        <w:t>2 August 2024</w:t>
      </w:r>
      <w:r w:rsidR="00B46946">
        <w:t xml:space="preserve"> in Geneva</w:t>
      </w:r>
      <w:r>
        <w:t xml:space="preserve"> and a series of </w:t>
      </w:r>
      <w:hyperlink r:id="rId33">
        <w:r w:rsidRPr="53AAB829">
          <w:rPr>
            <w:rStyle w:val="Hyperlink"/>
          </w:rPr>
          <w:t>rapporteur group meetings</w:t>
        </w:r>
      </w:hyperlink>
      <w:r>
        <w:t xml:space="preserve"> to advance preparations for WTSA-24.</w:t>
      </w:r>
    </w:p>
    <w:p w14:paraId="67F02B64" w14:textId="77777777" w:rsidR="00524019" w:rsidRPr="00E405DC" w:rsidRDefault="00524019" w:rsidP="008F6DE2">
      <w:pPr>
        <w:tabs>
          <w:tab w:val="clear" w:pos="567"/>
          <w:tab w:val="clear" w:pos="1134"/>
          <w:tab w:val="clear" w:pos="1701"/>
          <w:tab w:val="clear" w:pos="2268"/>
          <w:tab w:val="clear" w:pos="2835"/>
        </w:tabs>
        <w:spacing w:before="240" w:after="120"/>
        <w:ind w:left="706" w:hanging="706"/>
        <w:rPr>
          <w:b/>
          <w:bCs/>
        </w:rPr>
      </w:pPr>
      <w:r w:rsidRPr="00E405DC">
        <w:rPr>
          <w:b/>
          <w:bCs/>
        </w:rPr>
        <w:t>6.</w:t>
      </w:r>
      <w:r w:rsidRPr="00E405DC">
        <w:rPr>
          <w:b/>
          <w:bCs/>
        </w:rPr>
        <w:tab/>
        <w:t>Deadline for submitting proposals to WTSA-2</w:t>
      </w:r>
      <w:r>
        <w:rPr>
          <w:b/>
          <w:bCs/>
        </w:rPr>
        <w:t>4</w:t>
      </w:r>
    </w:p>
    <w:p w14:paraId="2DC2F174" w14:textId="655A88A8" w:rsidR="00F96165" w:rsidRDefault="00524019" w:rsidP="00F96165">
      <w:pPr>
        <w:tabs>
          <w:tab w:val="clear" w:pos="567"/>
          <w:tab w:val="clear" w:pos="1134"/>
          <w:tab w:val="clear" w:pos="1701"/>
          <w:tab w:val="clear" w:pos="2268"/>
          <w:tab w:val="clear" w:pos="2835"/>
        </w:tabs>
        <w:spacing w:after="120"/>
        <w:jc w:val="both"/>
        <w:rPr>
          <w:rFonts w:eastAsia="SimSun"/>
          <w:szCs w:val="24"/>
        </w:rPr>
      </w:pPr>
      <w:bookmarkStart w:id="14" w:name="_Hlk52456721"/>
      <w:r w:rsidRPr="00E405DC">
        <w:rPr>
          <w:rFonts w:eastAsia="SimSun"/>
          <w:szCs w:val="24"/>
        </w:rPr>
        <w:t>Delegations are invited to submit contributions to WTSA-2</w:t>
      </w:r>
      <w:r>
        <w:rPr>
          <w:rFonts w:eastAsia="SimSun"/>
          <w:szCs w:val="24"/>
        </w:rPr>
        <w:t>4</w:t>
      </w:r>
      <w:r w:rsidRPr="00E405DC">
        <w:rPr>
          <w:rFonts w:eastAsia="SimSun"/>
          <w:szCs w:val="24"/>
        </w:rPr>
        <w:t xml:space="preserve"> </w:t>
      </w:r>
      <w:r w:rsidRPr="00BD2E7F">
        <w:rPr>
          <w:rFonts w:eastAsia="SimSun"/>
          <w:szCs w:val="24"/>
        </w:rPr>
        <w:t>four weeks</w:t>
      </w:r>
      <w:r w:rsidRPr="00E405DC">
        <w:rPr>
          <w:rFonts w:eastAsia="SimSun"/>
          <w:szCs w:val="24"/>
        </w:rPr>
        <w:t xml:space="preserve"> before the opening of WTSA-2</w:t>
      </w:r>
      <w:r>
        <w:rPr>
          <w:rFonts w:eastAsia="SimSun"/>
          <w:szCs w:val="24"/>
        </w:rPr>
        <w:t>4</w:t>
      </w:r>
      <w:r w:rsidRPr="00E405DC">
        <w:rPr>
          <w:rFonts w:eastAsia="SimSun"/>
          <w:szCs w:val="24"/>
        </w:rPr>
        <w:t xml:space="preserve"> (</w:t>
      </w:r>
      <w:r w:rsidRPr="00BD2E7F">
        <w:rPr>
          <w:rFonts w:eastAsia="SimSun"/>
          <w:szCs w:val="24"/>
        </w:rPr>
        <w:t>Monday, 16 September 2024</w:t>
      </w:r>
      <w:r w:rsidRPr="00E405DC">
        <w:rPr>
          <w:rFonts w:eastAsia="SimSun"/>
          <w:szCs w:val="24"/>
        </w:rPr>
        <w:t xml:space="preserve">), </w:t>
      </w:r>
      <w:bookmarkEnd w:id="14"/>
      <w:r w:rsidRPr="00ED4783">
        <w:rPr>
          <w:rFonts w:eastAsia="SimSun"/>
          <w:szCs w:val="24"/>
        </w:rPr>
        <w:t>noting that, as decided in Plenipotentiary Conference Resolution 165 (Dubai, 2018), there is a firm submission deadline of 21 calendar days prior to the opening of WTSA-24 (Monday, 23 September 2024 at 2359 hours Geneva time)</w:t>
      </w:r>
      <w:r w:rsidR="00544703">
        <w:rPr>
          <w:rFonts w:eastAsia="SimSun"/>
          <w:szCs w:val="24"/>
        </w:rPr>
        <w:t>.</w:t>
      </w:r>
      <w:r>
        <w:rPr>
          <w:rStyle w:val="FootnoteReference"/>
          <w:rFonts w:eastAsia="SimSun"/>
          <w:szCs w:val="24"/>
        </w:rPr>
        <w:footnoteReference w:id="2"/>
      </w:r>
    </w:p>
    <w:p w14:paraId="1A59A553" w14:textId="2AB5BABF" w:rsidR="00524019" w:rsidRPr="00E405DC" w:rsidRDefault="00524019" w:rsidP="008F6DE2">
      <w:pPr>
        <w:tabs>
          <w:tab w:val="clear" w:pos="567"/>
          <w:tab w:val="clear" w:pos="1134"/>
          <w:tab w:val="clear" w:pos="1701"/>
          <w:tab w:val="clear" w:pos="2268"/>
          <w:tab w:val="clear" w:pos="2835"/>
        </w:tabs>
        <w:spacing w:before="240" w:after="120"/>
        <w:ind w:left="706" w:hanging="706"/>
        <w:rPr>
          <w:b/>
          <w:bCs/>
        </w:rPr>
      </w:pPr>
      <w:r w:rsidRPr="00E405DC">
        <w:rPr>
          <w:b/>
          <w:bCs/>
        </w:rPr>
        <w:t>7.</w:t>
      </w:r>
      <w:r w:rsidRPr="00E405DC">
        <w:rPr>
          <w:b/>
          <w:bCs/>
        </w:rPr>
        <w:tab/>
        <w:t>Fellowships</w:t>
      </w:r>
    </w:p>
    <w:p w14:paraId="7C2815D3" w14:textId="03FCAC34" w:rsidR="00524019" w:rsidRDefault="00524019" w:rsidP="00F96165">
      <w:pPr>
        <w:tabs>
          <w:tab w:val="clear" w:pos="567"/>
          <w:tab w:val="clear" w:pos="1134"/>
          <w:tab w:val="clear" w:pos="1701"/>
          <w:tab w:val="clear" w:pos="2268"/>
          <w:tab w:val="clear" w:pos="2835"/>
        </w:tabs>
        <w:spacing w:after="120"/>
        <w:jc w:val="both"/>
        <w:rPr>
          <w:rFonts w:eastAsia="SimSun"/>
          <w:szCs w:val="24"/>
          <w:lang w:eastAsia="zh-CN"/>
        </w:rPr>
      </w:pPr>
      <w:r w:rsidRPr="00E405DC">
        <w:t>Fellowships per eligible Member State for WTSA-2</w:t>
      </w:r>
      <w:r>
        <w:t>4</w:t>
      </w:r>
      <w:r w:rsidRPr="00E405DC">
        <w:t xml:space="preserve"> will be </w:t>
      </w:r>
      <w:r w:rsidRPr="00E405DC">
        <w:rPr>
          <w:rFonts w:eastAsia="SimSun"/>
          <w:szCs w:val="24"/>
          <w:lang w:eastAsia="zh-CN"/>
        </w:rPr>
        <w:t>awarded based on available funding to facilitate participation from Developing Countries. An application must be authorized by the relevant Administration of the ITU Member State.</w:t>
      </w:r>
    </w:p>
    <w:p w14:paraId="560D3AAF" w14:textId="77777777" w:rsidR="00524019" w:rsidRDefault="00524019" w:rsidP="004920B3">
      <w:pPr>
        <w:keepNext/>
        <w:keepLines/>
        <w:tabs>
          <w:tab w:val="clear" w:pos="567"/>
          <w:tab w:val="clear" w:pos="1134"/>
          <w:tab w:val="clear" w:pos="1701"/>
          <w:tab w:val="clear" w:pos="2268"/>
          <w:tab w:val="clear" w:pos="2835"/>
        </w:tabs>
        <w:spacing w:before="240" w:after="120"/>
        <w:ind w:left="706" w:hanging="706"/>
        <w:rPr>
          <w:b/>
          <w:bCs/>
        </w:rPr>
      </w:pPr>
      <w:r w:rsidRPr="00E405DC">
        <w:rPr>
          <w:b/>
          <w:bCs/>
        </w:rPr>
        <w:lastRenderedPageBreak/>
        <w:t>8.</w:t>
      </w:r>
      <w:r w:rsidRPr="00E405DC">
        <w:rPr>
          <w:b/>
          <w:bCs/>
        </w:rPr>
        <w:tab/>
      </w:r>
      <w:r>
        <w:rPr>
          <w:b/>
          <w:bCs/>
        </w:rPr>
        <w:t>Advancements of preparations with the Host Country India</w:t>
      </w:r>
    </w:p>
    <w:p w14:paraId="6EC198E7" w14:textId="7A10350B" w:rsidR="00524019" w:rsidRPr="00800D57" w:rsidRDefault="00524019" w:rsidP="004920B3">
      <w:pPr>
        <w:keepNext/>
        <w:keepLines/>
        <w:tabs>
          <w:tab w:val="clear" w:pos="567"/>
          <w:tab w:val="clear" w:pos="1134"/>
          <w:tab w:val="clear" w:pos="1701"/>
          <w:tab w:val="clear" w:pos="2268"/>
          <w:tab w:val="clear" w:pos="2835"/>
        </w:tabs>
        <w:spacing w:after="120"/>
        <w:jc w:val="both"/>
      </w:pPr>
      <w:r>
        <w:t>8.1</w:t>
      </w:r>
      <w:r>
        <w:tab/>
        <w:t xml:space="preserve">The host country </w:t>
      </w:r>
      <w:r w:rsidR="643B4C4D">
        <w:t xml:space="preserve">agreement has been signed by </w:t>
      </w:r>
      <w:r>
        <w:t>India</w:t>
      </w:r>
      <w:r w:rsidR="7C9B4977">
        <w:t xml:space="preserve"> and the ITU SG.</w:t>
      </w:r>
      <w:r>
        <w:t xml:space="preserve"> </w:t>
      </w:r>
    </w:p>
    <w:p w14:paraId="54912DBB" w14:textId="11B79DDB" w:rsidR="00524019" w:rsidRPr="00800D57" w:rsidRDefault="07220D8E" w:rsidP="00F96165">
      <w:pPr>
        <w:tabs>
          <w:tab w:val="clear" w:pos="567"/>
          <w:tab w:val="clear" w:pos="1134"/>
          <w:tab w:val="clear" w:pos="1701"/>
          <w:tab w:val="clear" w:pos="2268"/>
          <w:tab w:val="clear" w:pos="2835"/>
        </w:tabs>
        <w:spacing w:after="120"/>
        <w:jc w:val="both"/>
      </w:pPr>
      <w:r>
        <w:t>8.2</w:t>
      </w:r>
      <w:r w:rsidR="00F96165">
        <w:tab/>
      </w:r>
      <w:r w:rsidR="21D09D67">
        <w:t>T</w:t>
      </w:r>
      <w:r w:rsidR="00524019">
        <w:t xml:space="preserve">he secretariat </w:t>
      </w:r>
      <w:r w:rsidR="6775B40C">
        <w:t>continues</w:t>
      </w:r>
      <w:r w:rsidR="00524019">
        <w:t xml:space="preserve"> to have regular discussions </w:t>
      </w:r>
      <w:r w:rsidR="72F1E7DB">
        <w:t xml:space="preserve">with India </w:t>
      </w:r>
      <w:r w:rsidR="00524019">
        <w:t>on:</w:t>
      </w:r>
    </w:p>
    <w:p w14:paraId="31E3F267" w14:textId="3FDF477A" w:rsidR="004809E2" w:rsidRDefault="00524019" w:rsidP="00F96165">
      <w:pPr>
        <w:tabs>
          <w:tab w:val="clear" w:pos="567"/>
          <w:tab w:val="clear" w:pos="1134"/>
          <w:tab w:val="clear" w:pos="1701"/>
          <w:tab w:val="clear" w:pos="2268"/>
          <w:tab w:val="clear" w:pos="2835"/>
        </w:tabs>
        <w:spacing w:after="120"/>
        <w:ind w:left="720"/>
        <w:jc w:val="both"/>
      </w:pPr>
      <w:r w:rsidRPr="00800D57">
        <w:t>8.</w:t>
      </w:r>
      <w:r w:rsidR="00DB075D">
        <w:t>2</w:t>
      </w:r>
      <w:r w:rsidRPr="00800D57">
        <w:t>.</w:t>
      </w:r>
      <w:r w:rsidR="00DB075D">
        <w:t>1</w:t>
      </w:r>
      <w:r>
        <w:tab/>
      </w:r>
      <w:r w:rsidR="004809E2">
        <w:t xml:space="preserve">Implementation of the provisions outlined in </w:t>
      </w:r>
      <w:r w:rsidR="004809E2" w:rsidRPr="00800D57">
        <w:t>the host country agreement.</w:t>
      </w:r>
    </w:p>
    <w:p w14:paraId="45F4D0D5" w14:textId="5FAE40B8" w:rsidR="00524019" w:rsidRPr="00800D57" w:rsidRDefault="004809E2" w:rsidP="00F96165">
      <w:pPr>
        <w:tabs>
          <w:tab w:val="clear" w:pos="567"/>
          <w:tab w:val="clear" w:pos="1134"/>
          <w:tab w:val="clear" w:pos="1701"/>
          <w:tab w:val="clear" w:pos="2268"/>
          <w:tab w:val="clear" w:pos="2835"/>
        </w:tabs>
        <w:spacing w:after="120"/>
        <w:ind w:left="720"/>
        <w:jc w:val="both"/>
      </w:pPr>
      <w:r>
        <w:t>8.</w:t>
      </w:r>
      <w:r w:rsidR="00DB075D">
        <w:t>2</w:t>
      </w:r>
      <w:r>
        <w:t>.</w:t>
      </w:r>
      <w:r w:rsidR="00DB075D">
        <w:t>2</w:t>
      </w:r>
      <w:r>
        <w:tab/>
      </w:r>
      <w:r w:rsidR="00524019">
        <w:t>Logistics arrangements for the several WTSA-24 side events planned</w:t>
      </w:r>
      <w:r w:rsidR="08234174">
        <w:t>:</w:t>
      </w:r>
    </w:p>
    <w:p w14:paraId="22D0740F" w14:textId="5E733557" w:rsidR="0088156D" w:rsidRPr="004A0A29"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rsidRPr="004A0A29">
        <w:t>48</w:t>
      </w:r>
      <w:r w:rsidR="00225D50">
        <w:t xml:space="preserve"> hours</w:t>
      </w:r>
      <w:r w:rsidRPr="004A0A29">
        <w:t xml:space="preserve"> Hackathon </w:t>
      </w:r>
      <w:r w:rsidR="00DE2858">
        <w:t xml:space="preserve">on </w:t>
      </w:r>
      <w:r w:rsidR="003460A9" w:rsidRPr="004A0A29">
        <w:t>1-2 October 2024</w:t>
      </w:r>
      <w:r w:rsidR="008956A2" w:rsidRPr="004A0A29">
        <w:t xml:space="preserve"> </w:t>
      </w:r>
      <w:r w:rsidR="003460A9" w:rsidRPr="004A0A29">
        <w:t>followed by a</w:t>
      </w:r>
      <w:r w:rsidRPr="004A0A29">
        <w:t xml:space="preserve"> prize ceremony</w:t>
      </w:r>
      <w:r w:rsidR="003460A9" w:rsidRPr="004A0A29">
        <w:t xml:space="preserve"> during WTSA-2</w:t>
      </w:r>
      <w:r w:rsidR="00C3076A" w:rsidRPr="004A0A29">
        <w:t>4</w:t>
      </w:r>
    </w:p>
    <w:p w14:paraId="320127EF"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GSS-24, 14 October 2024</w:t>
      </w:r>
    </w:p>
    <w:p w14:paraId="7165D669" w14:textId="0E372ACB"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GSS-24 High</w:t>
      </w:r>
      <w:r w:rsidR="00225D50">
        <w:t>-</w:t>
      </w:r>
      <w:r>
        <w:t>Level Segment, 14 October 2024</w:t>
      </w:r>
    </w:p>
    <w:p w14:paraId="6ADF6B22"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World Standards Day, 14 October 2024</w:t>
      </w:r>
    </w:p>
    <w:p w14:paraId="181DF443"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ITU Expo, 14-24 October 2024</w:t>
      </w:r>
    </w:p>
    <w:p w14:paraId="50305A06"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Digital Wave Stage at Expo, 14-24 October 2024</w:t>
      </w:r>
    </w:p>
    <w:p w14:paraId="69FA6E0C" w14:textId="1C467B61"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 xml:space="preserve">Robotics for Youth competition at </w:t>
      </w:r>
      <w:r w:rsidR="00A623B7">
        <w:t xml:space="preserve">the </w:t>
      </w:r>
      <w:r>
        <w:t>I</w:t>
      </w:r>
      <w:r w:rsidR="00A623B7">
        <w:t xml:space="preserve">ndia </w:t>
      </w:r>
      <w:r>
        <w:t>M</w:t>
      </w:r>
      <w:r w:rsidR="00A623B7">
        <w:t xml:space="preserve">obile </w:t>
      </w:r>
      <w:r>
        <w:t>C</w:t>
      </w:r>
      <w:r w:rsidR="00A623B7">
        <w:t>ongress (IMC)</w:t>
      </w:r>
      <w:r>
        <w:t>, 17</w:t>
      </w:r>
      <w:r w:rsidR="00225D50">
        <w:t> </w:t>
      </w:r>
      <w:r>
        <w:t xml:space="preserve">October 2024 </w:t>
      </w:r>
    </w:p>
    <w:p w14:paraId="475CA258" w14:textId="0DDAF754"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 xml:space="preserve">WHO-ITU Safe Listening Standards Workshop </w:t>
      </w:r>
      <w:r w:rsidR="00A623B7">
        <w:t>at IMC</w:t>
      </w:r>
      <w:r>
        <w:t xml:space="preserve">, 17 October 2024 </w:t>
      </w:r>
    </w:p>
    <w:p w14:paraId="47CCD798"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Network of Women (</w:t>
      </w:r>
      <w:proofErr w:type="spellStart"/>
      <w:r>
        <w:t>NoW</w:t>
      </w:r>
      <w:proofErr w:type="spellEnd"/>
      <w:r>
        <w:t xml:space="preserve"> in ITU-T), 17 October 2024</w:t>
      </w:r>
    </w:p>
    <w:p w14:paraId="1877C2F4"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AI for Good Impact India at IMC, 18 October 2024</w:t>
      </w:r>
    </w:p>
    <w:p w14:paraId="457ED139"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Kaleidoscope, 21-23 October 2024</w:t>
      </w:r>
    </w:p>
    <w:p w14:paraId="2D2D5598" w14:textId="77777777" w:rsidR="0088156D"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UN Day, 24 October 2024</w:t>
      </w:r>
    </w:p>
    <w:p w14:paraId="1EB28D2E" w14:textId="3CD4DA3D" w:rsidR="00524019" w:rsidRDefault="0088156D" w:rsidP="00C647C4">
      <w:pPr>
        <w:pStyle w:val="ListParagraph"/>
        <w:numPr>
          <w:ilvl w:val="0"/>
          <w:numId w:val="6"/>
        </w:numPr>
        <w:tabs>
          <w:tab w:val="clear" w:pos="567"/>
          <w:tab w:val="clear" w:pos="1134"/>
          <w:tab w:val="clear" w:pos="1701"/>
          <w:tab w:val="clear" w:pos="2268"/>
          <w:tab w:val="clear" w:pos="2835"/>
        </w:tabs>
        <w:spacing w:after="120"/>
        <w:ind w:left="1843" w:hanging="432"/>
        <w:jc w:val="both"/>
      </w:pPr>
      <w:r>
        <w:t>ITU-T S</w:t>
      </w:r>
      <w:r w:rsidR="00F00C37">
        <w:t xml:space="preserve">tudy </w:t>
      </w:r>
      <w:r>
        <w:t>G</w:t>
      </w:r>
      <w:r w:rsidR="00F00C37">
        <w:t>roups</w:t>
      </w:r>
      <w:r>
        <w:t xml:space="preserve"> leadership training, 25 October 202</w:t>
      </w:r>
      <w:r w:rsidR="003D7EFE">
        <w:t>4</w:t>
      </w:r>
    </w:p>
    <w:p w14:paraId="43512991" w14:textId="5720E42C" w:rsidR="6E9D42D2" w:rsidRDefault="6542748F" w:rsidP="00787853">
      <w:pPr>
        <w:tabs>
          <w:tab w:val="clear" w:pos="567"/>
          <w:tab w:val="clear" w:pos="1134"/>
          <w:tab w:val="clear" w:pos="1701"/>
          <w:tab w:val="clear" w:pos="2268"/>
          <w:tab w:val="clear" w:pos="2835"/>
        </w:tabs>
        <w:spacing w:before="240" w:after="120"/>
        <w:jc w:val="both"/>
      </w:pPr>
      <w:r>
        <w:t>8.3</w:t>
      </w:r>
      <w:r w:rsidR="00F96165">
        <w:tab/>
      </w:r>
      <w:r>
        <w:t xml:space="preserve">India is planning to host the India Mobile Congress </w:t>
      </w:r>
      <w:r w:rsidR="31AF5DE1">
        <w:t xml:space="preserve">(IMC) </w:t>
      </w:r>
      <w:r>
        <w:t>from 15 to 19 October in Pragati Maidan (Ha</w:t>
      </w:r>
      <w:r w:rsidR="00B009A0">
        <w:t>l</w:t>
      </w:r>
      <w:r>
        <w:t xml:space="preserve">l 2-5) in parallel with WTSA-24. The </w:t>
      </w:r>
      <w:r w:rsidR="4440EF91">
        <w:t xml:space="preserve">Inauguration ceremony of WTSA-24 and IMC </w:t>
      </w:r>
      <w:r w:rsidR="66E81345">
        <w:t xml:space="preserve">are planned to be held jointly in the morning of 15 October 2024. </w:t>
      </w:r>
    </w:p>
    <w:p w14:paraId="6C175E58" w14:textId="6F1A07CA" w:rsidR="617657AA" w:rsidRDefault="651E9D22" w:rsidP="00C647C4">
      <w:pPr>
        <w:tabs>
          <w:tab w:val="clear" w:pos="567"/>
          <w:tab w:val="clear" w:pos="1134"/>
          <w:tab w:val="clear" w:pos="1701"/>
          <w:tab w:val="clear" w:pos="2268"/>
          <w:tab w:val="clear" w:pos="2835"/>
        </w:tabs>
        <w:spacing w:before="240" w:after="120"/>
        <w:jc w:val="both"/>
      </w:pPr>
      <w:r w:rsidRPr="43AF9E78">
        <w:rPr>
          <w:rFonts w:eastAsia="Calibri" w:cs="Calibri"/>
        </w:rPr>
        <w:t>8.4</w:t>
      </w:r>
      <w:r>
        <w:tab/>
        <w:t>Possible</w:t>
      </w:r>
      <w:r w:rsidRPr="43AF9E78">
        <w:rPr>
          <w:rFonts w:eastAsia="Calibri" w:cs="Calibri"/>
        </w:rPr>
        <w:t xml:space="preserve"> risks: </w:t>
      </w:r>
    </w:p>
    <w:p w14:paraId="4D37B628" w14:textId="36B79DD0" w:rsidR="617657AA" w:rsidRDefault="651E9D22" w:rsidP="7983F1C3">
      <w:pPr>
        <w:spacing w:before="0"/>
        <w:ind w:left="720"/>
        <w:jc w:val="both"/>
        <w:rPr>
          <w:rFonts w:eastAsia="Calibri" w:cs="Calibri"/>
          <w:szCs w:val="24"/>
        </w:rPr>
      </w:pPr>
      <w:r w:rsidRPr="7983F1C3">
        <w:rPr>
          <w:rFonts w:eastAsia="Calibri" w:cs="Calibri"/>
          <w:szCs w:val="24"/>
        </w:rPr>
        <w:t>8.4.1</w:t>
      </w:r>
      <w:r w:rsidR="00C647C4">
        <w:rPr>
          <w:rFonts w:eastAsia="Calibri" w:cs="Calibri"/>
          <w:szCs w:val="24"/>
        </w:rPr>
        <w:tab/>
      </w:r>
      <w:r w:rsidRPr="7983F1C3">
        <w:rPr>
          <w:rFonts w:eastAsia="Calibri" w:cs="Calibri"/>
          <w:szCs w:val="24"/>
        </w:rPr>
        <w:t>The host country will rely on an event management company to handle logistics and event operations to implement several aspects of the Host Country Agreement. At the time of publication of this Council Document, the selection of the event management company by the host country is still ongoing and expected to be finalized by May 2024.</w:t>
      </w:r>
    </w:p>
    <w:p w14:paraId="3AB43009" w14:textId="23B708F4" w:rsidR="617657AA" w:rsidRDefault="651E9D22" w:rsidP="7983F1C3">
      <w:pPr>
        <w:spacing w:before="0"/>
        <w:ind w:left="720"/>
        <w:jc w:val="both"/>
      </w:pPr>
      <w:r w:rsidRPr="5FDED47E">
        <w:rPr>
          <w:rFonts w:eastAsia="Calibri" w:cs="Calibri"/>
        </w:rPr>
        <w:t>8.4.2</w:t>
      </w:r>
      <w:r>
        <w:tab/>
      </w:r>
      <w:r w:rsidRPr="5FDED47E">
        <w:rPr>
          <w:rFonts w:eastAsia="Calibri" w:cs="Calibri"/>
        </w:rPr>
        <w:t>Due to advanced security procedures and protocols for high</w:t>
      </w:r>
      <w:r w:rsidR="00C647C4" w:rsidRPr="5FDED47E">
        <w:rPr>
          <w:rFonts w:eastAsia="Calibri" w:cs="Calibri"/>
        </w:rPr>
        <w:t>-</w:t>
      </w:r>
      <w:r w:rsidRPr="5FDED47E">
        <w:rPr>
          <w:rFonts w:eastAsia="Calibri" w:cs="Calibri"/>
        </w:rPr>
        <w:t xml:space="preserve">level government </w:t>
      </w:r>
      <w:proofErr w:type="gramStart"/>
      <w:r w:rsidRPr="5FDED47E">
        <w:rPr>
          <w:rFonts w:eastAsia="Calibri" w:cs="Calibri"/>
        </w:rPr>
        <w:t>official</w:t>
      </w:r>
      <w:r w:rsidR="12DB85BA" w:rsidRPr="5FDED47E">
        <w:rPr>
          <w:rFonts w:eastAsia="Calibri" w:cs="Calibri"/>
        </w:rPr>
        <w:t>s</w:t>
      </w:r>
      <w:proofErr w:type="gramEnd"/>
      <w:r w:rsidRPr="5FDED47E">
        <w:rPr>
          <w:rFonts w:eastAsia="Calibri" w:cs="Calibri"/>
        </w:rPr>
        <w:t xml:space="preserve"> attendance at WTSA-24 inauguration on 15 October 2024, the access to the main convention centre from the evening of 14 October 2024 to the morning of 15 October 2024 may have some restrictions.</w:t>
      </w:r>
    </w:p>
    <w:p w14:paraId="42DEE232" w14:textId="5ED7956C" w:rsidR="00524019" w:rsidRPr="00E405DC" w:rsidRDefault="00524019" w:rsidP="004920B3">
      <w:pPr>
        <w:tabs>
          <w:tab w:val="clear" w:pos="567"/>
          <w:tab w:val="clear" w:pos="1134"/>
          <w:tab w:val="clear" w:pos="1701"/>
          <w:tab w:val="clear" w:pos="2268"/>
          <w:tab w:val="clear" w:pos="2835"/>
        </w:tabs>
        <w:spacing w:before="240" w:after="120"/>
        <w:ind w:left="706" w:hanging="706"/>
        <w:rPr>
          <w:b/>
          <w:bCs/>
        </w:rPr>
      </w:pPr>
      <w:r>
        <w:rPr>
          <w:b/>
          <w:bCs/>
        </w:rPr>
        <w:t>9</w:t>
      </w:r>
      <w:r w:rsidRPr="00E405DC">
        <w:rPr>
          <w:b/>
          <w:bCs/>
        </w:rPr>
        <w:t>.</w:t>
      </w:r>
      <w:r w:rsidRPr="00E405DC">
        <w:rPr>
          <w:b/>
          <w:bCs/>
        </w:rPr>
        <w:tab/>
        <w:t>WTSA website</w:t>
      </w:r>
    </w:p>
    <w:p w14:paraId="4C058ADF" w14:textId="339A10F3" w:rsidR="00524019" w:rsidRDefault="00524019" w:rsidP="00F96165">
      <w:pPr>
        <w:pStyle w:val="ListParagraph"/>
        <w:tabs>
          <w:tab w:val="clear" w:pos="567"/>
          <w:tab w:val="clear" w:pos="1134"/>
          <w:tab w:val="clear" w:pos="1701"/>
          <w:tab w:val="clear" w:pos="2268"/>
          <w:tab w:val="clear" w:pos="2835"/>
        </w:tabs>
        <w:spacing w:after="120"/>
        <w:ind w:left="0"/>
        <w:contextualSpacing w:val="0"/>
        <w:jc w:val="both"/>
      </w:pPr>
      <w:r w:rsidRPr="00E405DC">
        <w:t>The WTSA-2</w:t>
      </w:r>
      <w:r>
        <w:t>4</w:t>
      </w:r>
      <w:r w:rsidRPr="00E405DC">
        <w:t xml:space="preserve"> website </w:t>
      </w:r>
      <w:hyperlink r:id="rId34" w:history="1">
        <w:r w:rsidRPr="00726EB9">
          <w:rPr>
            <w:rStyle w:val="Hyperlink"/>
          </w:rPr>
          <w:t>https://www.itu.int/wtsa/2024/</w:t>
        </w:r>
      </w:hyperlink>
      <w:r>
        <w:t xml:space="preserve"> </w:t>
      </w:r>
      <w:r w:rsidRPr="00E405DC">
        <w:t xml:space="preserve">contains </w:t>
      </w:r>
      <w:proofErr w:type="gramStart"/>
      <w:r w:rsidRPr="00E405DC">
        <w:t>all of</w:t>
      </w:r>
      <w:proofErr w:type="gramEnd"/>
      <w:r w:rsidRPr="00E405DC">
        <w:t xml:space="preserve"> the above information.</w:t>
      </w:r>
    </w:p>
    <w:p w14:paraId="151ED894" w14:textId="0F8C35C4" w:rsidR="00524019" w:rsidRPr="00B3006C" w:rsidRDefault="00524019" w:rsidP="004920B3">
      <w:pPr>
        <w:tabs>
          <w:tab w:val="clear" w:pos="567"/>
          <w:tab w:val="clear" w:pos="1134"/>
          <w:tab w:val="clear" w:pos="1701"/>
          <w:tab w:val="clear" w:pos="2268"/>
          <w:tab w:val="clear" w:pos="2835"/>
        </w:tabs>
        <w:spacing w:before="240" w:after="120"/>
        <w:ind w:left="706" w:hanging="706"/>
        <w:rPr>
          <w:b/>
          <w:bCs/>
        </w:rPr>
      </w:pPr>
      <w:r w:rsidRPr="00B3006C">
        <w:rPr>
          <w:b/>
          <w:bCs/>
        </w:rPr>
        <w:t>10.</w:t>
      </w:r>
      <w:r w:rsidR="00F96165">
        <w:rPr>
          <w:b/>
          <w:bCs/>
        </w:rPr>
        <w:tab/>
      </w:r>
      <w:r w:rsidRPr="00B3006C">
        <w:rPr>
          <w:b/>
          <w:bCs/>
        </w:rPr>
        <w:t>Host country website</w:t>
      </w:r>
    </w:p>
    <w:p w14:paraId="762C050D" w14:textId="77777777" w:rsidR="004920B3" w:rsidRDefault="0049030D" w:rsidP="004920B3">
      <w:pPr>
        <w:pStyle w:val="ListParagraph"/>
        <w:tabs>
          <w:tab w:val="clear" w:pos="567"/>
          <w:tab w:val="clear" w:pos="1134"/>
          <w:tab w:val="clear" w:pos="1701"/>
          <w:tab w:val="clear" w:pos="2268"/>
          <w:tab w:val="clear" w:pos="2835"/>
        </w:tabs>
        <w:spacing w:after="120"/>
        <w:ind w:left="0"/>
        <w:contextualSpacing w:val="0"/>
        <w:jc w:val="both"/>
      </w:pPr>
      <w:r w:rsidRPr="00B3006C">
        <w:t xml:space="preserve">The </w:t>
      </w:r>
      <w:r w:rsidR="5ABA0FF8" w:rsidRPr="00B3006C">
        <w:t>h</w:t>
      </w:r>
      <w:r w:rsidRPr="00B3006C">
        <w:t xml:space="preserve">ost country website </w:t>
      </w:r>
      <w:hyperlink r:id="rId35" w:history="1">
        <w:r w:rsidR="00DC7DF6" w:rsidRPr="00490119">
          <w:rPr>
            <w:rStyle w:val="Hyperlink"/>
          </w:rPr>
          <w:t>www.delhiwtsa24.in/ituwtsa</w:t>
        </w:r>
      </w:hyperlink>
      <w:r w:rsidR="00B3006C" w:rsidRPr="00B3006C">
        <w:t xml:space="preserve"> </w:t>
      </w:r>
      <w:r w:rsidRPr="00B3006C">
        <w:t>contain</w:t>
      </w:r>
      <w:r w:rsidR="001B41B4" w:rsidRPr="00B3006C">
        <w:t>s key information on hotel</w:t>
      </w:r>
      <w:r w:rsidR="0063084A" w:rsidRPr="00B3006C">
        <w:t xml:space="preserve"> accommodations and other useful</w:t>
      </w:r>
      <w:r w:rsidR="001B41B4" w:rsidRPr="00B3006C">
        <w:t xml:space="preserve"> </w:t>
      </w:r>
      <w:r w:rsidR="0063084A" w:rsidRPr="00B3006C">
        <w:t>logistics</w:t>
      </w:r>
      <w:r w:rsidR="001B41B4" w:rsidRPr="00B3006C">
        <w:t xml:space="preserve"> arrangements for delegates</w:t>
      </w:r>
      <w:r w:rsidR="5CF9643E" w:rsidRPr="00B3006C">
        <w:t xml:space="preserve"> to </w:t>
      </w:r>
      <w:r w:rsidR="00C42AAB" w:rsidRPr="00B3006C">
        <w:t>plan</w:t>
      </w:r>
      <w:r w:rsidR="00B3006C" w:rsidRPr="00B3006C">
        <w:t xml:space="preserve"> </w:t>
      </w:r>
      <w:r w:rsidR="5CF9643E" w:rsidRPr="00B3006C">
        <w:t>their stay</w:t>
      </w:r>
      <w:r w:rsidR="001B41B4" w:rsidRPr="00B3006C">
        <w:t>.</w:t>
      </w:r>
      <w:r w:rsidR="001B41B4">
        <w:t xml:space="preserve"> </w:t>
      </w:r>
    </w:p>
    <w:p w14:paraId="25CA729B" w14:textId="6F1AE765" w:rsidR="00F14F2A" w:rsidRPr="004A68C0" w:rsidRDefault="00F96165" w:rsidP="00581942">
      <w:pPr>
        <w:pStyle w:val="ListParagraph"/>
        <w:tabs>
          <w:tab w:val="clear" w:pos="567"/>
          <w:tab w:val="clear" w:pos="1134"/>
          <w:tab w:val="clear" w:pos="1701"/>
          <w:tab w:val="clear" w:pos="2268"/>
          <w:tab w:val="clear" w:pos="2835"/>
        </w:tabs>
        <w:spacing w:before="360"/>
        <w:ind w:left="0"/>
        <w:contextualSpacing w:val="0"/>
        <w:jc w:val="center"/>
      </w:pPr>
      <w:r>
        <w:t>______________</w:t>
      </w:r>
    </w:p>
    <w:sectPr w:rsidR="00F14F2A" w:rsidRPr="004A68C0" w:rsidSect="00AF5848">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864A" w14:textId="77777777" w:rsidR="00AF5848" w:rsidRDefault="00AF5848">
      <w:r>
        <w:separator/>
      </w:r>
    </w:p>
  </w:endnote>
  <w:endnote w:type="continuationSeparator" w:id="0">
    <w:p w14:paraId="0D41CA7D" w14:textId="77777777" w:rsidR="00AF5848" w:rsidRDefault="00AF5848">
      <w:r>
        <w:continuationSeparator/>
      </w:r>
    </w:p>
  </w:endnote>
  <w:endnote w:type="continuationNotice" w:id="1">
    <w:p w14:paraId="5232D511" w14:textId="77777777" w:rsidR="00AF5848" w:rsidRDefault="00AF58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AE6B39">
      <w:trPr>
        <w:jc w:val="center"/>
      </w:trPr>
      <w:tc>
        <w:tcPr>
          <w:tcW w:w="1803" w:type="dxa"/>
          <w:vAlign w:val="center"/>
        </w:tcPr>
        <w:p w14:paraId="727FD637" w14:textId="018168FB" w:rsidR="00EE49E8" w:rsidRDefault="00EE49E8" w:rsidP="00EE49E8">
          <w:pPr>
            <w:pStyle w:val="Header"/>
            <w:jc w:val="left"/>
            <w:rPr>
              <w:noProof/>
            </w:rPr>
          </w:pPr>
        </w:p>
      </w:tc>
      <w:tc>
        <w:tcPr>
          <w:tcW w:w="8261" w:type="dxa"/>
        </w:tcPr>
        <w:p w14:paraId="2D49E76E" w14:textId="598990F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F96165">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58194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9D506A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F96165">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163A" w14:textId="77777777" w:rsidR="00AF5848" w:rsidRDefault="00AF5848">
      <w:r>
        <w:t>____________________</w:t>
      </w:r>
    </w:p>
  </w:footnote>
  <w:footnote w:type="continuationSeparator" w:id="0">
    <w:p w14:paraId="6CE566A4" w14:textId="77777777" w:rsidR="00AF5848" w:rsidRDefault="00AF5848">
      <w:r>
        <w:continuationSeparator/>
      </w:r>
    </w:p>
  </w:footnote>
  <w:footnote w:type="continuationNotice" w:id="1">
    <w:p w14:paraId="019B4C95" w14:textId="77777777" w:rsidR="00AF5848" w:rsidRDefault="00AF5848">
      <w:pPr>
        <w:spacing w:before="0"/>
      </w:pPr>
    </w:p>
  </w:footnote>
  <w:footnote w:id="2">
    <w:p w14:paraId="227720BE" w14:textId="65272457" w:rsidR="00524019" w:rsidRPr="00247D2A" w:rsidRDefault="00524019" w:rsidP="00524019">
      <w:pPr>
        <w:pStyle w:val="FootnoteText"/>
        <w:rPr>
          <w:lang w:val="en-US"/>
        </w:rPr>
      </w:pPr>
      <w:r>
        <w:rPr>
          <w:rStyle w:val="FootnoteReference"/>
        </w:rPr>
        <w:footnoteRef/>
      </w:r>
      <w:r w:rsidR="00F96165">
        <w:tab/>
      </w:r>
      <w:r w:rsidRPr="00247D2A">
        <w:rPr>
          <w:rStyle w:val="normaltextrun"/>
          <w:rFonts w:cs="Calibri"/>
          <w:color w:val="000000"/>
          <w:sz w:val="18"/>
          <w:szCs w:val="18"/>
          <w:shd w:val="clear" w:color="auto" w:fill="FFFFFF"/>
        </w:rPr>
        <w:t>Plenipotentiary</w:t>
      </w:r>
      <w:r w:rsidR="00787853">
        <w:rPr>
          <w:rStyle w:val="normaltextrun"/>
          <w:rFonts w:cs="Calibri"/>
          <w:color w:val="000000"/>
          <w:sz w:val="18"/>
          <w:szCs w:val="18"/>
          <w:shd w:val="clear" w:color="auto" w:fill="FFFFFF"/>
        </w:rPr>
        <w:t xml:space="preserve"> </w:t>
      </w:r>
      <w:r w:rsidRPr="00247D2A">
        <w:rPr>
          <w:rStyle w:val="normaltextrun"/>
          <w:rFonts w:cs="Calibri"/>
          <w:color w:val="000000"/>
          <w:sz w:val="18"/>
          <w:szCs w:val="18"/>
          <w:shd w:val="clear" w:color="auto" w:fill="FFFFFF"/>
        </w:rPr>
        <w:t>Resolution 165 (Rev. Dubai, 2018)</w:t>
      </w:r>
      <w:r w:rsidR="00787853">
        <w:rPr>
          <w:rStyle w:val="normaltextrun"/>
          <w:rFonts w:cs="Calibri"/>
          <w:color w:val="000000"/>
          <w:sz w:val="18"/>
          <w:szCs w:val="18"/>
          <w:shd w:val="clear" w:color="auto" w:fill="FFFFFF"/>
        </w:rPr>
        <w:t xml:space="preserve">: </w:t>
      </w:r>
      <w:r w:rsidRPr="00247D2A">
        <w:rPr>
          <w:rStyle w:val="normaltextrun"/>
          <w:rFonts w:cs="Calibri"/>
          <w:color w:val="000000"/>
          <w:sz w:val="18"/>
          <w:szCs w:val="18"/>
          <w:shd w:val="clear" w:color="auto" w:fill="FFFFFF"/>
        </w:rPr>
        <w:t>“Deadlines for the submission of proposals and procedures for the registration of participants for conferences and assemblies of the Union” “resolves to</w:t>
      </w:r>
      <w:r w:rsidR="00787853">
        <w:rPr>
          <w:rStyle w:val="normaltextrun"/>
          <w:rFonts w:cs="Calibri"/>
          <w:color w:val="000000"/>
          <w:sz w:val="18"/>
          <w:szCs w:val="18"/>
          <w:shd w:val="clear" w:color="auto" w:fill="FFFFFF"/>
        </w:rPr>
        <w:t xml:space="preserve"> </w:t>
      </w:r>
      <w:r w:rsidRPr="00247D2A">
        <w:rPr>
          <w:rStyle w:val="normaltextrun"/>
          <w:rFonts w:cs="Calibri"/>
          <w:color w:val="000000"/>
          <w:sz w:val="18"/>
          <w:szCs w:val="18"/>
          <w:u w:val="single"/>
          <w:shd w:val="clear" w:color="auto" w:fill="FFFFFF"/>
        </w:rPr>
        <w:t>establish a firm submission deadline for all contributions, with the exception of the deadlines outlined in recognizing a) and b) above, of no later than 21 calendar days before the opening of conferences and assemblies</w:t>
      </w:r>
      <w:r w:rsidR="00787853" w:rsidRPr="00787853">
        <w:rPr>
          <w:rStyle w:val="normaltextrun"/>
          <w:rFonts w:cs="Calibri"/>
          <w:color w:val="000000"/>
          <w:sz w:val="18"/>
          <w:szCs w:val="18"/>
          <w:shd w:val="clear" w:color="auto" w:fill="FFFFFF"/>
        </w:rPr>
        <w:t xml:space="preserve"> </w:t>
      </w:r>
      <w:r w:rsidRPr="00247D2A">
        <w:rPr>
          <w:rStyle w:val="normaltextrun"/>
          <w:rFonts w:cs="Calibri"/>
          <w:color w:val="000000"/>
          <w:sz w:val="18"/>
          <w:szCs w:val="18"/>
          <w:shd w:val="clear" w:color="auto" w:fill="FFFFFF"/>
        </w:rPr>
        <w:t>of the Union, including plenipotentiary conferences, so as to ensure timely translation and their thorough consideration by delegations”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AE6B39">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5"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0C4A"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1562C1"/>
    <w:multiLevelType w:val="multilevel"/>
    <w:tmpl w:val="B65A47D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7E4903"/>
    <w:multiLevelType w:val="multilevel"/>
    <w:tmpl w:val="8C26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903FD"/>
    <w:multiLevelType w:val="hybridMultilevel"/>
    <w:tmpl w:val="3ACE7726"/>
    <w:lvl w:ilvl="0" w:tplc="CF02F916">
      <w:start w:val="4"/>
      <w:numFmt w:val="bullet"/>
      <w:lvlText w:val="-"/>
      <w:lvlJc w:val="left"/>
      <w:pPr>
        <w:ind w:left="2160" w:hanging="360"/>
      </w:pPr>
      <w:rPr>
        <w:rFonts w:ascii="Calibri" w:eastAsia="MS PGothic"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75C2C8F"/>
    <w:multiLevelType w:val="hybridMultilevel"/>
    <w:tmpl w:val="78446A76"/>
    <w:lvl w:ilvl="0" w:tplc="04823130">
      <w:start w:val="1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C50679"/>
    <w:multiLevelType w:val="hybridMultilevel"/>
    <w:tmpl w:val="1AB60A64"/>
    <w:lvl w:ilvl="0" w:tplc="6DAAAF2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895512111">
    <w:abstractNumId w:val="1"/>
  </w:num>
  <w:num w:numId="3" w16cid:durableId="1632590621">
    <w:abstractNumId w:val="2"/>
  </w:num>
  <w:num w:numId="4" w16cid:durableId="1551071596">
    <w:abstractNumId w:val="5"/>
  </w:num>
  <w:num w:numId="5" w16cid:durableId="673149615">
    <w:abstractNumId w:val="4"/>
  </w:num>
  <w:num w:numId="6" w16cid:durableId="1916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E67"/>
    <w:rsid w:val="000210D4"/>
    <w:rsid w:val="000342D2"/>
    <w:rsid w:val="0004698E"/>
    <w:rsid w:val="00053893"/>
    <w:rsid w:val="00063016"/>
    <w:rsid w:val="00065E95"/>
    <w:rsid w:val="00066795"/>
    <w:rsid w:val="000713B7"/>
    <w:rsid w:val="00072482"/>
    <w:rsid w:val="000750FE"/>
    <w:rsid w:val="00076AF6"/>
    <w:rsid w:val="00085CF2"/>
    <w:rsid w:val="00087C12"/>
    <w:rsid w:val="00092A99"/>
    <w:rsid w:val="000B0CE3"/>
    <w:rsid w:val="000B1705"/>
    <w:rsid w:val="000C1655"/>
    <w:rsid w:val="000D2841"/>
    <w:rsid w:val="000D75B2"/>
    <w:rsid w:val="000E4848"/>
    <w:rsid w:val="001121F5"/>
    <w:rsid w:val="00133EFC"/>
    <w:rsid w:val="00137C54"/>
    <w:rsid w:val="001400DC"/>
    <w:rsid w:val="00140CE1"/>
    <w:rsid w:val="00142F71"/>
    <w:rsid w:val="00145D48"/>
    <w:rsid w:val="00160BDD"/>
    <w:rsid w:val="0016469D"/>
    <w:rsid w:val="001669EB"/>
    <w:rsid w:val="00166F30"/>
    <w:rsid w:val="00171A2C"/>
    <w:rsid w:val="0017539C"/>
    <w:rsid w:val="00175AC2"/>
    <w:rsid w:val="0017609F"/>
    <w:rsid w:val="00182AC2"/>
    <w:rsid w:val="00195545"/>
    <w:rsid w:val="001A5B44"/>
    <w:rsid w:val="001A7D1D"/>
    <w:rsid w:val="001B41B4"/>
    <w:rsid w:val="001B51DD"/>
    <w:rsid w:val="001C1F15"/>
    <w:rsid w:val="001C59D1"/>
    <w:rsid w:val="001C628E"/>
    <w:rsid w:val="001E0F7B"/>
    <w:rsid w:val="001E18DC"/>
    <w:rsid w:val="001E61E6"/>
    <w:rsid w:val="001F04AA"/>
    <w:rsid w:val="001F3157"/>
    <w:rsid w:val="002032D3"/>
    <w:rsid w:val="002119FD"/>
    <w:rsid w:val="002130E0"/>
    <w:rsid w:val="00225D50"/>
    <w:rsid w:val="0023540E"/>
    <w:rsid w:val="00247D2A"/>
    <w:rsid w:val="00264425"/>
    <w:rsid w:val="00265875"/>
    <w:rsid w:val="0027119B"/>
    <w:rsid w:val="0027303B"/>
    <w:rsid w:val="0028109B"/>
    <w:rsid w:val="00292396"/>
    <w:rsid w:val="002A2188"/>
    <w:rsid w:val="002A7C93"/>
    <w:rsid w:val="002B0E0A"/>
    <w:rsid w:val="002B1F58"/>
    <w:rsid w:val="002B5E9D"/>
    <w:rsid w:val="002C1C7A"/>
    <w:rsid w:val="002C4601"/>
    <w:rsid w:val="002C54E2"/>
    <w:rsid w:val="002D2C51"/>
    <w:rsid w:val="002F2EB6"/>
    <w:rsid w:val="002F7BE9"/>
    <w:rsid w:val="003014D4"/>
    <w:rsid w:val="0030160F"/>
    <w:rsid w:val="00307225"/>
    <w:rsid w:val="003128B0"/>
    <w:rsid w:val="00313C5C"/>
    <w:rsid w:val="00320223"/>
    <w:rsid w:val="00322D0D"/>
    <w:rsid w:val="003365E1"/>
    <w:rsid w:val="00341587"/>
    <w:rsid w:val="003460A9"/>
    <w:rsid w:val="003503C4"/>
    <w:rsid w:val="00361465"/>
    <w:rsid w:val="00361CAE"/>
    <w:rsid w:val="003804A8"/>
    <w:rsid w:val="0038167A"/>
    <w:rsid w:val="0038194B"/>
    <w:rsid w:val="003877F5"/>
    <w:rsid w:val="003942D4"/>
    <w:rsid w:val="003958A8"/>
    <w:rsid w:val="003B0FF4"/>
    <w:rsid w:val="003B538E"/>
    <w:rsid w:val="003C2533"/>
    <w:rsid w:val="003D46D3"/>
    <w:rsid w:val="003D5A7F"/>
    <w:rsid w:val="003D7EFE"/>
    <w:rsid w:val="003F1186"/>
    <w:rsid w:val="003F4D2A"/>
    <w:rsid w:val="003F6611"/>
    <w:rsid w:val="004016E2"/>
    <w:rsid w:val="0040435A"/>
    <w:rsid w:val="00405E8D"/>
    <w:rsid w:val="00416A24"/>
    <w:rsid w:val="00420B78"/>
    <w:rsid w:val="00422F96"/>
    <w:rsid w:val="00431D9E"/>
    <w:rsid w:val="00431F49"/>
    <w:rsid w:val="00433CE8"/>
    <w:rsid w:val="00434A5C"/>
    <w:rsid w:val="00446F21"/>
    <w:rsid w:val="004473E1"/>
    <w:rsid w:val="004544D9"/>
    <w:rsid w:val="00472BAD"/>
    <w:rsid w:val="00475498"/>
    <w:rsid w:val="004804B9"/>
    <w:rsid w:val="004809E2"/>
    <w:rsid w:val="00484009"/>
    <w:rsid w:val="0049030D"/>
    <w:rsid w:val="00490E72"/>
    <w:rsid w:val="00491157"/>
    <w:rsid w:val="004920B3"/>
    <w:rsid w:val="004921C8"/>
    <w:rsid w:val="00495B0B"/>
    <w:rsid w:val="0049714F"/>
    <w:rsid w:val="004A0A29"/>
    <w:rsid w:val="004A0A65"/>
    <w:rsid w:val="004A1B8B"/>
    <w:rsid w:val="004A448E"/>
    <w:rsid w:val="004A68C0"/>
    <w:rsid w:val="004D09E9"/>
    <w:rsid w:val="004D1851"/>
    <w:rsid w:val="004D599D"/>
    <w:rsid w:val="004E2EA5"/>
    <w:rsid w:val="004E3AEB"/>
    <w:rsid w:val="004F1FC3"/>
    <w:rsid w:val="0050223C"/>
    <w:rsid w:val="00502300"/>
    <w:rsid w:val="00506538"/>
    <w:rsid w:val="00524019"/>
    <w:rsid w:val="005243FF"/>
    <w:rsid w:val="005257BE"/>
    <w:rsid w:val="0052617E"/>
    <w:rsid w:val="00534C55"/>
    <w:rsid w:val="00541F7B"/>
    <w:rsid w:val="00544260"/>
    <w:rsid w:val="00544703"/>
    <w:rsid w:val="00564FBC"/>
    <w:rsid w:val="005712E5"/>
    <w:rsid w:val="005800BC"/>
    <w:rsid w:val="00581942"/>
    <w:rsid w:val="00582442"/>
    <w:rsid w:val="00591E78"/>
    <w:rsid w:val="005B7956"/>
    <w:rsid w:val="005C515D"/>
    <w:rsid w:val="005D2D47"/>
    <w:rsid w:val="005D358B"/>
    <w:rsid w:val="005E37D3"/>
    <w:rsid w:val="005E4C9E"/>
    <w:rsid w:val="005F3269"/>
    <w:rsid w:val="00623AE3"/>
    <w:rsid w:val="0063084A"/>
    <w:rsid w:val="006315B1"/>
    <w:rsid w:val="00631CC5"/>
    <w:rsid w:val="0064253E"/>
    <w:rsid w:val="00647214"/>
    <w:rsid w:val="0064737F"/>
    <w:rsid w:val="006535F1"/>
    <w:rsid w:val="0065557D"/>
    <w:rsid w:val="00660D50"/>
    <w:rsid w:val="00662984"/>
    <w:rsid w:val="006716BB"/>
    <w:rsid w:val="006850BE"/>
    <w:rsid w:val="0069417E"/>
    <w:rsid w:val="006B1859"/>
    <w:rsid w:val="006B6680"/>
    <w:rsid w:val="006B6DCC"/>
    <w:rsid w:val="006C26E1"/>
    <w:rsid w:val="006C6503"/>
    <w:rsid w:val="006C748D"/>
    <w:rsid w:val="006D5160"/>
    <w:rsid w:val="006D6948"/>
    <w:rsid w:val="006D7C54"/>
    <w:rsid w:val="006E0B13"/>
    <w:rsid w:val="006F4A2B"/>
    <w:rsid w:val="007021E7"/>
    <w:rsid w:val="00702DEF"/>
    <w:rsid w:val="00706861"/>
    <w:rsid w:val="00727FF6"/>
    <w:rsid w:val="00734156"/>
    <w:rsid w:val="00736D46"/>
    <w:rsid w:val="0074370C"/>
    <w:rsid w:val="0075051B"/>
    <w:rsid w:val="007616D1"/>
    <w:rsid w:val="0077104B"/>
    <w:rsid w:val="007738E6"/>
    <w:rsid w:val="00776888"/>
    <w:rsid w:val="007828E5"/>
    <w:rsid w:val="00782B72"/>
    <w:rsid w:val="00787853"/>
    <w:rsid w:val="00792CB5"/>
    <w:rsid w:val="00793188"/>
    <w:rsid w:val="00794D34"/>
    <w:rsid w:val="007B36CB"/>
    <w:rsid w:val="007B3F92"/>
    <w:rsid w:val="007B4600"/>
    <w:rsid w:val="007D375E"/>
    <w:rsid w:val="00800D57"/>
    <w:rsid w:val="00803676"/>
    <w:rsid w:val="00813E5E"/>
    <w:rsid w:val="00826C7C"/>
    <w:rsid w:val="00830AEB"/>
    <w:rsid w:val="00830D0D"/>
    <w:rsid w:val="0083581B"/>
    <w:rsid w:val="0085112F"/>
    <w:rsid w:val="008545D7"/>
    <w:rsid w:val="008577F1"/>
    <w:rsid w:val="00863874"/>
    <w:rsid w:val="00864AFF"/>
    <w:rsid w:val="00865925"/>
    <w:rsid w:val="008670FF"/>
    <w:rsid w:val="008722CA"/>
    <w:rsid w:val="008726BF"/>
    <w:rsid w:val="00873FF9"/>
    <w:rsid w:val="00877318"/>
    <w:rsid w:val="0088156D"/>
    <w:rsid w:val="008831B9"/>
    <w:rsid w:val="00884443"/>
    <w:rsid w:val="00887B69"/>
    <w:rsid w:val="00887DFE"/>
    <w:rsid w:val="008956A2"/>
    <w:rsid w:val="008B037E"/>
    <w:rsid w:val="008B4A6A"/>
    <w:rsid w:val="008C2D09"/>
    <w:rsid w:val="008C4295"/>
    <w:rsid w:val="008C7E27"/>
    <w:rsid w:val="008D144F"/>
    <w:rsid w:val="008D2C19"/>
    <w:rsid w:val="008E1EAB"/>
    <w:rsid w:val="008E4D47"/>
    <w:rsid w:val="008F6DE2"/>
    <w:rsid w:val="008F7448"/>
    <w:rsid w:val="0090147A"/>
    <w:rsid w:val="0090307C"/>
    <w:rsid w:val="009128C3"/>
    <w:rsid w:val="009173EF"/>
    <w:rsid w:val="00932906"/>
    <w:rsid w:val="009413C9"/>
    <w:rsid w:val="009504D8"/>
    <w:rsid w:val="009506B2"/>
    <w:rsid w:val="00951DD2"/>
    <w:rsid w:val="00954FD6"/>
    <w:rsid w:val="00955AC3"/>
    <w:rsid w:val="00955D93"/>
    <w:rsid w:val="00957DCD"/>
    <w:rsid w:val="00961B0B"/>
    <w:rsid w:val="00962D33"/>
    <w:rsid w:val="0097717F"/>
    <w:rsid w:val="0098773D"/>
    <w:rsid w:val="00993D7A"/>
    <w:rsid w:val="009971B7"/>
    <w:rsid w:val="00997DBE"/>
    <w:rsid w:val="009A54F1"/>
    <w:rsid w:val="009A6D45"/>
    <w:rsid w:val="009A76BE"/>
    <w:rsid w:val="009B313B"/>
    <w:rsid w:val="009B38C3"/>
    <w:rsid w:val="009B4565"/>
    <w:rsid w:val="009B6D83"/>
    <w:rsid w:val="009C1644"/>
    <w:rsid w:val="009C380C"/>
    <w:rsid w:val="009C5403"/>
    <w:rsid w:val="009C676B"/>
    <w:rsid w:val="009D1988"/>
    <w:rsid w:val="009E17BD"/>
    <w:rsid w:val="009E347F"/>
    <w:rsid w:val="009E485A"/>
    <w:rsid w:val="009E7CA8"/>
    <w:rsid w:val="00A04CEC"/>
    <w:rsid w:val="00A215F3"/>
    <w:rsid w:val="00A25F8B"/>
    <w:rsid w:val="00A27F92"/>
    <w:rsid w:val="00A3040F"/>
    <w:rsid w:val="00A3087C"/>
    <w:rsid w:val="00A32257"/>
    <w:rsid w:val="00A36D20"/>
    <w:rsid w:val="00A41D10"/>
    <w:rsid w:val="00A43DF6"/>
    <w:rsid w:val="00A514A4"/>
    <w:rsid w:val="00A55622"/>
    <w:rsid w:val="00A623B7"/>
    <w:rsid w:val="00A83502"/>
    <w:rsid w:val="00A90F2F"/>
    <w:rsid w:val="00A9225E"/>
    <w:rsid w:val="00AB17E1"/>
    <w:rsid w:val="00AB1C02"/>
    <w:rsid w:val="00AB2FF7"/>
    <w:rsid w:val="00AD15B3"/>
    <w:rsid w:val="00AD1CF7"/>
    <w:rsid w:val="00AD1DF8"/>
    <w:rsid w:val="00AD3606"/>
    <w:rsid w:val="00AD3D4B"/>
    <w:rsid w:val="00AD4A3D"/>
    <w:rsid w:val="00AE6B39"/>
    <w:rsid w:val="00AF5848"/>
    <w:rsid w:val="00AF6E49"/>
    <w:rsid w:val="00B009A0"/>
    <w:rsid w:val="00B04A67"/>
    <w:rsid w:val="00B0583C"/>
    <w:rsid w:val="00B151BC"/>
    <w:rsid w:val="00B15893"/>
    <w:rsid w:val="00B3006C"/>
    <w:rsid w:val="00B40A81"/>
    <w:rsid w:val="00B44910"/>
    <w:rsid w:val="00B46946"/>
    <w:rsid w:val="00B60CF1"/>
    <w:rsid w:val="00B650A1"/>
    <w:rsid w:val="00B72267"/>
    <w:rsid w:val="00B740EA"/>
    <w:rsid w:val="00B767F6"/>
    <w:rsid w:val="00B76EB6"/>
    <w:rsid w:val="00B7737B"/>
    <w:rsid w:val="00B8119A"/>
    <w:rsid w:val="00B824C8"/>
    <w:rsid w:val="00B84B9D"/>
    <w:rsid w:val="00B84D63"/>
    <w:rsid w:val="00B86BEB"/>
    <w:rsid w:val="00B914B8"/>
    <w:rsid w:val="00BA03E8"/>
    <w:rsid w:val="00BB2273"/>
    <w:rsid w:val="00BC0D90"/>
    <w:rsid w:val="00BC1079"/>
    <w:rsid w:val="00BC251A"/>
    <w:rsid w:val="00BC4A76"/>
    <w:rsid w:val="00BD032B"/>
    <w:rsid w:val="00BD2E7F"/>
    <w:rsid w:val="00BD6A8E"/>
    <w:rsid w:val="00BE20B4"/>
    <w:rsid w:val="00BE2640"/>
    <w:rsid w:val="00C01189"/>
    <w:rsid w:val="00C1253A"/>
    <w:rsid w:val="00C16F99"/>
    <w:rsid w:val="00C23E3B"/>
    <w:rsid w:val="00C2785F"/>
    <w:rsid w:val="00C3076A"/>
    <w:rsid w:val="00C374DE"/>
    <w:rsid w:val="00C42AAB"/>
    <w:rsid w:val="00C47AD4"/>
    <w:rsid w:val="00C52D81"/>
    <w:rsid w:val="00C55198"/>
    <w:rsid w:val="00C55D10"/>
    <w:rsid w:val="00C63B1A"/>
    <w:rsid w:val="00C647C4"/>
    <w:rsid w:val="00C652FA"/>
    <w:rsid w:val="00C9236B"/>
    <w:rsid w:val="00CA3211"/>
    <w:rsid w:val="00CA5FE2"/>
    <w:rsid w:val="00CA6393"/>
    <w:rsid w:val="00CB18FF"/>
    <w:rsid w:val="00CC7061"/>
    <w:rsid w:val="00CD0C08"/>
    <w:rsid w:val="00CD11C2"/>
    <w:rsid w:val="00CD3632"/>
    <w:rsid w:val="00CD5893"/>
    <w:rsid w:val="00CE03FB"/>
    <w:rsid w:val="00CE433C"/>
    <w:rsid w:val="00CE7CF5"/>
    <w:rsid w:val="00CF0161"/>
    <w:rsid w:val="00CF2161"/>
    <w:rsid w:val="00CF33F3"/>
    <w:rsid w:val="00CF4AD3"/>
    <w:rsid w:val="00D06183"/>
    <w:rsid w:val="00D064AB"/>
    <w:rsid w:val="00D139C0"/>
    <w:rsid w:val="00D14F16"/>
    <w:rsid w:val="00D22C42"/>
    <w:rsid w:val="00D306DB"/>
    <w:rsid w:val="00D40296"/>
    <w:rsid w:val="00D50927"/>
    <w:rsid w:val="00D602BC"/>
    <w:rsid w:val="00D65041"/>
    <w:rsid w:val="00D7295A"/>
    <w:rsid w:val="00D74FC3"/>
    <w:rsid w:val="00D837B5"/>
    <w:rsid w:val="00D84944"/>
    <w:rsid w:val="00D84C50"/>
    <w:rsid w:val="00D867CC"/>
    <w:rsid w:val="00D977B0"/>
    <w:rsid w:val="00DB022E"/>
    <w:rsid w:val="00DB075D"/>
    <w:rsid w:val="00DB1936"/>
    <w:rsid w:val="00DB3109"/>
    <w:rsid w:val="00DB384B"/>
    <w:rsid w:val="00DB5E9D"/>
    <w:rsid w:val="00DC44F6"/>
    <w:rsid w:val="00DC7DF6"/>
    <w:rsid w:val="00DD32A0"/>
    <w:rsid w:val="00DD4811"/>
    <w:rsid w:val="00DE2858"/>
    <w:rsid w:val="00DF0189"/>
    <w:rsid w:val="00DF1291"/>
    <w:rsid w:val="00DF1698"/>
    <w:rsid w:val="00E0065D"/>
    <w:rsid w:val="00E06FD5"/>
    <w:rsid w:val="00E10E80"/>
    <w:rsid w:val="00E1117F"/>
    <w:rsid w:val="00E124F0"/>
    <w:rsid w:val="00E227F3"/>
    <w:rsid w:val="00E23618"/>
    <w:rsid w:val="00E3166E"/>
    <w:rsid w:val="00E36E5A"/>
    <w:rsid w:val="00E46388"/>
    <w:rsid w:val="00E545C6"/>
    <w:rsid w:val="00E60F04"/>
    <w:rsid w:val="00E65B24"/>
    <w:rsid w:val="00E66865"/>
    <w:rsid w:val="00E81F5B"/>
    <w:rsid w:val="00E854E4"/>
    <w:rsid w:val="00E86DBF"/>
    <w:rsid w:val="00E93057"/>
    <w:rsid w:val="00EB0D6F"/>
    <w:rsid w:val="00EB1B65"/>
    <w:rsid w:val="00EB2232"/>
    <w:rsid w:val="00EB5570"/>
    <w:rsid w:val="00EC4487"/>
    <w:rsid w:val="00EC450C"/>
    <w:rsid w:val="00EC5337"/>
    <w:rsid w:val="00EC62CD"/>
    <w:rsid w:val="00ED4783"/>
    <w:rsid w:val="00EE49E8"/>
    <w:rsid w:val="00EE6CAD"/>
    <w:rsid w:val="00EF4C5B"/>
    <w:rsid w:val="00EF5475"/>
    <w:rsid w:val="00F00C37"/>
    <w:rsid w:val="00F039E8"/>
    <w:rsid w:val="00F04FF8"/>
    <w:rsid w:val="00F14F2A"/>
    <w:rsid w:val="00F151C4"/>
    <w:rsid w:val="00F16BAB"/>
    <w:rsid w:val="00F207BD"/>
    <w:rsid w:val="00F2150A"/>
    <w:rsid w:val="00F21593"/>
    <w:rsid w:val="00F231D8"/>
    <w:rsid w:val="00F43206"/>
    <w:rsid w:val="00F44C00"/>
    <w:rsid w:val="00F45D2C"/>
    <w:rsid w:val="00F46C5F"/>
    <w:rsid w:val="00F60F09"/>
    <w:rsid w:val="00F632C0"/>
    <w:rsid w:val="00F651C6"/>
    <w:rsid w:val="00F74710"/>
    <w:rsid w:val="00F7769B"/>
    <w:rsid w:val="00F82494"/>
    <w:rsid w:val="00F861E4"/>
    <w:rsid w:val="00F9057F"/>
    <w:rsid w:val="00F94A63"/>
    <w:rsid w:val="00F96165"/>
    <w:rsid w:val="00FA1C28"/>
    <w:rsid w:val="00FB0412"/>
    <w:rsid w:val="00FB1279"/>
    <w:rsid w:val="00FB612D"/>
    <w:rsid w:val="00FB6B76"/>
    <w:rsid w:val="00FB7596"/>
    <w:rsid w:val="00FC05A7"/>
    <w:rsid w:val="00FC44B7"/>
    <w:rsid w:val="00FD1605"/>
    <w:rsid w:val="00FD6C0E"/>
    <w:rsid w:val="00FE1AE0"/>
    <w:rsid w:val="00FE4077"/>
    <w:rsid w:val="00FE500D"/>
    <w:rsid w:val="00FE77D2"/>
    <w:rsid w:val="00FE7AED"/>
    <w:rsid w:val="00FF301B"/>
    <w:rsid w:val="0175DB4C"/>
    <w:rsid w:val="03A5ACEC"/>
    <w:rsid w:val="07220D8E"/>
    <w:rsid w:val="077BC059"/>
    <w:rsid w:val="08234174"/>
    <w:rsid w:val="0B62F3E5"/>
    <w:rsid w:val="12DB85BA"/>
    <w:rsid w:val="14E2EA1F"/>
    <w:rsid w:val="14EB7635"/>
    <w:rsid w:val="151C5AB1"/>
    <w:rsid w:val="1A09AD58"/>
    <w:rsid w:val="1A15E2A4"/>
    <w:rsid w:val="1E100052"/>
    <w:rsid w:val="1F39AA30"/>
    <w:rsid w:val="21D09D67"/>
    <w:rsid w:val="239D0CE2"/>
    <w:rsid w:val="249366B9"/>
    <w:rsid w:val="258F9086"/>
    <w:rsid w:val="26120038"/>
    <w:rsid w:val="26B79778"/>
    <w:rsid w:val="2D9A3DC4"/>
    <w:rsid w:val="2E0374A0"/>
    <w:rsid w:val="2EB509EC"/>
    <w:rsid w:val="31AF5DE1"/>
    <w:rsid w:val="3D246CBC"/>
    <w:rsid w:val="43AF9E78"/>
    <w:rsid w:val="4440EF91"/>
    <w:rsid w:val="4D549F02"/>
    <w:rsid w:val="4F85A048"/>
    <w:rsid w:val="4FEB182A"/>
    <w:rsid w:val="518CA0BE"/>
    <w:rsid w:val="52D80B19"/>
    <w:rsid w:val="53AAB829"/>
    <w:rsid w:val="5546888A"/>
    <w:rsid w:val="57542A94"/>
    <w:rsid w:val="5ABA0FF8"/>
    <w:rsid w:val="5CF9643E"/>
    <w:rsid w:val="5FDED47E"/>
    <w:rsid w:val="617657AA"/>
    <w:rsid w:val="62F69EEF"/>
    <w:rsid w:val="643B4C4D"/>
    <w:rsid w:val="651E9D22"/>
    <w:rsid w:val="6542748F"/>
    <w:rsid w:val="66E81345"/>
    <w:rsid w:val="6775B40C"/>
    <w:rsid w:val="68FC38FB"/>
    <w:rsid w:val="6CE41FB2"/>
    <w:rsid w:val="6E9D42D2"/>
    <w:rsid w:val="72F1E7DB"/>
    <w:rsid w:val="73E7919C"/>
    <w:rsid w:val="7983F1C3"/>
    <w:rsid w:val="7B56D307"/>
    <w:rsid w:val="7C9B4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A964C97-0FD2-45BC-A438-DC634275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D064AB"/>
    <w:rPr>
      <w:color w:val="605E5C"/>
      <w:shd w:val="clear" w:color="auto" w:fill="E1DFDD"/>
    </w:rPr>
  </w:style>
  <w:style w:type="paragraph" w:styleId="ListParagraph">
    <w:name w:val="List Paragraph"/>
    <w:basedOn w:val="Normal"/>
    <w:uiPriority w:val="34"/>
    <w:qFormat/>
    <w:rsid w:val="00F151C4"/>
    <w:pPr>
      <w:ind w:left="720"/>
      <w:contextualSpacing/>
    </w:pPr>
  </w:style>
  <w:style w:type="character" w:styleId="CommentReference">
    <w:name w:val="annotation reference"/>
    <w:basedOn w:val="DefaultParagraphFont"/>
    <w:semiHidden/>
    <w:unhideWhenUsed/>
    <w:rsid w:val="001F04AA"/>
    <w:rPr>
      <w:sz w:val="16"/>
      <w:szCs w:val="16"/>
    </w:rPr>
  </w:style>
  <w:style w:type="paragraph" w:styleId="CommentText">
    <w:name w:val="annotation text"/>
    <w:basedOn w:val="Normal"/>
    <w:link w:val="CommentTextChar"/>
    <w:unhideWhenUsed/>
    <w:rsid w:val="001F04AA"/>
    <w:rPr>
      <w:sz w:val="20"/>
    </w:rPr>
  </w:style>
  <w:style w:type="character" w:customStyle="1" w:styleId="CommentTextChar">
    <w:name w:val="Comment Text Char"/>
    <w:basedOn w:val="DefaultParagraphFont"/>
    <w:link w:val="CommentText"/>
    <w:rsid w:val="001F04AA"/>
    <w:rPr>
      <w:rFonts w:ascii="Calibri" w:hAnsi="Calibri"/>
      <w:lang w:val="en-GB" w:eastAsia="en-US"/>
    </w:rPr>
  </w:style>
  <w:style w:type="paragraph" w:styleId="CommentSubject">
    <w:name w:val="annotation subject"/>
    <w:basedOn w:val="CommentText"/>
    <w:next w:val="CommentText"/>
    <w:link w:val="CommentSubjectChar"/>
    <w:semiHidden/>
    <w:unhideWhenUsed/>
    <w:rsid w:val="001F04AA"/>
    <w:rPr>
      <w:b/>
      <w:bCs/>
    </w:rPr>
  </w:style>
  <w:style w:type="character" w:customStyle="1" w:styleId="CommentSubjectChar">
    <w:name w:val="Comment Subject Char"/>
    <w:basedOn w:val="CommentTextChar"/>
    <w:link w:val="CommentSubject"/>
    <w:semiHidden/>
    <w:rsid w:val="001F04AA"/>
    <w:rPr>
      <w:rFonts w:ascii="Calibri" w:hAnsi="Calibri"/>
      <w:b/>
      <w:bCs/>
      <w:lang w:val="en-GB" w:eastAsia="en-US"/>
    </w:rPr>
  </w:style>
  <w:style w:type="character" w:customStyle="1" w:styleId="FootnoteTextChar">
    <w:name w:val="Footnote Text Char"/>
    <w:basedOn w:val="DefaultParagraphFont"/>
    <w:link w:val="FootnoteText"/>
    <w:rsid w:val="00A41D10"/>
    <w:rPr>
      <w:rFonts w:ascii="Calibri" w:hAnsi="Calibri"/>
      <w:sz w:val="24"/>
      <w:lang w:val="en-GB" w:eastAsia="en-US"/>
    </w:rPr>
  </w:style>
  <w:style w:type="character" w:customStyle="1" w:styleId="scxw176938747">
    <w:name w:val="scxw176938747"/>
    <w:basedOn w:val="DefaultParagraphFont"/>
    <w:rsid w:val="00247D2A"/>
  </w:style>
  <w:style w:type="character" w:customStyle="1" w:styleId="normaltextrun">
    <w:name w:val="normaltextrun"/>
    <w:basedOn w:val="DefaultParagraphFont"/>
    <w:rsid w:val="00247D2A"/>
  </w:style>
  <w:style w:type="character" w:customStyle="1" w:styleId="eop">
    <w:name w:val="eop"/>
    <w:basedOn w:val="DefaultParagraphFont"/>
    <w:rsid w:val="00247D2A"/>
  </w:style>
  <w:style w:type="paragraph" w:customStyle="1" w:styleId="Subtitle1">
    <w:name w:val="Subtitle1"/>
    <w:basedOn w:val="Title1"/>
    <w:qFormat/>
    <w:rsid w:val="00341587"/>
    <w:pPr>
      <w:framePr w:wrap="around" w:vAnchor="margin" w:hAnchor="text"/>
      <w:spacing w:before="120" w:after="160"/>
    </w:pPr>
  </w:style>
  <w:style w:type="paragraph" w:styleId="Revision">
    <w:name w:val="Revision"/>
    <w:hidden/>
    <w:uiPriority w:val="99"/>
    <w:semiHidden/>
    <w:rsid w:val="00C42AAB"/>
    <w:rPr>
      <w:rFonts w:ascii="Calibri" w:hAnsi="Calibri"/>
      <w:sz w:val="24"/>
      <w:lang w:val="en-GB" w:eastAsia="en-US"/>
    </w:rPr>
  </w:style>
  <w:style w:type="character" w:customStyle="1" w:styleId="ui-provider">
    <w:name w:val="ui-provider"/>
    <w:basedOn w:val="DefaultParagraphFont"/>
    <w:rsid w:val="009C5403"/>
  </w:style>
  <w:style w:type="character" w:styleId="Mention">
    <w:name w:val="Mention"/>
    <w:basedOn w:val="DefaultParagraphFont"/>
    <w:uiPriority w:val="99"/>
    <w:unhideWhenUsed/>
    <w:rsid w:val="00F905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962">
      <w:bodyDiv w:val="1"/>
      <w:marLeft w:val="0"/>
      <w:marRight w:val="0"/>
      <w:marTop w:val="0"/>
      <w:marBottom w:val="0"/>
      <w:divBdr>
        <w:top w:val="none" w:sz="0" w:space="0" w:color="auto"/>
        <w:left w:val="none" w:sz="0" w:space="0" w:color="auto"/>
        <w:bottom w:val="none" w:sz="0" w:space="0" w:color="auto"/>
        <w:right w:val="none" w:sz="0" w:space="0" w:color="auto"/>
      </w:divBdr>
    </w:div>
    <w:div w:id="60370062">
      <w:bodyDiv w:val="1"/>
      <w:marLeft w:val="0"/>
      <w:marRight w:val="0"/>
      <w:marTop w:val="0"/>
      <w:marBottom w:val="0"/>
      <w:divBdr>
        <w:top w:val="none" w:sz="0" w:space="0" w:color="auto"/>
        <w:left w:val="none" w:sz="0" w:space="0" w:color="auto"/>
        <w:bottom w:val="none" w:sz="0" w:space="0" w:color="auto"/>
        <w:right w:val="none" w:sz="0" w:space="0" w:color="auto"/>
      </w:divBdr>
    </w:div>
    <w:div w:id="326448377">
      <w:bodyDiv w:val="1"/>
      <w:marLeft w:val="0"/>
      <w:marRight w:val="0"/>
      <w:marTop w:val="0"/>
      <w:marBottom w:val="0"/>
      <w:divBdr>
        <w:top w:val="none" w:sz="0" w:space="0" w:color="auto"/>
        <w:left w:val="none" w:sz="0" w:space="0" w:color="auto"/>
        <w:bottom w:val="none" w:sz="0" w:space="0" w:color="auto"/>
        <w:right w:val="none" w:sz="0" w:space="0" w:color="auto"/>
      </w:divBdr>
    </w:div>
    <w:div w:id="528371628">
      <w:bodyDiv w:val="1"/>
      <w:marLeft w:val="0"/>
      <w:marRight w:val="0"/>
      <w:marTop w:val="0"/>
      <w:marBottom w:val="0"/>
      <w:divBdr>
        <w:top w:val="none" w:sz="0" w:space="0" w:color="auto"/>
        <w:left w:val="none" w:sz="0" w:space="0" w:color="auto"/>
        <w:bottom w:val="none" w:sz="0" w:space="0" w:color="auto"/>
        <w:right w:val="none" w:sz="0" w:space="0" w:color="auto"/>
      </w:divBdr>
      <w:divsChild>
        <w:div w:id="679550332">
          <w:marLeft w:val="0"/>
          <w:marRight w:val="0"/>
          <w:marTop w:val="0"/>
          <w:marBottom w:val="0"/>
          <w:divBdr>
            <w:top w:val="none" w:sz="0" w:space="0" w:color="auto"/>
            <w:left w:val="none" w:sz="0" w:space="0" w:color="auto"/>
            <w:bottom w:val="none" w:sz="0" w:space="0" w:color="auto"/>
            <w:right w:val="none" w:sz="0" w:space="0" w:color="auto"/>
          </w:divBdr>
        </w:div>
        <w:div w:id="845635152">
          <w:marLeft w:val="0"/>
          <w:marRight w:val="0"/>
          <w:marTop w:val="0"/>
          <w:marBottom w:val="0"/>
          <w:divBdr>
            <w:top w:val="none" w:sz="0" w:space="0" w:color="auto"/>
            <w:left w:val="none" w:sz="0" w:space="0" w:color="auto"/>
            <w:bottom w:val="none" w:sz="0" w:space="0" w:color="auto"/>
            <w:right w:val="none" w:sz="0" w:space="0" w:color="auto"/>
          </w:divBdr>
        </w:div>
        <w:div w:id="1015038855">
          <w:marLeft w:val="0"/>
          <w:marRight w:val="0"/>
          <w:marTop w:val="0"/>
          <w:marBottom w:val="0"/>
          <w:divBdr>
            <w:top w:val="none" w:sz="0" w:space="0" w:color="auto"/>
            <w:left w:val="none" w:sz="0" w:space="0" w:color="auto"/>
            <w:bottom w:val="none" w:sz="0" w:space="0" w:color="auto"/>
            <w:right w:val="none" w:sz="0" w:space="0" w:color="auto"/>
          </w:divBdr>
        </w:div>
        <w:div w:id="1097562648">
          <w:marLeft w:val="0"/>
          <w:marRight w:val="0"/>
          <w:marTop w:val="0"/>
          <w:marBottom w:val="0"/>
          <w:divBdr>
            <w:top w:val="none" w:sz="0" w:space="0" w:color="auto"/>
            <w:left w:val="none" w:sz="0" w:space="0" w:color="auto"/>
            <w:bottom w:val="none" w:sz="0" w:space="0" w:color="auto"/>
            <w:right w:val="none" w:sz="0" w:space="0" w:color="auto"/>
          </w:divBdr>
        </w:div>
      </w:divsChild>
    </w:div>
    <w:div w:id="747270227">
      <w:bodyDiv w:val="1"/>
      <w:marLeft w:val="0"/>
      <w:marRight w:val="0"/>
      <w:marTop w:val="0"/>
      <w:marBottom w:val="0"/>
      <w:divBdr>
        <w:top w:val="none" w:sz="0" w:space="0" w:color="auto"/>
        <w:left w:val="none" w:sz="0" w:space="0" w:color="auto"/>
        <w:bottom w:val="none" w:sz="0" w:space="0" w:color="auto"/>
        <w:right w:val="none" w:sz="0" w:space="0" w:color="auto"/>
      </w:divBdr>
      <w:divsChild>
        <w:div w:id="41950399">
          <w:marLeft w:val="0"/>
          <w:marRight w:val="0"/>
          <w:marTop w:val="0"/>
          <w:marBottom w:val="0"/>
          <w:divBdr>
            <w:top w:val="none" w:sz="0" w:space="0" w:color="auto"/>
            <w:left w:val="none" w:sz="0" w:space="0" w:color="auto"/>
            <w:bottom w:val="none" w:sz="0" w:space="0" w:color="auto"/>
            <w:right w:val="none" w:sz="0" w:space="0" w:color="auto"/>
          </w:divBdr>
        </w:div>
        <w:div w:id="598829907">
          <w:marLeft w:val="0"/>
          <w:marRight w:val="0"/>
          <w:marTop w:val="0"/>
          <w:marBottom w:val="0"/>
          <w:divBdr>
            <w:top w:val="none" w:sz="0" w:space="0" w:color="auto"/>
            <w:left w:val="none" w:sz="0" w:space="0" w:color="auto"/>
            <w:bottom w:val="none" w:sz="0" w:space="0" w:color="auto"/>
            <w:right w:val="none" w:sz="0" w:space="0" w:color="auto"/>
          </w:divBdr>
        </w:div>
        <w:div w:id="1244072101">
          <w:marLeft w:val="0"/>
          <w:marRight w:val="0"/>
          <w:marTop w:val="0"/>
          <w:marBottom w:val="0"/>
          <w:divBdr>
            <w:top w:val="none" w:sz="0" w:space="0" w:color="auto"/>
            <w:left w:val="none" w:sz="0" w:space="0" w:color="auto"/>
            <w:bottom w:val="none" w:sz="0" w:space="0" w:color="auto"/>
            <w:right w:val="none" w:sz="0" w:space="0" w:color="auto"/>
          </w:divBdr>
        </w:div>
        <w:div w:id="1829325255">
          <w:marLeft w:val="0"/>
          <w:marRight w:val="0"/>
          <w:marTop w:val="0"/>
          <w:marBottom w:val="0"/>
          <w:divBdr>
            <w:top w:val="none" w:sz="0" w:space="0" w:color="auto"/>
            <w:left w:val="none" w:sz="0" w:space="0" w:color="auto"/>
            <w:bottom w:val="none" w:sz="0" w:space="0" w:color="auto"/>
            <w:right w:val="none" w:sz="0" w:space="0" w:color="auto"/>
          </w:divBdr>
        </w:div>
      </w:divsChild>
    </w:div>
    <w:div w:id="1198617654">
      <w:bodyDiv w:val="1"/>
      <w:marLeft w:val="0"/>
      <w:marRight w:val="0"/>
      <w:marTop w:val="0"/>
      <w:marBottom w:val="0"/>
      <w:divBdr>
        <w:top w:val="none" w:sz="0" w:space="0" w:color="auto"/>
        <w:left w:val="none" w:sz="0" w:space="0" w:color="auto"/>
        <w:bottom w:val="none" w:sz="0" w:space="0" w:color="auto"/>
        <w:right w:val="none" w:sz="0" w:space="0" w:color="auto"/>
      </w:divBdr>
      <w:divsChild>
        <w:div w:id="1077172155">
          <w:marLeft w:val="0"/>
          <w:marRight w:val="0"/>
          <w:marTop w:val="0"/>
          <w:marBottom w:val="0"/>
          <w:divBdr>
            <w:top w:val="none" w:sz="0" w:space="0" w:color="auto"/>
            <w:left w:val="none" w:sz="0" w:space="0" w:color="auto"/>
            <w:bottom w:val="none" w:sz="0" w:space="0" w:color="auto"/>
            <w:right w:val="none" w:sz="0" w:space="0" w:color="auto"/>
          </w:divBdr>
        </w:div>
      </w:divsChild>
    </w:div>
    <w:div w:id="1563061501">
      <w:bodyDiv w:val="1"/>
      <w:marLeft w:val="0"/>
      <w:marRight w:val="0"/>
      <w:marTop w:val="0"/>
      <w:marBottom w:val="0"/>
      <w:divBdr>
        <w:top w:val="none" w:sz="0" w:space="0" w:color="auto"/>
        <w:left w:val="none" w:sz="0" w:space="0" w:color="auto"/>
        <w:bottom w:val="none" w:sz="0" w:space="0" w:color="auto"/>
        <w:right w:val="none" w:sz="0" w:space="0" w:color="auto"/>
      </w:divBdr>
    </w:div>
    <w:div w:id="1660108150">
      <w:bodyDiv w:val="1"/>
      <w:marLeft w:val="0"/>
      <w:marRight w:val="0"/>
      <w:marTop w:val="0"/>
      <w:marBottom w:val="0"/>
      <w:divBdr>
        <w:top w:val="none" w:sz="0" w:space="0" w:color="auto"/>
        <w:left w:val="none" w:sz="0" w:space="0" w:color="auto"/>
        <w:bottom w:val="none" w:sz="0" w:space="0" w:color="auto"/>
        <w:right w:val="none" w:sz="0" w:space="0" w:color="auto"/>
      </w:divBdr>
    </w:div>
    <w:div w:id="1902128379">
      <w:bodyDiv w:val="1"/>
      <w:marLeft w:val="0"/>
      <w:marRight w:val="0"/>
      <w:marTop w:val="0"/>
      <w:marBottom w:val="0"/>
      <w:divBdr>
        <w:top w:val="none" w:sz="0" w:space="0" w:color="auto"/>
        <w:left w:val="none" w:sz="0" w:space="0" w:color="auto"/>
        <w:bottom w:val="none" w:sz="0" w:space="0" w:color="auto"/>
        <w:right w:val="none" w:sz="0" w:space="0" w:color="auto"/>
      </w:divBdr>
      <w:divsChild>
        <w:div w:id="1315837776">
          <w:marLeft w:val="0"/>
          <w:marRight w:val="0"/>
          <w:marTop w:val="0"/>
          <w:marBottom w:val="0"/>
          <w:divBdr>
            <w:top w:val="none" w:sz="0" w:space="0" w:color="auto"/>
            <w:left w:val="none" w:sz="0" w:space="0" w:color="auto"/>
            <w:bottom w:val="none" w:sz="0" w:space="0" w:color="auto"/>
            <w:right w:val="none" w:sz="0" w:space="0" w:color="auto"/>
          </w:divBdr>
        </w:div>
      </w:divsChild>
    </w:div>
    <w:div w:id="20603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23/en" TargetMode="External"/><Relationship Id="rId18" Type="http://schemas.openxmlformats.org/officeDocument/2006/relationships/hyperlink" Target="https://www.itu.int/md/S23-DM-CIR-01013/en" TargetMode="External"/><Relationship Id="rId26" Type="http://schemas.openxmlformats.org/officeDocument/2006/relationships/hyperlink" Target="https://www.itu.int/md/T22-TSB-CIR-0176/en" TargetMode="External"/><Relationship Id="rId39" Type="http://schemas.openxmlformats.org/officeDocument/2006/relationships/fontTable" Target="fontTable.xml"/><Relationship Id="rId21" Type="http://schemas.openxmlformats.org/officeDocument/2006/relationships/hyperlink" Target="https://www.itu.int/md/T22-TSB-CIR-0177/en" TargetMode="External"/><Relationship Id="rId34" Type="http://schemas.openxmlformats.org/officeDocument/2006/relationships/hyperlink" Target="https://www.itu.int/wtsa/2024/"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3-SG-CIR-0042/en" TargetMode="External"/><Relationship Id="rId20" Type="http://schemas.openxmlformats.org/officeDocument/2006/relationships/hyperlink" Target="https://www.itu.int/md/T22-TSB-CIR-0176/en" TargetMode="External"/><Relationship Id="rId29" Type="http://schemas.openxmlformats.org/officeDocument/2006/relationships/hyperlink" Target="https://www.itu.int/wtsa/2024/i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wtsa/2024/" TargetMode="External"/><Relationship Id="rId24" Type="http://schemas.openxmlformats.org/officeDocument/2006/relationships/hyperlink" Target="https://www.itu.int/md/T22-TSB-CIR-0204/en" TargetMode="External"/><Relationship Id="rId32" Type="http://schemas.openxmlformats.org/officeDocument/2006/relationships/hyperlink" Target="https://www.itu.int/en/ITU-T/studygroups"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md/S23-SG-CIR-0037/en" TargetMode="External"/><Relationship Id="rId23" Type="http://schemas.openxmlformats.org/officeDocument/2006/relationships/hyperlink" Target="https://www.itu.int/md/T22-TSB-CIR-0182/en" TargetMode="External"/><Relationship Id="rId28" Type="http://schemas.openxmlformats.org/officeDocument/2006/relationships/hyperlink" Target="https://www.itu.int/wtsa/2024/prepmee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3-DM-CIR-01015/en" TargetMode="External"/><Relationship Id="rId31" Type="http://schemas.openxmlformats.org/officeDocument/2006/relationships/hyperlink" Target="https://www.itu.int/wtsa/2024/i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SG-CIR-0028/en" TargetMode="External"/><Relationship Id="rId22" Type="http://schemas.openxmlformats.org/officeDocument/2006/relationships/hyperlink" Target="https://www.itu.int/md/T22-TSB-CIR-0178/en" TargetMode="External"/><Relationship Id="rId27" Type="http://schemas.openxmlformats.org/officeDocument/2006/relationships/hyperlink" Target="https://www.itu.int/wtsa/2024/candidates/" TargetMode="External"/><Relationship Id="rId30" Type="http://schemas.openxmlformats.org/officeDocument/2006/relationships/hyperlink" Target="https://www.itu.int/en/ITU-T/wtsa20/irc/Pages/default.aspx" TargetMode="External"/><Relationship Id="rId35" Type="http://schemas.openxmlformats.org/officeDocument/2006/relationships/hyperlink" Target="http://www.delhiwtsa24.in/ituwts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3-CL-C-0024/en" TargetMode="External"/><Relationship Id="rId17" Type="http://schemas.openxmlformats.org/officeDocument/2006/relationships/hyperlink" Target="https://www.itu.int/md/S23-DM-CIR-01014/en" TargetMode="External"/><Relationship Id="rId25" Type="http://schemas.openxmlformats.org/officeDocument/2006/relationships/hyperlink" Target="https://www.itu.int/md/S24-SG-CIR-0006/en" TargetMode="External"/><Relationship Id="rId33" Type="http://schemas.openxmlformats.org/officeDocument/2006/relationships/hyperlink" Target="https://www.itu.int/net/ITU-T/lists/rgm.aspx?Group=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documenttasks/documenttasks1.xml><?xml version="1.0" encoding="utf-8"?>
<t:Tasks xmlns:t="http://schemas.microsoft.com/office/tasks/2019/documenttasks" xmlns:oel="http://schemas.microsoft.com/office/2019/extlst">
  <t:Task id="{15999541-19AF-4428-BCF6-3068A7C61A2F}">
    <t:Anchor>
      <t:Comment id="1611822978"/>
    </t:Anchor>
    <t:History>
      <t:Event id="{B0149AA4-8C6C-49E8-8D77-CC7B20656A02}" time="2024-05-03T14:57:26.939Z">
        <t:Attribution userId="S::ricarda.brouard@itu.int::886417f6-4fe6-47f8-93fa-a541586b3990" userProvider="AD" userName="Brouard, Ricarda"/>
        <t:Anchor>
          <t:Comment id="1611822978"/>
        </t:Anchor>
        <t:Create/>
      </t:Event>
      <t:Event id="{D40AEA61-A41E-4E62-94F1-773F6F3D9120}" time="2024-05-03T14:57:26.939Z">
        <t:Attribution userId="S::ricarda.brouard@itu.int::886417f6-4fe6-47f8-93fa-a541586b3990" userProvider="AD" userName="Brouard, Ricarda"/>
        <t:Anchor>
          <t:Comment id="1611822978"/>
        </t:Anchor>
        <t:Assign userId="S::Bilel.Jamoussi@itu.int::9f2bf86a-92b6-4d6f-9f64-39297f70c089" userProvider="AD" userName="Jamoussi, Bilel"/>
      </t:Event>
      <t:Event id="{A2A457F8-5208-4AC4-8E42-86CFD7A3DB8D}" time="2024-05-03T14:57:26.939Z">
        <t:Attribution userId="S::ricarda.brouard@itu.int::886417f6-4fe6-47f8-93fa-a541586b3990" userProvider="AD" userName="Brouard, Ricarda"/>
        <t:Anchor>
          <t:Comment id="1611822978"/>
        </t:Anchor>
        <t:SetTitle title="@Jamoussi, Bilel @Restivo, Charlyne Dear colleagues, Doreen had a comment on this part, namely: check that the text in 8.4 was confirmed w India Could you kindly let us know if ok and if it can already be published, or if we should wait a little bit more…"/>
      </t:Event>
      <t:Event id="{33EF3173-0C16-490E-ADE0-7882794BBAE2}" time="2024-05-06T20:04:56.843Z">
        <t:Attribution userId="S::ricarda.brouard@itu.int::886417f6-4fe6-47f8-93fa-a541586b3990" userProvider="AD" userName="Brouard, Ricar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59BCE1F074A38BF8C57D27DD59DAB"/>
        <w:category>
          <w:name w:val="General"/>
          <w:gallery w:val="placeholder"/>
        </w:category>
        <w:types>
          <w:type w:val="bbPlcHdr"/>
        </w:types>
        <w:behaviors>
          <w:behavior w:val="content"/>
        </w:behaviors>
        <w:guid w:val="{FB4203A7-0A1A-49C1-9A99-8F7C45358C79}"/>
      </w:docPartPr>
      <w:docPartBody>
        <w:p w:rsidR="00794B28" w:rsidRDefault="003365E1" w:rsidP="003365E1">
          <w:pPr>
            <w:pStyle w:val="B0E59BCE1F074A38BF8C57D27DD59DA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C2"/>
    <w:rsid w:val="00130A47"/>
    <w:rsid w:val="001A3C6F"/>
    <w:rsid w:val="00224C1E"/>
    <w:rsid w:val="00262E2F"/>
    <w:rsid w:val="00313C5C"/>
    <w:rsid w:val="003365E1"/>
    <w:rsid w:val="00527826"/>
    <w:rsid w:val="006629B3"/>
    <w:rsid w:val="007828E5"/>
    <w:rsid w:val="00794B28"/>
    <w:rsid w:val="0080310C"/>
    <w:rsid w:val="009F4D11"/>
    <w:rsid w:val="00A81DEF"/>
    <w:rsid w:val="00AE3949"/>
    <w:rsid w:val="00B51A1A"/>
    <w:rsid w:val="00BA6E16"/>
    <w:rsid w:val="00C040B2"/>
    <w:rsid w:val="00CD11C2"/>
    <w:rsid w:val="00D2702D"/>
    <w:rsid w:val="00DB7F3D"/>
    <w:rsid w:val="00F17F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5E1"/>
    <w:rPr>
      <w:color w:val="808080"/>
    </w:rPr>
  </w:style>
  <w:style w:type="paragraph" w:customStyle="1" w:styleId="B0E59BCE1F074A38BF8C57D27DD59DAB">
    <w:name w:val="B0E59BCE1F074A38BF8C57D27DD59DAB"/>
    <w:rsid w:val="0033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Lucas, Isabelle</DisplayName>
        <AccountId>170</AccountId>
        <AccountType/>
      </UserInfo>
      <UserInfo>
        <DisplayName>Campos, Simao</DisplayName>
        <AccountId>9</AccountId>
        <AccountType/>
      </UserInfo>
      <UserInfo>
        <DisplayName>Um, Jinu</DisplayName>
        <AccountId>181</AccountId>
        <AccountType/>
      </UserInfo>
      <UserInfo>
        <DisplayName>Takesh, Negar</DisplayName>
        <AccountId>136</AccountId>
        <AccountType/>
      </UserInfo>
      <UserInfo>
        <DisplayName>Armour-Heselton, Emile Bourne</DisplayName>
        <AccountId>68</AccountId>
        <AccountType/>
      </UserInfo>
      <UserInfo>
        <DisplayName>Jamoussi, Bilel</DisplayName>
        <AccountId>40</AccountId>
        <AccountType/>
      </UserInfo>
      <UserInfo>
        <DisplayName>Liu, Xin</DisplayName>
        <AccountId>116</AccountId>
        <AccountType/>
      </UserInfo>
      <UserInfo>
        <DisplayName>Bueti, Maria Cristina</DisplayName>
        <AccountId>17</AccountId>
        <AccountType/>
      </UserInfo>
      <UserInfo>
        <DisplayName>Restivo, Charlyne</DisplayName>
        <AccountId>67</AccountId>
        <AccountType/>
      </UserInfo>
      <UserInfo>
        <DisplayName>Fontaine, Kseniia</DisplayName>
        <AccountId>152</AccountId>
        <AccountType/>
      </UserInfo>
      <UserInfo>
        <DisplayName>OTA, Hiroshi</DisplayName>
        <AccountId>22</AccountId>
        <AccountType/>
      </UserInfo>
      <UserInfo>
        <DisplayName>Magliarditi, Alessia</DisplayName>
        <AccountId>70</AccountId>
        <AccountType/>
      </UserInfo>
      <UserInfo>
        <DisplayName>Marko, Paul</DisplayName>
        <AccountId>61</AccountId>
        <AccountType/>
      </UserInfo>
      <UserInfo>
        <DisplayName>Fernandez, Juan Manuel</DisplayName>
        <AccountId>212</AccountId>
        <AccountType/>
      </UserInfo>
      <UserInfo>
        <DisplayName>Baunin, Mathieu</DisplayName>
        <AccountId>213</AccountId>
        <AccountType/>
      </UserInfo>
      <UserInfo>
        <DisplayName>Werner, Frederic</DisplayName>
        <AccountId>214</AccountId>
        <AccountType/>
      </UserInfo>
      <UserInfo>
        <DisplayName>Commenoz, Florent</DisplayName>
        <AccountId>215</AccountId>
        <AccountType/>
      </UserInfo>
      <UserInfo>
        <DisplayName>Merchant, Shahid</DisplayName>
        <AccountId>216</AccountId>
        <AccountType/>
      </UserInfo>
      <UserInfo>
        <DisplayName>Depoisier, Hugues</DisplayName>
        <AccountId>217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0BC66-11C0-4F7B-A3F4-DB4FA37041B0}">
  <ds:schemaRefs>
    <ds:schemaRef ds:uri="98b04e1e-0540-4930-9623-702d547a0a33"/>
    <ds:schemaRef ds:uri="http://schemas.openxmlformats.org/package/2006/metadata/core-properties"/>
    <ds:schemaRef ds:uri="http://purl.org/dc/terms/"/>
    <ds:schemaRef ds:uri="http://purl.org/dc/dcmitype/"/>
    <ds:schemaRef ds:uri="http://schemas.microsoft.com/office/2006/documentManagement/types"/>
    <ds:schemaRef ds:uri="085b46e1-7f22-4e81-9ba5-912dc5a5fd9a"/>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F6628B5-68BB-4901-A06B-6CBF2016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7DB516BA-54AC-4AAC-8110-6F474BB40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4</Pages>
  <Words>1198</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2024 World Telecommunication Standardization Assembly (WTSA-24)</dc:title>
  <dc:subject>Council 2024</dc:subject>
  <dc:creator>author</dc:creator>
  <cp:keywords>C2024, C24, Council-24</cp:keywords>
  <dc:description/>
  <cp:lastModifiedBy>Brouard, Ricarda</cp:lastModifiedBy>
  <cp:revision>3</cp:revision>
  <cp:lastPrinted>2000-07-18T13:30:00Z</cp:lastPrinted>
  <dcterms:created xsi:type="dcterms:W3CDTF">2024-05-06T20:03:00Z</dcterms:created>
  <dcterms:modified xsi:type="dcterms:W3CDTF">2024-05-06T20:08:00Z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MediaServiceImageTags">
    <vt:lpwstr/>
  </property>
</Properties>
</file>