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5828178" w14:textId="77777777" w:rsidTr="00F363FE">
        <w:tc>
          <w:tcPr>
            <w:tcW w:w="6512" w:type="dxa"/>
          </w:tcPr>
          <w:p w14:paraId="6533E134" w14:textId="438D6B7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803A8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03A8D">
              <w:rPr>
                <w:b/>
                <w:bCs/>
                <w:lang w:bidi="ar-EG"/>
              </w:rPr>
              <w:t>ADM 3</w:t>
            </w:r>
          </w:p>
        </w:tc>
        <w:tc>
          <w:tcPr>
            <w:tcW w:w="3117" w:type="dxa"/>
          </w:tcPr>
          <w:p w14:paraId="12536CD2" w14:textId="37A14EC8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803A8D">
              <w:rPr>
                <w:b/>
                <w:bCs/>
                <w:lang w:bidi="ar-EG"/>
              </w:rPr>
              <w:t>23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495D7FB" w14:textId="77777777" w:rsidTr="00F363FE">
        <w:tc>
          <w:tcPr>
            <w:tcW w:w="6512" w:type="dxa"/>
          </w:tcPr>
          <w:p w14:paraId="1AAD8F85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F679A44" w14:textId="5D6DFE5A" w:rsidR="007B0AA0" w:rsidRPr="007B0AA0" w:rsidRDefault="00803A8D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 أبريل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4B7FDF5D" w14:textId="77777777" w:rsidTr="00F363FE">
        <w:tc>
          <w:tcPr>
            <w:tcW w:w="6512" w:type="dxa"/>
          </w:tcPr>
          <w:p w14:paraId="538B714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7859A5E" w14:textId="2FD1057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803A8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64525671" w14:textId="77777777" w:rsidTr="00F363FE">
        <w:tc>
          <w:tcPr>
            <w:tcW w:w="6512" w:type="dxa"/>
          </w:tcPr>
          <w:p w14:paraId="03A8DD1D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00374B59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1DB0E0E4" w14:textId="77777777" w:rsidTr="00EE7446">
        <w:tc>
          <w:tcPr>
            <w:tcW w:w="9629" w:type="dxa"/>
            <w:gridSpan w:val="2"/>
          </w:tcPr>
          <w:p w14:paraId="45CB2756" w14:textId="7CB7C4C4" w:rsidR="007B0AA0" w:rsidRDefault="00803A8D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</w:t>
            </w:r>
            <w:r w:rsidR="0018318C">
              <w:rPr>
                <w:rFonts w:hint="cs"/>
                <w:rtl/>
                <w:lang w:bidi="ar-EG"/>
              </w:rPr>
              <w:t>ي</w:t>
            </w:r>
            <w:r>
              <w:rPr>
                <w:rFonts w:hint="cs"/>
                <w:rtl/>
                <w:lang w:bidi="ar-EG"/>
              </w:rPr>
              <w:t>ر من الأمينة العامة</w:t>
            </w:r>
          </w:p>
        </w:tc>
      </w:tr>
      <w:tr w:rsidR="007B0AA0" w14:paraId="775590DB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5B04BB8" w14:textId="5DBB66BA" w:rsidR="007B0AA0" w:rsidRDefault="00803A8D" w:rsidP="00803A8D">
            <w:pPr>
              <w:pStyle w:val="Subtitle0"/>
            </w:pPr>
            <w:r w:rsidRPr="00803A8D">
              <w:rPr>
                <w:rFonts w:hint="eastAsia"/>
                <w:rtl/>
                <w:lang w:bidi="ar-SA"/>
              </w:rPr>
              <w:t>تغييرات</w:t>
            </w:r>
            <w:r w:rsidRPr="00803A8D">
              <w:rPr>
                <w:rtl/>
                <w:lang w:bidi="ar-SA"/>
              </w:rPr>
              <w:t xml:space="preserve"> </w:t>
            </w:r>
            <w:r w:rsidRPr="00803A8D">
              <w:rPr>
                <w:rFonts w:hint="eastAsia"/>
                <w:rtl/>
                <w:lang w:bidi="ar-SA"/>
              </w:rPr>
              <w:t>في</w:t>
            </w:r>
            <w:r w:rsidRPr="00803A8D">
              <w:rPr>
                <w:rtl/>
                <w:lang w:bidi="ar-SA"/>
              </w:rPr>
              <w:t xml:space="preserve"> </w:t>
            </w:r>
            <w:r w:rsidRPr="00803A8D">
              <w:rPr>
                <w:rFonts w:hint="eastAsia"/>
                <w:rtl/>
                <w:lang w:bidi="ar-SA"/>
              </w:rPr>
              <w:t>شروط</w:t>
            </w:r>
            <w:r w:rsidRPr="00803A8D">
              <w:rPr>
                <w:rtl/>
                <w:lang w:bidi="ar-SA"/>
              </w:rPr>
              <w:t xml:space="preserve"> </w:t>
            </w:r>
            <w:r w:rsidRPr="00803A8D">
              <w:rPr>
                <w:rFonts w:hint="cs"/>
                <w:rtl/>
                <w:lang w:bidi="ar-SA"/>
              </w:rPr>
              <w:t>الخدمة</w:t>
            </w:r>
            <w:r w:rsidRPr="00803A8D">
              <w:rPr>
                <w:rtl/>
                <w:lang w:bidi="ar-SA"/>
              </w:rPr>
              <w:t xml:space="preserve"> </w:t>
            </w:r>
            <w:r w:rsidRPr="00803A8D">
              <w:rPr>
                <w:rFonts w:hint="eastAsia"/>
                <w:rtl/>
                <w:lang w:bidi="ar-SA"/>
              </w:rPr>
              <w:t>في</w:t>
            </w:r>
            <w:r w:rsidRPr="00803A8D">
              <w:rPr>
                <w:rtl/>
                <w:lang w:bidi="ar-SA"/>
              </w:rPr>
              <w:t xml:space="preserve"> </w:t>
            </w:r>
            <w:r w:rsidRPr="00803A8D">
              <w:rPr>
                <w:rFonts w:hint="eastAsia"/>
                <w:rtl/>
                <w:lang w:bidi="ar-SA"/>
              </w:rPr>
              <w:t>النظام</w:t>
            </w:r>
            <w:r w:rsidRPr="00803A8D">
              <w:rPr>
                <w:rtl/>
                <w:lang w:bidi="ar-SA"/>
              </w:rPr>
              <w:t xml:space="preserve"> </w:t>
            </w:r>
            <w:r w:rsidRPr="00803A8D">
              <w:rPr>
                <w:rFonts w:hint="cs"/>
                <w:rtl/>
                <w:lang w:bidi="ar-SA"/>
              </w:rPr>
              <w:t>الموحد</w:t>
            </w:r>
            <w:r w:rsidRPr="00803A8D">
              <w:rPr>
                <w:rtl/>
                <w:lang w:bidi="ar-SA"/>
              </w:rPr>
              <w:t xml:space="preserve"> </w:t>
            </w:r>
            <w:r w:rsidRPr="00803A8D">
              <w:rPr>
                <w:rFonts w:hint="eastAsia"/>
                <w:rtl/>
                <w:lang w:bidi="ar-SA"/>
              </w:rPr>
              <w:t>للأمم</w:t>
            </w:r>
            <w:r w:rsidRPr="00803A8D">
              <w:rPr>
                <w:rtl/>
                <w:lang w:bidi="ar-SA"/>
              </w:rPr>
              <w:t xml:space="preserve"> </w:t>
            </w:r>
            <w:r w:rsidRPr="00803A8D">
              <w:rPr>
                <w:rFonts w:hint="cs"/>
                <w:rtl/>
                <w:lang w:bidi="ar-SA"/>
              </w:rPr>
              <w:t>المتحدة</w:t>
            </w:r>
          </w:p>
        </w:tc>
      </w:tr>
      <w:tr w:rsidR="007B0AA0" w14:paraId="12B50A03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A3188C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 xml:space="preserve">الغرض </w:t>
            </w:r>
          </w:p>
          <w:p w14:paraId="13F1776C" w14:textId="4B3EC895" w:rsidR="007B0AA0" w:rsidRDefault="00803A8D" w:rsidP="00803A8D">
            <w:pPr>
              <w:rPr>
                <w:rtl/>
              </w:rPr>
            </w:pPr>
            <w:r w:rsidRPr="00C278A5">
              <w:rPr>
                <w:rFonts w:hint="cs"/>
                <w:rtl/>
              </w:rPr>
              <w:t>هذه الوثيقة هي تقرير</w:t>
            </w:r>
            <w:r w:rsidRPr="00E416F6">
              <w:rPr>
                <w:rtl/>
              </w:rPr>
              <w:t xml:space="preserve"> عن </w:t>
            </w:r>
            <w:r>
              <w:rPr>
                <w:rFonts w:hint="cs"/>
                <w:rtl/>
              </w:rPr>
              <w:t>تعديل</w:t>
            </w:r>
            <w:r w:rsidRPr="00E416F6">
              <w:rPr>
                <w:rtl/>
              </w:rPr>
              <w:t xml:space="preserve"> شروط خدمة الموظفين وفقا</w:t>
            </w:r>
            <w:r>
              <w:rPr>
                <w:rFonts w:hint="cs"/>
                <w:rtl/>
              </w:rPr>
              <w:t>ً</w:t>
            </w:r>
            <w:r w:rsidRPr="00E416F6">
              <w:rPr>
                <w:rtl/>
              </w:rPr>
              <w:t xml:space="preserve"> لالتزامات الاتحاد </w:t>
            </w:r>
            <w:r>
              <w:rPr>
                <w:rFonts w:hint="cs"/>
                <w:rtl/>
              </w:rPr>
              <w:t>بموجب</w:t>
            </w:r>
            <w:r w:rsidRPr="00E416F6">
              <w:rPr>
                <w:rtl/>
              </w:rPr>
              <w:t xml:space="preserve"> النظام الموحد للأمم المتحدة.</w:t>
            </w:r>
            <w:r w:rsidRPr="00E416F6">
              <w:rPr>
                <w:cs/>
              </w:rPr>
              <w:t>‎</w:t>
            </w:r>
          </w:p>
          <w:p w14:paraId="317F256E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13E6BBD9" w14:textId="16014220" w:rsidR="00803A8D" w:rsidRDefault="00803A8D" w:rsidP="00803A8D">
            <w:r w:rsidRPr="00C72BC2">
              <w:rPr>
                <w:rtl/>
              </w:rPr>
              <w:t xml:space="preserve">يدعى مجلس الاتحاد إلى </w:t>
            </w:r>
            <w:r w:rsidRPr="00C72BC2">
              <w:rPr>
                <w:b/>
                <w:bCs/>
                <w:rtl/>
              </w:rPr>
              <w:t>الإحاطة علما</w:t>
            </w:r>
            <w:r w:rsidRPr="00C72BC2">
              <w:rPr>
                <w:rFonts w:hint="cs"/>
                <w:b/>
                <w:bCs/>
                <w:rtl/>
              </w:rPr>
              <w:t>ً</w:t>
            </w:r>
            <w:r w:rsidRPr="00C72BC2">
              <w:rPr>
                <w:rtl/>
              </w:rPr>
              <w:t xml:space="preserve"> بتنفيذ الأمين</w:t>
            </w:r>
            <w:r>
              <w:rPr>
                <w:rFonts w:hint="cs"/>
                <w:rtl/>
              </w:rPr>
              <w:t>ة</w:t>
            </w:r>
            <w:r w:rsidRPr="00C72BC2">
              <w:rPr>
                <w:rtl/>
              </w:rPr>
              <w:t xml:space="preserve"> العام</w:t>
            </w:r>
            <w:r>
              <w:rPr>
                <w:rFonts w:hint="cs"/>
                <w:rtl/>
              </w:rPr>
              <w:t>ة</w:t>
            </w:r>
            <w:r w:rsidRPr="00C72BC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لتعديل</w:t>
            </w:r>
            <w:r w:rsidRPr="00C72BC2">
              <w:rPr>
                <w:rtl/>
              </w:rPr>
              <w:t xml:space="preserve"> شروط خدمة الموظفين في النظام الأساسي والنظام الإداري للموظفين المطبقين على الموظفين المعينين</w:t>
            </w:r>
            <w:r>
              <w:rPr>
                <w:rFonts w:hint="cs"/>
                <w:rtl/>
              </w:rPr>
              <w:t>. ويتم إجراء هذه التغييرات</w:t>
            </w:r>
            <w:r w:rsidRPr="00C72BC2">
              <w:rPr>
                <w:rtl/>
              </w:rPr>
              <w:t xml:space="preserve"> وفقا</w:t>
            </w:r>
            <w:r>
              <w:rPr>
                <w:rFonts w:hint="cs"/>
                <w:rtl/>
              </w:rPr>
              <w:t>ً</w:t>
            </w:r>
            <w:r w:rsidRPr="00C72BC2">
              <w:rPr>
                <w:rtl/>
              </w:rPr>
              <w:t xml:space="preserve"> للإجراءات </w:t>
            </w:r>
            <w:r>
              <w:rPr>
                <w:rFonts w:hint="cs"/>
                <w:rtl/>
              </w:rPr>
              <w:t>المعمول بها</w:t>
            </w:r>
            <w:r w:rsidRPr="00C72BC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في </w:t>
            </w:r>
            <w:r w:rsidRPr="00C72BC2">
              <w:rPr>
                <w:rtl/>
              </w:rPr>
              <w:t>لجنة الخدمة المدنية الدولية</w:t>
            </w:r>
            <w:r w:rsidR="002B2D4D">
              <w:rPr>
                <w:rFonts w:hint="eastAsia"/>
                <w:rtl/>
                <w:lang w:bidi="ar-EG"/>
              </w:rPr>
              <w:t> </w:t>
            </w:r>
            <w:r w:rsidR="002B2D4D">
              <w:rPr>
                <w:lang w:bidi="ar-EG"/>
              </w:rPr>
              <w:t>(ICSC)</w:t>
            </w:r>
            <w:r w:rsidRPr="00C72BC2">
              <w:rPr>
                <w:rtl/>
              </w:rPr>
              <w:t xml:space="preserve"> التي </w:t>
            </w:r>
            <w:r>
              <w:rPr>
                <w:rFonts w:hint="cs"/>
                <w:rtl/>
              </w:rPr>
              <w:t>أقرتها</w:t>
            </w:r>
            <w:r w:rsidRPr="00C72BC2">
              <w:rPr>
                <w:rtl/>
              </w:rPr>
              <w:t xml:space="preserve"> الجمعية العامة للأمم المتحدة، ووفقا</w:t>
            </w:r>
            <w:r>
              <w:rPr>
                <w:rFonts w:hint="cs"/>
                <w:rtl/>
              </w:rPr>
              <w:t>ً</w:t>
            </w:r>
            <w:r w:rsidRPr="00C72BC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للقرار 647</w:t>
            </w:r>
            <w:r w:rsidRPr="00C72BC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الصادر عن </w:t>
            </w:r>
            <w:r w:rsidRPr="00C72BC2">
              <w:rPr>
                <w:rtl/>
              </w:rPr>
              <w:t xml:space="preserve">المجلس </w:t>
            </w:r>
            <w:r w:rsidRPr="00C72BC2">
              <w:rPr>
                <w:cs/>
              </w:rPr>
              <w:t>‎</w:t>
            </w:r>
            <w:r w:rsidRPr="00C72BC2">
              <w:rPr>
                <w:rtl/>
              </w:rPr>
              <w:t>(‏</w:t>
            </w:r>
            <w:r>
              <w:rPr>
                <w:lang w:val="en-GB"/>
              </w:rPr>
              <w:t>C-1969</w:t>
            </w:r>
            <w:r w:rsidRPr="00C72BC2">
              <w:rPr>
                <w:rtl/>
              </w:rPr>
              <w:t xml:space="preserve">‏، </w:t>
            </w:r>
            <w:r>
              <w:rPr>
                <w:color w:val="000000"/>
                <w:rtl/>
              </w:rPr>
              <w:t>المعدَّل آخر مرة في دورة المجلس لعام 2003</w:t>
            </w:r>
            <w:r w:rsidRPr="00C72BC2">
              <w:rPr>
                <w:rtl/>
              </w:rPr>
              <w:t>).</w:t>
            </w:r>
          </w:p>
          <w:p w14:paraId="15C139AB" w14:textId="77777777" w:rsidR="00803A8D" w:rsidRDefault="00803A8D" w:rsidP="00803A8D">
            <w:pPr>
              <w:rPr>
                <w:rtl/>
              </w:rPr>
            </w:pPr>
            <w:r>
              <w:rPr>
                <w:color w:val="000000"/>
                <w:rtl/>
              </w:rPr>
              <w:t>ووفقاً للقرار 46 (كيوتو، 1994)</w:t>
            </w:r>
            <w:r>
              <w:rPr>
                <w:rFonts w:hint="cs"/>
                <w:color w:val="000000"/>
                <w:rtl/>
              </w:rPr>
              <w:t xml:space="preserve"> لمؤتمر المندوبين المفوضين</w:t>
            </w:r>
            <w:r>
              <w:rPr>
                <w:color w:val="000000"/>
                <w:rtl/>
              </w:rPr>
              <w:t xml:space="preserve">، يُدعى المجلس إلى </w:t>
            </w:r>
            <w:r w:rsidRPr="0069670A">
              <w:rPr>
                <w:b/>
                <w:bCs/>
                <w:color w:val="000000"/>
                <w:rtl/>
              </w:rPr>
              <w:t>الموافقة</w:t>
            </w:r>
            <w:r>
              <w:rPr>
                <w:color w:val="000000"/>
                <w:rtl/>
              </w:rPr>
              <w:t xml:space="preserve"> على الأجور الداخلة في حساب المعاش التقاعدي المطبق على الموظفين المنتخبين، على نحو ما يرد في مشروع القرار الوارد في ملحق هذه الوثيقة</w:t>
            </w:r>
            <w:r>
              <w:rPr>
                <w:color w:val="000000"/>
              </w:rPr>
              <w:t>.</w:t>
            </w:r>
          </w:p>
          <w:p w14:paraId="6D4C3D75" w14:textId="77777777" w:rsidR="00803A8D" w:rsidRPr="008D1F1B" w:rsidRDefault="00803A8D" w:rsidP="00803A8D">
            <w:pPr>
              <w:rPr>
                <w:b/>
                <w:bCs/>
                <w:rtl/>
              </w:rPr>
            </w:pPr>
            <w:r w:rsidRPr="008D1F1B">
              <w:rPr>
                <w:b/>
                <w:bCs/>
                <w:rtl/>
              </w:rPr>
              <w:t>الصلة بالخطة ال</w:t>
            </w:r>
            <w:r w:rsidRPr="008D1F1B">
              <w:rPr>
                <w:rFonts w:hint="cs"/>
                <w:b/>
                <w:bCs/>
                <w:rtl/>
              </w:rPr>
              <w:t>ا</w:t>
            </w:r>
            <w:r w:rsidRPr="008D1F1B">
              <w:rPr>
                <w:b/>
                <w:bCs/>
                <w:rtl/>
              </w:rPr>
              <w:t>ستراتيجية</w:t>
            </w:r>
          </w:p>
          <w:p w14:paraId="20DE95C3" w14:textId="77777777" w:rsidR="00803A8D" w:rsidRDefault="00803A8D" w:rsidP="00803A8D">
            <w:pPr>
              <w:rPr>
                <w:rtl/>
              </w:rPr>
            </w:pPr>
            <w:r>
              <w:rPr>
                <w:color w:val="000000"/>
                <w:rtl/>
              </w:rPr>
              <w:t>التميز في مجال الموارد البشرية والابتكار التنظيمي</w:t>
            </w:r>
          </w:p>
          <w:p w14:paraId="16240ED1" w14:textId="77777777" w:rsidR="00803A8D" w:rsidRDefault="00803A8D" w:rsidP="00803A8D">
            <w:pPr>
              <w:rPr>
                <w:b/>
                <w:bCs/>
                <w:rtl/>
              </w:rPr>
            </w:pPr>
            <w:r w:rsidRPr="00F10B4B">
              <w:rPr>
                <w:rFonts w:hint="cs"/>
                <w:b/>
                <w:bCs/>
                <w:rtl/>
              </w:rPr>
              <w:t>الآثار المالية</w:t>
            </w:r>
          </w:p>
          <w:p w14:paraId="00592B84" w14:textId="77777777" w:rsidR="00803A8D" w:rsidRDefault="00803A8D" w:rsidP="00803A8D">
            <w:pPr>
              <w:rPr>
                <w:rtl/>
              </w:rPr>
            </w:pPr>
            <w:r w:rsidRPr="004101A3">
              <w:rPr>
                <w:rtl/>
              </w:rPr>
              <w:t xml:space="preserve">‏تبلغ التكلفة الإجمالية لتنفيذ التغييرات في شروط خدمة الموظفين </w:t>
            </w:r>
            <w:r w:rsidRPr="004101A3">
              <w:rPr>
                <w:cs/>
              </w:rPr>
              <w:t>‎</w:t>
            </w:r>
            <w:r w:rsidRPr="004101A3">
              <w:t>2 631 332</w:t>
            </w:r>
            <w:r w:rsidRPr="004101A3">
              <w:rPr>
                <w:rtl/>
              </w:rPr>
              <w:t xml:space="preserve"> ‏فرنكا</w:t>
            </w:r>
            <w:r>
              <w:rPr>
                <w:rFonts w:hint="cs"/>
                <w:rtl/>
              </w:rPr>
              <w:t>ً</w:t>
            </w:r>
            <w:r w:rsidRPr="004101A3">
              <w:rPr>
                <w:rtl/>
              </w:rPr>
              <w:t xml:space="preserve"> سويسريا</w:t>
            </w:r>
            <w:r>
              <w:rPr>
                <w:rFonts w:hint="cs"/>
                <w:rtl/>
              </w:rPr>
              <w:t>ً</w:t>
            </w:r>
            <w:r w:rsidRPr="004101A3">
              <w:rPr>
                <w:rtl/>
              </w:rPr>
              <w:t xml:space="preserve"> لعام </w:t>
            </w:r>
            <w:r w:rsidRPr="004101A3">
              <w:rPr>
                <w:cs/>
              </w:rPr>
              <w:t>‎</w:t>
            </w:r>
            <w:r w:rsidRPr="004101A3">
              <w:t>2024</w:t>
            </w:r>
            <w:r w:rsidRPr="004101A3">
              <w:rPr>
                <w:rtl/>
              </w:rPr>
              <w:t xml:space="preserve">‏، </w:t>
            </w:r>
            <w:r>
              <w:rPr>
                <w:rFonts w:hint="cs"/>
                <w:rtl/>
              </w:rPr>
              <w:t xml:space="preserve">وهي موزعة على </w:t>
            </w:r>
            <w:r w:rsidRPr="004101A3">
              <w:rPr>
                <w:rtl/>
              </w:rPr>
              <w:t>النحو التالي:</w:t>
            </w:r>
            <w:r w:rsidRPr="004101A3">
              <w:rPr>
                <w:cs/>
              </w:rPr>
              <w:t>‎</w:t>
            </w:r>
          </w:p>
          <w:p w14:paraId="77E71448" w14:textId="7F35A6FF" w:rsidR="00803A8D" w:rsidRDefault="002B2D4D" w:rsidP="002B2D4D">
            <w:pPr>
              <w:pStyle w:val="enumlev1"/>
              <w:rPr>
                <w:rtl/>
              </w:rPr>
            </w:pPr>
            <w:r>
              <w:sym w:font="Symbol" w:char="F0B7"/>
            </w:r>
            <w:r w:rsidR="00803A8D">
              <w:rPr>
                <w:rtl/>
              </w:rPr>
              <w:tab/>
            </w:r>
            <w:r w:rsidR="00803A8D" w:rsidRPr="0082091D">
              <w:rPr>
                <w:rtl/>
              </w:rPr>
              <w:t>وفقا</w:t>
            </w:r>
            <w:r w:rsidR="00803A8D">
              <w:rPr>
                <w:rFonts w:hint="cs"/>
                <w:rtl/>
              </w:rPr>
              <w:t>ً</w:t>
            </w:r>
            <w:r w:rsidR="00803A8D" w:rsidRPr="0082091D">
              <w:rPr>
                <w:rtl/>
              </w:rPr>
              <w:t xml:space="preserve"> للإجراءات </w:t>
            </w:r>
            <w:r w:rsidR="00803A8D">
              <w:rPr>
                <w:rFonts w:hint="cs"/>
                <w:rtl/>
              </w:rPr>
              <w:t>المعمول بها</w:t>
            </w:r>
            <w:r w:rsidR="00803A8D" w:rsidRPr="0082091D">
              <w:rPr>
                <w:rtl/>
              </w:rPr>
              <w:t xml:space="preserve"> </w:t>
            </w:r>
            <w:r w:rsidR="00803A8D">
              <w:rPr>
                <w:rFonts w:hint="cs"/>
                <w:rtl/>
              </w:rPr>
              <w:t xml:space="preserve">في </w:t>
            </w:r>
            <w:r w:rsidR="00803A8D" w:rsidRPr="0082091D">
              <w:rPr>
                <w:rtl/>
              </w:rPr>
              <w:t xml:space="preserve">لجنة الخدمة المدنية الدولية، </w:t>
            </w:r>
            <w:r w:rsidR="00803A8D">
              <w:rPr>
                <w:rFonts w:hint="cs"/>
                <w:rtl/>
              </w:rPr>
              <w:t>عُدّل</w:t>
            </w:r>
            <w:r w:rsidR="00803A8D" w:rsidRPr="0082091D">
              <w:rPr>
                <w:rtl/>
              </w:rPr>
              <w:t xml:space="preserve"> جدول الأجور الداخلة في حساب المعاش التقاعدي المطبق على جميع موظفي الفئتين الفنية والعليا في يناير </w:t>
            </w:r>
            <w:r w:rsidR="00803A8D" w:rsidRPr="0082091D">
              <w:rPr>
                <w:cs/>
              </w:rPr>
              <w:t>‎</w:t>
            </w:r>
            <w:r w:rsidR="00803A8D" w:rsidRPr="0082091D">
              <w:t>2024</w:t>
            </w:r>
            <w:r w:rsidR="00803A8D" w:rsidRPr="0082091D">
              <w:rPr>
                <w:rtl/>
              </w:rPr>
              <w:t xml:space="preserve"> ‏وفبراير </w:t>
            </w:r>
            <w:r w:rsidR="00803A8D" w:rsidRPr="0082091D">
              <w:rPr>
                <w:cs/>
              </w:rPr>
              <w:t>‎</w:t>
            </w:r>
            <w:r w:rsidR="00803A8D" w:rsidRPr="0082091D">
              <w:t>2024</w:t>
            </w:r>
            <w:r w:rsidR="00803A8D" w:rsidRPr="0082091D">
              <w:rPr>
                <w:rtl/>
              </w:rPr>
              <w:t>.</w:t>
            </w:r>
            <w:r w:rsidR="00803A8D">
              <w:rPr>
                <w:rFonts w:hint="cs"/>
                <w:rtl/>
              </w:rPr>
              <w:t xml:space="preserve"> و</w:t>
            </w:r>
            <w:r w:rsidR="00803A8D" w:rsidRPr="000401DA">
              <w:rPr>
                <w:rtl/>
              </w:rPr>
              <w:t>بلغت الآثار المالية</w:t>
            </w:r>
            <w:r w:rsidR="00803A8D">
              <w:rPr>
                <w:rFonts w:hint="cs"/>
                <w:rtl/>
              </w:rPr>
              <w:t xml:space="preserve"> لعام 2024</w:t>
            </w:r>
            <w:r w:rsidR="00803A8D" w:rsidRPr="000401DA">
              <w:rPr>
                <w:rtl/>
              </w:rPr>
              <w:t xml:space="preserve"> المترتبة على تنفيذ جداول المرتبات الجديدة المتعاقبة </w:t>
            </w:r>
            <w:r w:rsidR="00803A8D">
              <w:rPr>
                <w:rFonts w:hint="cs"/>
                <w:rtl/>
              </w:rPr>
              <w:t>الداخلة في حساب</w:t>
            </w:r>
            <w:r w:rsidR="00803A8D" w:rsidRPr="000401DA">
              <w:rPr>
                <w:rtl/>
              </w:rPr>
              <w:t xml:space="preserve"> </w:t>
            </w:r>
            <w:r w:rsidR="00803A8D">
              <w:rPr>
                <w:rFonts w:hint="cs"/>
                <w:rtl/>
              </w:rPr>
              <w:t>ا</w:t>
            </w:r>
            <w:r w:rsidR="00803A8D" w:rsidRPr="000401DA">
              <w:rPr>
                <w:rtl/>
              </w:rPr>
              <w:t xml:space="preserve">لمعاش التقاعدي </w:t>
            </w:r>
            <w:r w:rsidR="00803A8D" w:rsidRPr="000401DA">
              <w:rPr>
                <w:cs/>
              </w:rPr>
              <w:t>‎</w:t>
            </w:r>
            <w:r w:rsidR="00803A8D" w:rsidRPr="000401DA">
              <w:t>760 994</w:t>
            </w:r>
            <w:r w:rsidR="00803A8D" w:rsidRPr="000401DA">
              <w:rPr>
                <w:rtl/>
              </w:rPr>
              <w:t xml:space="preserve"> ‏فرنكا</w:t>
            </w:r>
            <w:r w:rsidR="00803A8D">
              <w:rPr>
                <w:rFonts w:hint="cs"/>
                <w:rtl/>
              </w:rPr>
              <w:t>ً</w:t>
            </w:r>
            <w:r w:rsidR="00803A8D" w:rsidRPr="000401DA">
              <w:rPr>
                <w:rtl/>
              </w:rPr>
              <w:t xml:space="preserve"> سويسريا</w:t>
            </w:r>
            <w:r w:rsidR="00803A8D">
              <w:rPr>
                <w:rFonts w:hint="cs"/>
                <w:rtl/>
              </w:rPr>
              <w:t>ً</w:t>
            </w:r>
            <w:r w:rsidR="00803A8D" w:rsidRPr="000401DA">
              <w:rPr>
                <w:rtl/>
              </w:rPr>
              <w:t xml:space="preserve"> في عام </w:t>
            </w:r>
            <w:r w:rsidR="00803A8D" w:rsidRPr="000401DA">
              <w:rPr>
                <w:cs/>
              </w:rPr>
              <w:t>‎</w:t>
            </w:r>
            <w:r w:rsidR="00803A8D" w:rsidRPr="000401DA">
              <w:t>2024</w:t>
            </w:r>
            <w:r w:rsidR="00803A8D" w:rsidRPr="000401DA">
              <w:rPr>
                <w:rtl/>
              </w:rPr>
              <w:t xml:space="preserve"> (‏</w:t>
            </w:r>
            <w:r w:rsidR="00803A8D">
              <w:rPr>
                <w:rFonts w:hint="cs"/>
                <w:rtl/>
              </w:rPr>
              <w:t>لتغطية</w:t>
            </w:r>
            <w:r w:rsidR="00803A8D" w:rsidRPr="000401DA">
              <w:rPr>
                <w:rtl/>
              </w:rPr>
              <w:t xml:space="preserve"> فترة </w:t>
            </w:r>
            <w:r w:rsidR="00803A8D" w:rsidRPr="000401DA">
              <w:rPr>
                <w:cs/>
              </w:rPr>
              <w:t>‎</w:t>
            </w:r>
            <w:r w:rsidR="00803A8D" w:rsidRPr="000401DA">
              <w:t>12</w:t>
            </w:r>
            <w:r w:rsidR="00803A8D" w:rsidRPr="000401DA">
              <w:rPr>
                <w:rtl/>
              </w:rPr>
              <w:t xml:space="preserve"> ‏شهرا</w:t>
            </w:r>
            <w:r w:rsidR="00803A8D">
              <w:rPr>
                <w:rFonts w:hint="cs"/>
                <w:rtl/>
              </w:rPr>
              <w:t>ً</w:t>
            </w:r>
            <w:r w:rsidR="00803A8D" w:rsidRPr="000401DA">
              <w:rPr>
                <w:rtl/>
              </w:rPr>
              <w:t xml:space="preserve"> من </w:t>
            </w:r>
            <w:r w:rsidR="00803A8D" w:rsidRPr="000401DA">
              <w:rPr>
                <w:cs/>
              </w:rPr>
              <w:t>‎</w:t>
            </w:r>
            <w:r w:rsidR="00803A8D" w:rsidRPr="000401DA">
              <w:t>1</w:t>
            </w:r>
            <w:r w:rsidR="00803A8D" w:rsidRPr="000401DA">
              <w:rPr>
                <w:rtl/>
              </w:rPr>
              <w:t xml:space="preserve"> ‏يناير </w:t>
            </w:r>
            <w:r w:rsidR="00803A8D" w:rsidRPr="000401DA">
              <w:rPr>
                <w:cs/>
              </w:rPr>
              <w:t>‎</w:t>
            </w:r>
            <w:r w:rsidR="00803A8D" w:rsidRPr="000401DA">
              <w:t>2024</w:t>
            </w:r>
            <w:r w:rsidR="00803A8D" w:rsidRPr="000401DA">
              <w:rPr>
                <w:rtl/>
              </w:rPr>
              <w:t xml:space="preserve"> ‏حتى نهاية العام).</w:t>
            </w:r>
            <w:r w:rsidR="00803A8D" w:rsidRPr="000401DA">
              <w:rPr>
                <w:cs/>
              </w:rPr>
              <w:t>‎</w:t>
            </w:r>
          </w:p>
          <w:p w14:paraId="77020A3C" w14:textId="4E024A5C" w:rsidR="00803A8D" w:rsidRDefault="002B2D4D" w:rsidP="002B2D4D">
            <w:pPr>
              <w:pStyle w:val="enumlev1"/>
              <w:rPr>
                <w:rtl/>
              </w:rPr>
            </w:pPr>
            <w:r>
              <w:sym w:font="Symbol" w:char="F0B7"/>
            </w:r>
            <w:r w:rsidR="00803A8D">
              <w:rPr>
                <w:color w:val="000000"/>
                <w:rtl/>
              </w:rPr>
              <w:tab/>
            </w:r>
            <w:r w:rsidR="00803A8D" w:rsidRPr="006C0084">
              <w:rPr>
                <w:rtl/>
              </w:rPr>
              <w:t xml:space="preserve">تمت زيادة </w:t>
            </w:r>
            <w:r w:rsidR="00803A8D">
              <w:rPr>
                <w:rFonts w:hint="cs"/>
                <w:rtl/>
              </w:rPr>
              <w:t>الرواتب الصافية</w:t>
            </w:r>
            <w:r w:rsidR="00803A8D" w:rsidRPr="006C0084">
              <w:rPr>
                <w:rtl/>
              </w:rPr>
              <w:t xml:space="preserve"> </w:t>
            </w:r>
            <w:r w:rsidR="00803A8D">
              <w:rPr>
                <w:rFonts w:hint="cs"/>
                <w:rtl/>
              </w:rPr>
              <w:t>ل</w:t>
            </w:r>
            <w:r w:rsidR="00803A8D" w:rsidRPr="006C0084">
              <w:rPr>
                <w:rtl/>
              </w:rPr>
              <w:t xml:space="preserve">لموظفين في فئة الخدمات العامة بما </w:t>
            </w:r>
            <w:r w:rsidR="00803A8D">
              <w:rPr>
                <w:rFonts w:hint="cs"/>
                <w:rtl/>
              </w:rPr>
              <w:t>يتوافق</w:t>
            </w:r>
            <w:r w:rsidR="00803A8D" w:rsidRPr="006C0084">
              <w:rPr>
                <w:rtl/>
              </w:rPr>
              <w:t xml:space="preserve"> مع حركة مؤشر أسعار المستهلك (</w:t>
            </w:r>
            <w:r w:rsidR="00803A8D" w:rsidRPr="006C0084">
              <w:rPr>
                <w:cs/>
              </w:rPr>
              <w:t>‎</w:t>
            </w:r>
            <w:r w:rsidR="00803A8D" w:rsidRPr="006C0084">
              <w:t>CPI</w:t>
            </w:r>
            <w:r w:rsidR="00803A8D" w:rsidRPr="006C0084">
              <w:rPr>
                <w:rtl/>
              </w:rPr>
              <w:t xml:space="preserve">) ‏لجنيف من سبتمبر </w:t>
            </w:r>
            <w:r w:rsidR="00803A8D" w:rsidRPr="006C0084">
              <w:rPr>
                <w:cs/>
              </w:rPr>
              <w:t>‎</w:t>
            </w:r>
            <w:r w:rsidR="00803A8D" w:rsidRPr="006C0084">
              <w:t>2022</w:t>
            </w:r>
            <w:r w:rsidR="00803A8D" w:rsidRPr="006C0084">
              <w:rPr>
                <w:rtl/>
              </w:rPr>
              <w:t xml:space="preserve"> ‏إلى سبتمبر </w:t>
            </w:r>
            <w:r w:rsidR="00803A8D" w:rsidRPr="006C0084">
              <w:rPr>
                <w:cs/>
              </w:rPr>
              <w:t>‎</w:t>
            </w:r>
            <w:r w:rsidR="00803A8D" w:rsidRPr="006C0084">
              <w:t>2023</w:t>
            </w:r>
            <w:r w:rsidR="00803A8D" w:rsidRPr="006C0084">
              <w:rPr>
                <w:rtl/>
              </w:rPr>
              <w:t xml:space="preserve">‏، </w:t>
            </w:r>
            <w:r w:rsidR="00803A8D">
              <w:rPr>
                <w:rFonts w:hint="cs"/>
                <w:rtl/>
              </w:rPr>
              <w:t>والتي تصل،</w:t>
            </w:r>
            <w:r w:rsidR="00803A8D" w:rsidRPr="006C0084">
              <w:rPr>
                <w:rtl/>
              </w:rPr>
              <w:t xml:space="preserve"> بعد </w:t>
            </w:r>
            <w:r w:rsidR="00803A8D">
              <w:rPr>
                <w:rFonts w:hint="cs"/>
                <w:rtl/>
              </w:rPr>
              <w:t>مراعاة</w:t>
            </w:r>
            <w:r w:rsidR="00803A8D" w:rsidRPr="006C0084">
              <w:rPr>
                <w:rtl/>
              </w:rPr>
              <w:t xml:space="preserve"> الضرائب المحلية، إلى زيادة </w:t>
            </w:r>
            <w:r w:rsidR="00803A8D">
              <w:rPr>
                <w:rFonts w:hint="cs"/>
                <w:rtl/>
              </w:rPr>
              <w:t>بنسبة</w:t>
            </w:r>
            <w:r w:rsidR="00803A8D" w:rsidRPr="006C0084">
              <w:rPr>
                <w:rtl/>
              </w:rPr>
              <w:t xml:space="preserve"> </w:t>
            </w:r>
            <w:r>
              <w:t>1,5</w:t>
            </w:r>
            <w:r w:rsidR="00803A8D" w:rsidRPr="006C0084">
              <w:rPr>
                <w:rtl/>
              </w:rPr>
              <w:t xml:space="preserve"> ‏في المائة</w:t>
            </w:r>
            <w:r w:rsidR="00803A8D" w:rsidRPr="006C0084">
              <w:rPr>
                <w:color w:val="000000"/>
                <w:cs/>
              </w:rPr>
              <w:t>‎</w:t>
            </w:r>
            <w:r w:rsidR="00803A8D" w:rsidRPr="00A62F83">
              <w:rPr>
                <w:rtl/>
              </w:rPr>
              <w:t>.</w:t>
            </w:r>
            <w:r w:rsidR="00803A8D" w:rsidRPr="00A62F83">
              <w:rPr>
                <w:cs/>
              </w:rPr>
              <w:t>‎</w:t>
            </w:r>
            <w:r w:rsidR="00803A8D">
              <w:rPr>
                <w:rFonts w:hint="cs"/>
                <w:rtl/>
              </w:rPr>
              <w:t xml:space="preserve"> و</w:t>
            </w:r>
            <w:r w:rsidR="00803A8D" w:rsidRPr="009E181A">
              <w:rPr>
                <w:rtl/>
              </w:rPr>
              <w:t xml:space="preserve">تبلغ الآثار المالية المترتبة على تنفيذ جداول </w:t>
            </w:r>
            <w:r w:rsidR="00803A8D">
              <w:rPr>
                <w:rFonts w:hint="cs"/>
                <w:rtl/>
              </w:rPr>
              <w:t>الرواتب</w:t>
            </w:r>
            <w:r w:rsidR="00803A8D" w:rsidRPr="009E181A">
              <w:rPr>
                <w:rtl/>
              </w:rPr>
              <w:t xml:space="preserve"> الجديدة لعام </w:t>
            </w:r>
            <w:r w:rsidR="00803A8D" w:rsidRPr="009E181A">
              <w:rPr>
                <w:cs/>
              </w:rPr>
              <w:t>‎</w:t>
            </w:r>
            <w:r w:rsidR="00803A8D" w:rsidRPr="009E181A">
              <w:t>2024</w:t>
            </w:r>
            <w:r w:rsidR="00803A8D" w:rsidRPr="009E181A">
              <w:rPr>
                <w:rtl/>
              </w:rPr>
              <w:t xml:space="preserve"> ‏مقدار </w:t>
            </w:r>
            <w:r w:rsidR="00803A8D" w:rsidRPr="009E181A">
              <w:rPr>
                <w:cs/>
              </w:rPr>
              <w:t>‎</w:t>
            </w:r>
            <w:r w:rsidR="00803A8D" w:rsidRPr="009E181A">
              <w:t>501 045</w:t>
            </w:r>
            <w:r w:rsidR="00803A8D" w:rsidRPr="009E181A">
              <w:rPr>
                <w:rtl/>
              </w:rPr>
              <w:t xml:space="preserve"> ‏فرنكا</w:t>
            </w:r>
            <w:r w:rsidR="00803A8D">
              <w:rPr>
                <w:rFonts w:hint="cs"/>
                <w:rtl/>
              </w:rPr>
              <w:t>ً</w:t>
            </w:r>
            <w:r w:rsidR="00803A8D" w:rsidRPr="009E181A">
              <w:rPr>
                <w:rtl/>
              </w:rPr>
              <w:t xml:space="preserve"> سويسريا</w:t>
            </w:r>
            <w:r w:rsidR="00803A8D">
              <w:rPr>
                <w:rFonts w:hint="cs"/>
                <w:rtl/>
              </w:rPr>
              <w:t>ً</w:t>
            </w:r>
            <w:r w:rsidR="00803A8D" w:rsidRPr="009E181A">
              <w:rPr>
                <w:rtl/>
              </w:rPr>
              <w:t>.</w:t>
            </w:r>
            <w:r w:rsidR="00803A8D" w:rsidRPr="009E181A">
              <w:rPr>
                <w:cs/>
              </w:rPr>
              <w:t>‎</w:t>
            </w:r>
          </w:p>
          <w:p w14:paraId="244FA698" w14:textId="761127DA" w:rsidR="00803A8D" w:rsidRDefault="002B2D4D" w:rsidP="002B2D4D">
            <w:pPr>
              <w:pStyle w:val="enumlev1"/>
              <w:rPr>
                <w:rtl/>
              </w:rPr>
            </w:pPr>
            <w:r>
              <w:sym w:font="Symbol" w:char="F0B7"/>
            </w:r>
            <w:r w:rsidR="00803A8D">
              <w:rPr>
                <w:color w:val="000000"/>
                <w:rtl/>
              </w:rPr>
              <w:tab/>
            </w:r>
            <w:r w:rsidR="00803A8D" w:rsidRPr="009D6167">
              <w:rPr>
                <w:rtl/>
              </w:rPr>
              <w:t xml:space="preserve">أصدرت لجنة الخدمة المدنية الدولية نتائج </w:t>
            </w:r>
            <w:r w:rsidR="00803A8D">
              <w:rPr>
                <w:rFonts w:hint="cs"/>
                <w:rtl/>
              </w:rPr>
              <w:t>الاستعراض السنوي</w:t>
            </w:r>
            <w:r w:rsidR="00803A8D" w:rsidRPr="009D6167">
              <w:rPr>
                <w:rtl/>
              </w:rPr>
              <w:t xml:space="preserve"> لتسوية </w:t>
            </w:r>
            <w:r w:rsidR="00803A8D">
              <w:rPr>
                <w:rFonts w:hint="cs"/>
                <w:rtl/>
              </w:rPr>
              <w:t>مقر العمل</w:t>
            </w:r>
            <w:r w:rsidR="00803A8D" w:rsidRPr="009D6167">
              <w:rPr>
                <w:rtl/>
              </w:rPr>
              <w:t xml:space="preserve"> في </w:t>
            </w:r>
            <w:r w:rsidR="00803A8D" w:rsidRPr="009D6167">
              <w:rPr>
                <w:cs/>
              </w:rPr>
              <w:t>‎</w:t>
            </w:r>
            <w:r w:rsidR="00803A8D" w:rsidRPr="009D6167">
              <w:t>14</w:t>
            </w:r>
            <w:r w:rsidR="00803A8D" w:rsidRPr="009D6167">
              <w:rPr>
                <w:rtl/>
              </w:rPr>
              <w:t xml:space="preserve"> ‏فبراي</w:t>
            </w:r>
            <w:r w:rsidR="00803A8D">
              <w:rPr>
                <w:rFonts w:hint="cs"/>
                <w:rtl/>
              </w:rPr>
              <w:t xml:space="preserve">ر 2024. </w:t>
            </w:r>
            <w:r w:rsidR="00803A8D" w:rsidRPr="00CC7AA3">
              <w:rPr>
                <w:rtl/>
              </w:rPr>
              <w:t xml:space="preserve">وتبلغ الآثار المالية المترتبة على تنفيذ تسوية مقر العمل الجديدة في جنيف لعام </w:t>
            </w:r>
            <w:r w:rsidR="00803A8D" w:rsidRPr="00CC7AA3">
              <w:rPr>
                <w:cs/>
              </w:rPr>
              <w:t>‎</w:t>
            </w:r>
            <w:r w:rsidR="00803A8D" w:rsidRPr="00CC7AA3">
              <w:t>2024</w:t>
            </w:r>
            <w:r w:rsidR="00803A8D" w:rsidRPr="00CC7AA3">
              <w:rPr>
                <w:rtl/>
              </w:rPr>
              <w:t xml:space="preserve"> ‏مقدار </w:t>
            </w:r>
            <w:r w:rsidR="00803A8D" w:rsidRPr="00CC7AA3">
              <w:rPr>
                <w:cs/>
              </w:rPr>
              <w:t>‎</w:t>
            </w:r>
            <w:r w:rsidR="00803A8D" w:rsidRPr="00CC7AA3">
              <w:t>1 369 293</w:t>
            </w:r>
            <w:r w:rsidR="00803A8D" w:rsidRPr="00CC7AA3">
              <w:rPr>
                <w:rtl/>
              </w:rPr>
              <w:t xml:space="preserve"> ‏</w:t>
            </w:r>
            <w:r w:rsidR="00803A8D">
              <w:rPr>
                <w:rFonts w:hint="cs"/>
                <w:rtl/>
              </w:rPr>
              <w:t>فرنكاً سويسرياً</w:t>
            </w:r>
            <w:r w:rsidR="00803A8D" w:rsidRPr="00CC7AA3">
              <w:rPr>
                <w:rtl/>
              </w:rPr>
              <w:t xml:space="preserve"> (لتغطية فترة </w:t>
            </w:r>
            <w:r w:rsidR="00803A8D" w:rsidRPr="00CC7AA3">
              <w:rPr>
                <w:cs/>
              </w:rPr>
              <w:t>‎</w:t>
            </w:r>
            <w:r w:rsidR="00803A8D" w:rsidRPr="00CC7AA3">
              <w:t>11</w:t>
            </w:r>
            <w:r w:rsidR="00803A8D" w:rsidRPr="00CC7AA3">
              <w:rPr>
                <w:rtl/>
              </w:rPr>
              <w:t xml:space="preserve"> ‏شهرا</w:t>
            </w:r>
            <w:r w:rsidR="00803A8D">
              <w:rPr>
                <w:rFonts w:hint="cs"/>
                <w:rtl/>
              </w:rPr>
              <w:t>ً</w:t>
            </w:r>
            <w:r w:rsidR="00803A8D" w:rsidRPr="00CC7AA3">
              <w:rPr>
                <w:rtl/>
              </w:rPr>
              <w:t xml:space="preserve"> من </w:t>
            </w:r>
            <w:r w:rsidR="00803A8D" w:rsidRPr="00CC7AA3">
              <w:rPr>
                <w:cs/>
              </w:rPr>
              <w:t>‎</w:t>
            </w:r>
            <w:r w:rsidR="00803A8D" w:rsidRPr="00CC7AA3">
              <w:t>1</w:t>
            </w:r>
            <w:r w:rsidR="00803A8D" w:rsidRPr="00CC7AA3">
              <w:rPr>
                <w:rtl/>
              </w:rPr>
              <w:t xml:space="preserve"> ‏فبراير </w:t>
            </w:r>
            <w:r w:rsidR="00803A8D" w:rsidRPr="00CC7AA3">
              <w:rPr>
                <w:cs/>
              </w:rPr>
              <w:t>‎</w:t>
            </w:r>
            <w:r w:rsidR="00803A8D" w:rsidRPr="00CC7AA3">
              <w:t>2024</w:t>
            </w:r>
            <w:r w:rsidR="00803A8D" w:rsidRPr="00CC7AA3">
              <w:rPr>
                <w:rtl/>
              </w:rPr>
              <w:t xml:space="preserve"> ‏حتى نهاية العام)</w:t>
            </w:r>
            <w:r w:rsidR="00803A8D" w:rsidRPr="00CC7AA3">
              <w:rPr>
                <w:cs/>
              </w:rPr>
              <w:t>‎</w:t>
            </w:r>
            <w:r w:rsidR="00803A8D">
              <w:rPr>
                <w:rFonts w:hint="cs"/>
                <w:rtl/>
              </w:rPr>
              <w:t>.</w:t>
            </w:r>
          </w:p>
          <w:p w14:paraId="75CBB377" w14:textId="6B66DAC4" w:rsidR="007B0AA0" w:rsidRDefault="00803A8D" w:rsidP="002B2D4D">
            <w:pPr>
              <w:keepLines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وف</w:t>
            </w:r>
            <w:r w:rsidRPr="00BA23BD">
              <w:rPr>
                <w:rtl/>
              </w:rPr>
              <w:t xml:space="preserve">ي حالة </w:t>
            </w:r>
            <w:r>
              <w:rPr>
                <w:rFonts w:hint="cs"/>
                <w:rtl/>
              </w:rPr>
              <w:t>عدم القدرة على</w:t>
            </w:r>
            <w:r w:rsidRPr="00BA23BD">
              <w:rPr>
                <w:rtl/>
              </w:rPr>
              <w:t xml:space="preserve"> استيعاب هذه الزيادة في ميزانية الفترة </w:t>
            </w:r>
            <w:r w:rsidRPr="00BA23BD">
              <w:rPr>
                <w:cs/>
              </w:rPr>
              <w:t>‎</w:t>
            </w:r>
            <w:r w:rsidRPr="00BA23BD">
              <w:t>2025-2024</w:t>
            </w:r>
            <w:r w:rsidRPr="00BA23BD">
              <w:rPr>
                <w:rtl/>
              </w:rPr>
              <w:t xml:space="preserve">‏، </w:t>
            </w:r>
            <w:r>
              <w:rPr>
                <w:rFonts w:hint="cs"/>
                <w:rtl/>
              </w:rPr>
              <w:t>يُؤذن</w:t>
            </w:r>
            <w:r w:rsidRPr="00BA23B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</w:t>
            </w:r>
            <w:r w:rsidRPr="00BA23BD">
              <w:rPr>
                <w:rtl/>
              </w:rPr>
              <w:t xml:space="preserve">لأمين العام، </w:t>
            </w:r>
            <w:r>
              <w:rPr>
                <w:rFonts w:hint="cs"/>
                <w:rtl/>
              </w:rPr>
              <w:t>وفقاً للقرار</w:t>
            </w:r>
            <w:r w:rsidRPr="00BA23BD">
              <w:rPr>
                <w:rtl/>
              </w:rPr>
              <w:t xml:space="preserve"> </w:t>
            </w:r>
            <w:r w:rsidRPr="00BA23BD">
              <w:t>1417</w:t>
            </w:r>
            <w:r>
              <w:rPr>
                <w:rFonts w:hint="cs"/>
                <w:rtl/>
              </w:rPr>
              <w:t xml:space="preserve"> الصادر عن المجلس،</w:t>
            </w:r>
            <w:r w:rsidRPr="00BA23BD">
              <w:rPr>
                <w:rtl/>
              </w:rPr>
              <w:t xml:space="preserve"> أثناء تنفيذ ميزانية الفترة </w:t>
            </w:r>
            <w:r w:rsidRPr="00BA23BD">
              <w:rPr>
                <w:cs/>
              </w:rPr>
              <w:t>‎</w:t>
            </w:r>
            <w:r w:rsidRPr="00BA23BD">
              <w:t>2025-2024</w:t>
            </w:r>
            <w:r w:rsidRPr="00BA23BD">
              <w:rPr>
                <w:rtl/>
              </w:rPr>
              <w:t xml:space="preserve">‏، </w:t>
            </w:r>
            <w:r>
              <w:rPr>
                <w:rFonts w:hint="cs"/>
                <w:rtl/>
              </w:rPr>
              <w:t>ب</w:t>
            </w:r>
            <w:r w:rsidRPr="00BA23BD">
              <w:rPr>
                <w:rtl/>
              </w:rPr>
              <w:t xml:space="preserve">تعديل الاعتمادات </w:t>
            </w:r>
            <w:r>
              <w:rPr>
                <w:rFonts w:hint="cs"/>
                <w:rtl/>
              </w:rPr>
              <w:t>المتعلقة</w:t>
            </w:r>
            <w:r w:rsidRPr="00BA23BD">
              <w:rPr>
                <w:rtl/>
              </w:rPr>
              <w:t xml:space="preserve"> بالنفقات (مثل زيادة الأجور الداخلة في حساب المعاش التقاعدي </w:t>
            </w:r>
            <w:r>
              <w:rPr>
                <w:rFonts w:hint="cs"/>
                <w:rtl/>
              </w:rPr>
              <w:t>وتسويات</w:t>
            </w:r>
            <w:r w:rsidRPr="00BA23BD">
              <w:rPr>
                <w:rtl/>
              </w:rPr>
              <w:t xml:space="preserve"> مقر العمل المطبقة في جنيف، </w:t>
            </w:r>
            <w:r>
              <w:rPr>
                <w:rFonts w:hint="cs"/>
                <w:rtl/>
              </w:rPr>
              <w:t>على النحو المعتمد في</w:t>
            </w:r>
            <w:r w:rsidRPr="00BA23BD">
              <w:rPr>
                <w:rtl/>
              </w:rPr>
              <w:t xml:space="preserve"> النظام الموحد للأمم المتحدة) من خلال استخدام حساب الاحتياطي</w:t>
            </w:r>
            <w:r w:rsidRPr="00BA23BD">
              <w:rPr>
                <w:cs/>
              </w:rPr>
              <w:t>‎</w:t>
            </w:r>
            <w:r>
              <w:rPr>
                <w:rFonts w:hint="cs"/>
                <w:rtl/>
              </w:rPr>
              <w:t>.</w:t>
            </w:r>
            <w:r>
              <w:rPr>
                <w:rStyle w:val="FootnoteReference"/>
                <w:rtl/>
              </w:rPr>
              <w:footnoteReference w:id="1"/>
            </w:r>
          </w:p>
          <w:p w14:paraId="22B0D983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75954509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7A867149" w14:textId="46CBF856" w:rsidR="007B0AA0" w:rsidRDefault="0018318C" w:rsidP="004B6466">
            <w:pPr>
              <w:spacing w:after="120"/>
              <w:rPr>
                <w:rtl/>
                <w:lang w:bidi="ar-EG"/>
              </w:rPr>
            </w:pPr>
            <w:hyperlink r:id="rId8" w:history="1">
              <w:r w:rsidR="00803A8D" w:rsidRPr="007A568E">
                <w:rPr>
                  <w:rStyle w:val="Hyperlink"/>
                  <w:rFonts w:hint="cs"/>
                  <w:i/>
                  <w:iCs/>
                  <w:rtl/>
                </w:rPr>
                <w:t>القرار 46</w:t>
              </w:r>
            </w:hyperlink>
            <w:r w:rsidR="00803A8D" w:rsidRPr="007A568E">
              <w:rPr>
                <w:rFonts w:hint="cs"/>
                <w:i/>
                <w:iCs/>
                <w:rtl/>
              </w:rPr>
              <w:t xml:space="preserve"> (كيوتو، 1994) لمؤتمر المندوبين المفوضين؛ </w:t>
            </w:r>
            <w:hyperlink r:id="rId9" w:history="1">
              <w:r w:rsidR="00803A8D" w:rsidRPr="007A568E">
                <w:rPr>
                  <w:rStyle w:val="Hyperlink"/>
                  <w:rFonts w:hint="cs"/>
                  <w:i/>
                  <w:iCs/>
                  <w:rtl/>
                </w:rPr>
                <w:t>القرار 647</w:t>
              </w:r>
            </w:hyperlink>
            <w:r w:rsidR="00803A8D" w:rsidRPr="007A568E">
              <w:rPr>
                <w:i/>
                <w:iCs/>
                <w:rtl/>
              </w:rPr>
              <w:t xml:space="preserve"> </w:t>
            </w:r>
            <w:r w:rsidR="00803A8D" w:rsidRPr="007A568E">
              <w:rPr>
                <w:rFonts w:hint="cs"/>
                <w:i/>
                <w:iCs/>
                <w:rtl/>
              </w:rPr>
              <w:t xml:space="preserve">الصادر عن </w:t>
            </w:r>
            <w:r w:rsidR="00803A8D" w:rsidRPr="007A568E">
              <w:rPr>
                <w:i/>
                <w:iCs/>
                <w:rtl/>
              </w:rPr>
              <w:t xml:space="preserve">المجلس </w:t>
            </w:r>
            <w:r w:rsidR="00803A8D" w:rsidRPr="007A568E">
              <w:rPr>
                <w:i/>
                <w:iCs/>
                <w:cs/>
              </w:rPr>
              <w:t>‎</w:t>
            </w:r>
            <w:r w:rsidR="00803A8D" w:rsidRPr="007A568E">
              <w:rPr>
                <w:i/>
                <w:iCs/>
                <w:rtl/>
              </w:rPr>
              <w:t>(‏</w:t>
            </w:r>
            <w:r w:rsidR="00803A8D" w:rsidRPr="007A568E">
              <w:rPr>
                <w:i/>
                <w:iCs/>
                <w:lang w:val="en-GB"/>
              </w:rPr>
              <w:t>C-1969</w:t>
            </w:r>
            <w:r w:rsidR="00803A8D" w:rsidRPr="007A568E">
              <w:rPr>
                <w:i/>
                <w:iCs/>
                <w:rtl/>
              </w:rPr>
              <w:t xml:space="preserve">‏، </w:t>
            </w:r>
            <w:r w:rsidR="00803A8D" w:rsidRPr="007A568E">
              <w:rPr>
                <w:i/>
                <w:iCs/>
                <w:color w:val="000000"/>
                <w:rtl/>
              </w:rPr>
              <w:t>المعدَّل آخر مرة في دورة المجلس لعام 2003</w:t>
            </w:r>
            <w:r w:rsidR="00803A8D" w:rsidRPr="007A568E">
              <w:rPr>
                <w:i/>
                <w:iCs/>
                <w:rtl/>
              </w:rPr>
              <w:t>)</w:t>
            </w:r>
          </w:p>
        </w:tc>
      </w:tr>
    </w:tbl>
    <w:p w14:paraId="464DDEBF" w14:textId="77777777" w:rsidR="00E61BE8" w:rsidRDefault="00E61BE8" w:rsidP="00E61BE8">
      <w:pPr>
        <w:rPr>
          <w:rtl/>
          <w:lang w:bidi="ar-EG"/>
        </w:rPr>
      </w:pPr>
    </w:p>
    <w:p w14:paraId="34670E11" w14:textId="77777777" w:rsidR="00F50E3F" w:rsidRDefault="00F50E3F" w:rsidP="002B2D4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7EC9174" w14:textId="27708724" w:rsidR="00803A8D" w:rsidRPr="000E746B" w:rsidRDefault="00803A8D" w:rsidP="00E77EDD">
      <w:pPr>
        <w:pStyle w:val="Heading1"/>
        <w:rPr>
          <w:rtl/>
        </w:rPr>
      </w:pPr>
      <w:r w:rsidRPr="000E746B">
        <w:rPr>
          <w:rtl/>
        </w:rPr>
        <w:lastRenderedPageBreak/>
        <w:t>أولاً</w:t>
      </w:r>
      <w:r>
        <w:rPr>
          <w:rtl/>
        </w:rPr>
        <w:tab/>
      </w:r>
      <w:r w:rsidRPr="000E746B">
        <w:rPr>
          <w:rtl/>
        </w:rPr>
        <w:t>شروط خدمة الموظفين المعينين</w:t>
      </w:r>
    </w:p>
    <w:p w14:paraId="5994FB30" w14:textId="3E043A54" w:rsidR="00803A8D" w:rsidRDefault="00803A8D" w:rsidP="00E77EDD">
      <w:pPr>
        <w:pStyle w:val="Heading2"/>
        <w:rPr>
          <w:rtl/>
        </w:rPr>
      </w:pPr>
      <w:r w:rsidRPr="000E746B">
        <w:rPr>
          <w:rFonts w:hint="cs"/>
          <w:rtl/>
        </w:rPr>
        <w:t>ألف</w:t>
      </w:r>
      <w:r w:rsidR="00E77EDD">
        <w:rPr>
          <w:rFonts w:hint="cs"/>
          <w:rtl/>
        </w:rPr>
        <w:t>)</w:t>
      </w:r>
      <w:r w:rsidRPr="000E746B">
        <w:rPr>
          <w:rtl/>
        </w:rPr>
        <w:tab/>
      </w:r>
      <w:r w:rsidRPr="0041151E">
        <w:rPr>
          <w:rtl/>
        </w:rPr>
        <w:t>موظفو الفئتين الفنية والعليا</w:t>
      </w:r>
    </w:p>
    <w:p w14:paraId="4375376E" w14:textId="7BF3A309" w:rsidR="00803A8D" w:rsidRDefault="00803A8D" w:rsidP="00803A8D">
      <w:pPr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Pr="0041151E">
        <w:rPr>
          <w:rtl/>
        </w:rPr>
        <w:t>قررت الجمعية العامة للأمم المتحدة</w:t>
      </w:r>
      <w:r w:rsidR="00E77EDD">
        <w:rPr>
          <w:rFonts w:hint="cs"/>
          <w:rtl/>
        </w:rPr>
        <w:t> </w:t>
      </w:r>
      <w:r w:rsidR="00E77EDD">
        <w:t>(UNGA)</w:t>
      </w:r>
      <w:r w:rsidRPr="0041151E">
        <w:rPr>
          <w:rtl/>
        </w:rPr>
        <w:t xml:space="preserve"> في دورتها الثامنة والسبعين (</w:t>
      </w:r>
      <w:r w:rsidRPr="0041151E">
        <w:rPr>
          <w:cs/>
        </w:rPr>
        <w:t>‎</w:t>
      </w:r>
      <w:r w:rsidRPr="0041151E">
        <w:t>2023</w:t>
      </w:r>
      <w:r w:rsidRPr="0041151E">
        <w:rPr>
          <w:rtl/>
        </w:rPr>
        <w:t>) ‏عدم اتخاذ أي إجراء بشأن البند المعنون "النظام الموحد للأمم المتحدة" المتعلق بشروط الخدمة في النظام الموحد للأمم المتحدة.</w:t>
      </w:r>
      <w:r w:rsidRPr="0041151E">
        <w:rPr>
          <w:cs/>
        </w:rPr>
        <w:t>‎</w:t>
      </w:r>
      <w:r>
        <w:rPr>
          <w:rStyle w:val="FootnoteReference"/>
          <w:rtl/>
        </w:rPr>
        <w:footnoteReference w:id="2"/>
      </w:r>
    </w:p>
    <w:p w14:paraId="02DC4C62" w14:textId="6ECDD153" w:rsidR="00803A8D" w:rsidRDefault="00803A8D" w:rsidP="00803A8D">
      <w:pPr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Pr="0041151E">
        <w:rPr>
          <w:rtl/>
        </w:rPr>
        <w:t>تم تنفيذ القرارات التي اتخذتها لجنة الخدمة المدنية الدولية</w:t>
      </w:r>
      <w:r w:rsidR="00E77EDD">
        <w:rPr>
          <w:rFonts w:hint="cs"/>
          <w:rtl/>
        </w:rPr>
        <w:t> </w:t>
      </w:r>
      <w:r w:rsidR="00E77EDD">
        <w:t>(ICSC)</w:t>
      </w:r>
      <w:r w:rsidRPr="0041151E">
        <w:rPr>
          <w:rtl/>
        </w:rPr>
        <w:t xml:space="preserve"> والتغييرات التي أدخلت وفقا</w:t>
      </w:r>
      <w:r>
        <w:rPr>
          <w:rFonts w:hint="cs"/>
          <w:rtl/>
        </w:rPr>
        <w:t>ً</w:t>
      </w:r>
      <w:r w:rsidRPr="0041151E">
        <w:rPr>
          <w:rtl/>
        </w:rPr>
        <w:t xml:space="preserve"> للإجراءات </w:t>
      </w:r>
      <w:r>
        <w:rPr>
          <w:rFonts w:hint="cs"/>
          <w:rtl/>
        </w:rPr>
        <w:t>المعمول بها</w:t>
      </w:r>
      <w:r w:rsidRPr="0041151E">
        <w:rPr>
          <w:rtl/>
        </w:rPr>
        <w:t xml:space="preserve"> </w:t>
      </w:r>
      <w:r>
        <w:rPr>
          <w:rFonts w:hint="cs"/>
          <w:rtl/>
        </w:rPr>
        <w:t xml:space="preserve">في </w:t>
      </w:r>
      <w:r w:rsidRPr="0041151E">
        <w:rPr>
          <w:rtl/>
        </w:rPr>
        <w:t xml:space="preserve">لجنة الخدمة المدنية الدولية بموجب المادة </w:t>
      </w:r>
      <w:r w:rsidRPr="0041151E">
        <w:rPr>
          <w:cs/>
        </w:rPr>
        <w:t>‎</w:t>
      </w:r>
      <w:r w:rsidRPr="0041151E">
        <w:t>11</w:t>
      </w:r>
      <w:r w:rsidRPr="0041151E">
        <w:rPr>
          <w:rtl/>
        </w:rPr>
        <w:t xml:space="preserve"> ‏على النحو المبين أدناه.</w:t>
      </w:r>
      <w:r w:rsidRPr="0041151E">
        <w:rPr>
          <w:cs/>
        </w:rPr>
        <w:t>‎</w:t>
      </w:r>
    </w:p>
    <w:p w14:paraId="586B01C6" w14:textId="77777777" w:rsidR="00803A8D" w:rsidRPr="007539AD" w:rsidRDefault="00803A8D" w:rsidP="00E77EDD">
      <w:pPr>
        <w:pStyle w:val="Headingb"/>
        <w:rPr>
          <w:rtl/>
          <w:lang w:val="en-GB"/>
        </w:rPr>
      </w:pPr>
      <w:r w:rsidRPr="007539AD">
        <w:rPr>
          <w:rFonts w:hint="cs"/>
          <w:rtl/>
          <w:lang w:val="en-GB"/>
        </w:rPr>
        <w:t>الأجر الداخل في حساب المعاش التقاعدي</w:t>
      </w:r>
    </w:p>
    <w:p w14:paraId="1C2FEF49" w14:textId="68E4478C" w:rsidR="00803A8D" w:rsidRDefault="00803A8D" w:rsidP="00803A8D">
      <w:pPr>
        <w:rPr>
          <w:lang w:val="en-GB"/>
        </w:rPr>
      </w:pPr>
      <w:r>
        <w:rPr>
          <w:rFonts w:hint="cs"/>
          <w:rtl/>
          <w:lang w:val="en-GB"/>
        </w:rPr>
        <w:t>3</w:t>
      </w:r>
      <w:r>
        <w:rPr>
          <w:rtl/>
          <w:lang w:val="en-GB"/>
        </w:rPr>
        <w:tab/>
      </w:r>
      <w:r>
        <w:rPr>
          <w:rFonts w:hint="cs"/>
          <w:rtl/>
          <w:lang w:val="en-GB"/>
        </w:rPr>
        <w:t>وفقاً</w:t>
      </w:r>
      <w:r w:rsidRPr="00250602">
        <w:rPr>
          <w:rtl/>
          <w:lang w:val="en-GB"/>
        </w:rPr>
        <w:t xml:space="preserve"> للإجراءات المعمول بها في لجنة الخدمة المدنية الدولية، يعاد حساب جدول الأجر الداخل في حساب المعاش التقاعدي </w:t>
      </w:r>
      <w:r>
        <w:rPr>
          <w:rFonts w:hint="cs"/>
          <w:rtl/>
          <w:lang w:val="en-GB"/>
        </w:rPr>
        <w:t>للفئتين</w:t>
      </w:r>
      <w:r w:rsidRPr="00250602">
        <w:rPr>
          <w:rtl/>
          <w:lang w:val="en-GB"/>
        </w:rPr>
        <w:t xml:space="preserve"> الفنية </w:t>
      </w:r>
      <w:r>
        <w:rPr>
          <w:rFonts w:hint="cs"/>
          <w:rtl/>
          <w:lang w:val="en-GB"/>
        </w:rPr>
        <w:t>و</w:t>
      </w:r>
      <w:r w:rsidRPr="00250602">
        <w:rPr>
          <w:rtl/>
          <w:lang w:val="en-GB"/>
        </w:rPr>
        <w:t>العليا عند كل استعراض للجدول الموحد للاقتطاعات الإلزامية من مرتبات الموظفين، باستخدام صيغة الأجر الداخل في حساب المعاش التقاعدي.</w:t>
      </w:r>
      <w:r>
        <w:rPr>
          <w:rFonts w:hint="cs"/>
          <w:rtl/>
          <w:lang w:val="en-GB"/>
        </w:rPr>
        <w:t xml:space="preserve"> </w:t>
      </w:r>
      <w:r w:rsidRPr="00250602">
        <w:rPr>
          <w:rtl/>
          <w:lang w:val="en-GB"/>
        </w:rPr>
        <w:t xml:space="preserve">وعلى الرغم من عدم إدخال أي تغيير على الجدول الموحد للاقتطاعات الإلزامية من مرتبات الموظفين، </w:t>
      </w:r>
      <w:r>
        <w:rPr>
          <w:rFonts w:hint="cs"/>
          <w:rtl/>
          <w:lang w:val="en-GB"/>
        </w:rPr>
        <w:t>أسفرت</w:t>
      </w:r>
      <w:r w:rsidRPr="00250602">
        <w:rPr>
          <w:rtl/>
          <w:lang w:val="en-GB"/>
        </w:rPr>
        <w:t xml:space="preserve"> إعادة الحساب عن زيادة في جدول الأجر الداخل في حساب المعاش التقاعدي. </w:t>
      </w:r>
      <w:r>
        <w:rPr>
          <w:rFonts w:hint="cs"/>
          <w:rtl/>
          <w:lang w:val="en-GB"/>
        </w:rPr>
        <w:t>وأصبح</w:t>
      </w:r>
      <w:r w:rsidRPr="00250602">
        <w:rPr>
          <w:rtl/>
          <w:lang w:val="en-GB"/>
        </w:rPr>
        <w:t xml:space="preserve"> جدول الأجور الداخل في حساب المعاش التقاعدي المعاد حسابه </w:t>
      </w:r>
      <w:r>
        <w:rPr>
          <w:rFonts w:hint="cs"/>
          <w:rtl/>
          <w:lang w:val="en-GB"/>
        </w:rPr>
        <w:t>ساري المفعول</w:t>
      </w:r>
      <w:r w:rsidRPr="00250602">
        <w:rPr>
          <w:rtl/>
          <w:lang w:val="en-GB"/>
        </w:rPr>
        <w:t xml:space="preserve"> اعتبارا</w:t>
      </w:r>
      <w:r>
        <w:rPr>
          <w:rFonts w:hint="cs"/>
          <w:rtl/>
          <w:lang w:val="en-GB"/>
        </w:rPr>
        <w:t>ً</w:t>
      </w:r>
      <w:r w:rsidRPr="00250602">
        <w:rPr>
          <w:rtl/>
          <w:lang w:val="en-GB"/>
        </w:rPr>
        <w:t xml:space="preserve"> من </w:t>
      </w:r>
      <w:r>
        <w:rPr>
          <w:rFonts w:hint="cs"/>
          <w:rtl/>
          <w:lang w:val="en-GB"/>
        </w:rPr>
        <w:t>1 ي</w:t>
      </w:r>
      <w:r w:rsidRPr="00250602">
        <w:rPr>
          <w:rtl/>
          <w:lang w:val="en-GB"/>
        </w:rPr>
        <w:t>ناير 2024.</w:t>
      </w:r>
    </w:p>
    <w:p w14:paraId="75FB92A4" w14:textId="3A4850FD" w:rsidR="00803A8D" w:rsidRDefault="00803A8D" w:rsidP="00803A8D">
      <w:pPr>
        <w:rPr>
          <w:lang w:val="en-GB"/>
        </w:rPr>
      </w:pPr>
      <w:r>
        <w:rPr>
          <w:rFonts w:hint="cs"/>
          <w:rtl/>
          <w:lang w:val="en-GB"/>
        </w:rPr>
        <w:t>4</w:t>
      </w:r>
      <w:r>
        <w:rPr>
          <w:rtl/>
          <w:lang w:val="en-GB"/>
        </w:rPr>
        <w:tab/>
      </w:r>
      <w:r>
        <w:rPr>
          <w:rFonts w:hint="cs"/>
          <w:rtl/>
          <w:lang w:val="en-GB"/>
        </w:rPr>
        <w:t>و</w:t>
      </w:r>
      <w:r w:rsidRPr="002C5EBE">
        <w:rPr>
          <w:rtl/>
          <w:lang w:val="en-GB"/>
        </w:rPr>
        <w:t>اعتباراً من ‏</w:t>
      </w:r>
      <w:r w:rsidRPr="002C5EBE">
        <w:rPr>
          <w:cs/>
          <w:lang w:val="en-GB"/>
        </w:rPr>
        <w:t>‎</w:t>
      </w:r>
      <w:r w:rsidRPr="002C5EBE">
        <w:rPr>
          <w:lang w:val="en-GB"/>
        </w:rPr>
        <w:t>1</w:t>
      </w:r>
      <w:r w:rsidRPr="002C5EBE">
        <w:rPr>
          <w:cs/>
          <w:lang w:val="en-GB"/>
        </w:rPr>
        <w:t>‎</w:t>
      </w:r>
      <w:r w:rsidRPr="002C5EBE">
        <w:rPr>
          <w:rtl/>
          <w:lang w:val="en-GB"/>
        </w:rPr>
        <w:t>‏ فبراير ‏</w:t>
      </w:r>
      <w:r w:rsidRPr="002C5EBE">
        <w:rPr>
          <w:cs/>
          <w:lang w:val="en-GB"/>
        </w:rPr>
        <w:t>‎</w:t>
      </w:r>
      <w:r>
        <w:rPr>
          <w:lang w:val="en-GB"/>
        </w:rPr>
        <w:t>2024</w:t>
      </w:r>
      <w:r w:rsidRPr="002C5EBE">
        <w:rPr>
          <w:cs/>
          <w:lang w:val="en-GB"/>
        </w:rPr>
        <w:t>‎</w:t>
      </w:r>
      <w:r w:rsidRPr="002C5EBE">
        <w:rPr>
          <w:rtl/>
          <w:lang w:val="en-GB"/>
        </w:rPr>
        <w:t>، تغير تصنيف تسوية مقر العمل في نيويورك من المضاعِف ‏</w:t>
      </w:r>
      <w:r w:rsidRPr="002C5EBE">
        <w:rPr>
          <w:cs/>
          <w:lang w:val="en-GB"/>
        </w:rPr>
        <w:t>‎</w:t>
      </w:r>
      <w:r>
        <w:rPr>
          <w:lang w:val="en-GB"/>
        </w:rPr>
        <w:t>80,5</w:t>
      </w:r>
      <w:r w:rsidRPr="002C5EBE">
        <w:rPr>
          <w:cs/>
          <w:lang w:val="en-GB"/>
        </w:rPr>
        <w:t>‎</w:t>
      </w:r>
      <w:r w:rsidRPr="002C5EBE">
        <w:rPr>
          <w:rtl/>
          <w:lang w:val="en-GB"/>
        </w:rPr>
        <w:t>‏ إلى المضاعِف ‏</w:t>
      </w:r>
      <w:r w:rsidRPr="002C5EBE">
        <w:rPr>
          <w:cs/>
          <w:lang w:val="en-GB"/>
        </w:rPr>
        <w:t>‎</w:t>
      </w:r>
      <w:r>
        <w:rPr>
          <w:lang w:val="en-GB"/>
        </w:rPr>
        <w:t>88,4</w:t>
      </w:r>
      <w:r w:rsidRPr="002C5EBE">
        <w:rPr>
          <w:cs/>
          <w:lang w:val="en-GB"/>
        </w:rPr>
        <w:t>‎</w:t>
      </w:r>
      <w:r w:rsidRPr="002C5EBE">
        <w:rPr>
          <w:rtl/>
          <w:lang w:val="en-GB"/>
        </w:rPr>
        <w:t>، ‏مما أدى إلى زيادة في الأجر الصافي لموظفي الفئتين الفنية والعُليا في نيويورك</w:t>
      </w:r>
      <w:r>
        <w:rPr>
          <w:rFonts w:hint="cs"/>
          <w:rtl/>
          <w:lang w:val="en-GB"/>
        </w:rPr>
        <w:t xml:space="preserve"> بنسبة </w:t>
      </w:r>
      <w:r>
        <w:rPr>
          <w:lang w:val="en-GB"/>
        </w:rPr>
        <w:t>18</w:t>
      </w:r>
      <w:r w:rsidR="00C62D1E">
        <w:rPr>
          <w:lang w:val="en-GB"/>
        </w:rPr>
        <w:t>0</w:t>
      </w:r>
      <w:r>
        <w:rPr>
          <w:lang w:val="en-GB"/>
        </w:rPr>
        <w:t>,</w:t>
      </w:r>
      <w:r w:rsidR="00C62D1E">
        <w:rPr>
          <w:lang w:val="en-GB"/>
        </w:rPr>
        <w:t>5</w:t>
      </w:r>
      <w:r>
        <w:rPr>
          <w:lang w:val="en-GB"/>
        </w:rPr>
        <w:t>/18</w:t>
      </w:r>
      <w:r w:rsidR="00C62D1E">
        <w:t>8</w:t>
      </w:r>
      <w:r>
        <w:rPr>
          <w:lang w:val="en-GB"/>
        </w:rPr>
        <w:t>,</w:t>
      </w:r>
      <w:r w:rsidR="00C62D1E">
        <w:rPr>
          <w:lang w:val="en-GB"/>
        </w:rPr>
        <w:t>4</w:t>
      </w:r>
      <w:r w:rsidRPr="002C5EBE">
        <w:rPr>
          <w:rtl/>
          <w:lang w:val="en-GB"/>
        </w:rPr>
        <w:t xml:space="preserve">. </w:t>
      </w:r>
      <w:r>
        <w:rPr>
          <w:rFonts w:hint="cs"/>
          <w:rtl/>
          <w:lang w:val="en-GB"/>
        </w:rPr>
        <w:t>و</w:t>
      </w:r>
      <w:r w:rsidRPr="002C5EBE">
        <w:rPr>
          <w:rtl/>
          <w:lang w:val="en-GB"/>
        </w:rPr>
        <w:t>وفقاً لأحكام المادة ‏</w:t>
      </w:r>
      <w:r w:rsidRPr="002C5EBE">
        <w:rPr>
          <w:cs/>
          <w:lang w:val="en-GB"/>
        </w:rPr>
        <w:t>‎</w:t>
      </w:r>
      <w:r w:rsidRPr="002C5EBE">
        <w:rPr>
          <w:lang w:val="en-GB"/>
        </w:rPr>
        <w:t>5</w:t>
      </w:r>
      <w:r>
        <w:rPr>
          <w:lang w:val="en-GB"/>
        </w:rPr>
        <w:t>1</w:t>
      </w:r>
      <w:r w:rsidRPr="002C5EBE">
        <w:rPr>
          <w:cs/>
          <w:lang w:val="en-GB"/>
        </w:rPr>
        <w:t>‎</w:t>
      </w:r>
      <w:r w:rsidRPr="002C5EBE">
        <w:rPr>
          <w:rtl/>
          <w:lang w:val="en-GB"/>
        </w:rPr>
        <w:t>‏(ب) ‏من النظام الأساسي للصندوق المشترك للمعاشات التقاعدية لموظفي الأمم المتحدة</w:t>
      </w:r>
      <w:r>
        <w:rPr>
          <w:rFonts w:hint="cs"/>
          <w:rtl/>
          <w:lang w:val="en-GB"/>
        </w:rPr>
        <w:t xml:space="preserve"> </w:t>
      </w:r>
      <w:r>
        <w:rPr>
          <w:lang w:val="en-GB"/>
        </w:rPr>
        <w:t>(UNJSPF)</w:t>
      </w:r>
      <w:r w:rsidR="00E77EDD">
        <w:rPr>
          <w:rStyle w:val="FootnoteReference"/>
          <w:rFonts w:hint="eastAsia"/>
          <w:sz w:val="2"/>
          <w:szCs w:val="2"/>
          <w:rtl/>
          <w:lang w:val="en-GB"/>
        </w:rPr>
        <w:t> </w:t>
      </w:r>
      <w:r w:rsidR="00E77EDD">
        <w:rPr>
          <w:rStyle w:val="FootnoteReference"/>
          <w:lang w:val="en-GB"/>
        </w:rPr>
        <w:footnoteReference w:id="3"/>
      </w:r>
      <w:r w:rsidRPr="002C5EBE">
        <w:rPr>
          <w:rtl/>
          <w:lang w:val="en-GB"/>
        </w:rPr>
        <w:t xml:space="preserve">، </w:t>
      </w:r>
      <w:r>
        <w:rPr>
          <w:rFonts w:hint="cs"/>
          <w:rtl/>
          <w:lang w:val="en-GB"/>
        </w:rPr>
        <w:t>عُدّل</w:t>
      </w:r>
      <w:r w:rsidRPr="002C5EBE">
        <w:rPr>
          <w:rtl/>
          <w:lang w:val="en-GB"/>
        </w:rPr>
        <w:t xml:space="preserve"> جدول الأجور الداخلة ‏في حساب المعاش التقاعدي المطبَّق على جميع موظفي الفئتين الفنية والعليا </w:t>
      </w:r>
      <w:r>
        <w:rPr>
          <w:rFonts w:hint="cs"/>
          <w:rtl/>
          <w:lang w:val="en-GB"/>
        </w:rPr>
        <w:t>في نفس التاريخ وبنفس النسبة المئوية.</w:t>
      </w:r>
    </w:p>
    <w:p w14:paraId="4F359696" w14:textId="5DE8AA23" w:rsidR="00803A8D" w:rsidRDefault="00803A8D" w:rsidP="00803A8D">
      <w:pPr>
        <w:rPr>
          <w:rtl/>
        </w:rPr>
      </w:pPr>
      <w:r>
        <w:rPr>
          <w:rFonts w:hint="cs"/>
          <w:rtl/>
          <w:lang w:val="en-GB"/>
        </w:rPr>
        <w:t>5</w:t>
      </w:r>
      <w:r>
        <w:rPr>
          <w:rtl/>
          <w:lang w:val="en-GB"/>
        </w:rPr>
        <w:tab/>
      </w:r>
      <w:r>
        <w:rPr>
          <w:color w:val="000000"/>
          <w:rtl/>
        </w:rPr>
        <w:t xml:space="preserve">وبناءً على ذلك، </w:t>
      </w:r>
      <w:r>
        <w:rPr>
          <w:rFonts w:hint="cs"/>
          <w:color w:val="000000"/>
          <w:rtl/>
        </w:rPr>
        <w:t>عُدّل</w:t>
      </w:r>
      <w:r>
        <w:rPr>
          <w:color w:val="000000"/>
          <w:rtl/>
        </w:rPr>
        <w:t xml:space="preserve"> جدول الأجور الداخلة في حساب المعاش التقاعدي لموظفي الفئتين الفنية والعليا</w:t>
      </w:r>
      <w:r>
        <w:rPr>
          <w:rFonts w:hint="cs"/>
          <w:color w:val="000000"/>
          <w:rtl/>
        </w:rPr>
        <w:t xml:space="preserve"> بزيادة قدرها </w:t>
      </w:r>
      <w:r>
        <w:rPr>
          <w:color w:val="000000"/>
          <w:lang w:val="en-GB"/>
        </w:rPr>
        <w:t>1,04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في المائة </w:t>
      </w:r>
      <w:r>
        <w:rPr>
          <w:color w:val="000000"/>
          <w:rtl/>
        </w:rPr>
        <w:t xml:space="preserve">وفقاً للحكم أعلاه، ودخل حيّز النفاذ في 1 فبراير </w:t>
      </w:r>
      <w:r>
        <w:rPr>
          <w:rFonts w:hint="cs"/>
          <w:color w:val="000000"/>
          <w:rtl/>
        </w:rPr>
        <w:t>2024</w:t>
      </w:r>
      <w:r>
        <w:rPr>
          <w:color w:val="000000"/>
        </w:rPr>
        <w:t>.</w:t>
      </w:r>
    </w:p>
    <w:p w14:paraId="55DEDFD1" w14:textId="41D3FB5F" w:rsidR="00803A8D" w:rsidRPr="00C3527A" w:rsidRDefault="00803A8D" w:rsidP="00E77EDD">
      <w:pPr>
        <w:pStyle w:val="Heading2"/>
        <w:rPr>
          <w:rtl/>
        </w:rPr>
      </w:pPr>
      <w:r w:rsidRPr="00C3527A">
        <w:rPr>
          <w:rFonts w:hint="cs"/>
          <w:rtl/>
        </w:rPr>
        <w:t>باء</w:t>
      </w:r>
      <w:r w:rsidR="00E77EDD">
        <w:rPr>
          <w:rFonts w:hint="cs"/>
          <w:rtl/>
        </w:rPr>
        <w:t>)</w:t>
      </w:r>
      <w:r w:rsidRPr="00C3527A">
        <w:rPr>
          <w:rFonts w:hint="cs"/>
          <w:rtl/>
        </w:rPr>
        <w:tab/>
        <w:t>موظفو فئة الخدمات العامة</w:t>
      </w:r>
    </w:p>
    <w:p w14:paraId="623D4145" w14:textId="77777777" w:rsidR="00803A8D" w:rsidRDefault="00803A8D" w:rsidP="00803A8D">
      <w:pPr>
        <w:rPr>
          <w:rtl/>
        </w:rPr>
      </w:pPr>
      <w:r>
        <w:rPr>
          <w:rFonts w:hint="cs"/>
          <w:rtl/>
        </w:rPr>
        <w:t>6</w:t>
      </w:r>
      <w:r>
        <w:rPr>
          <w:rtl/>
        </w:rPr>
        <w:tab/>
      </w:r>
      <w:r w:rsidRPr="00C3527A">
        <w:rPr>
          <w:rFonts w:hint="cs"/>
          <w:rtl/>
          <w:lang w:bidi="ar-EG"/>
        </w:rPr>
        <w:t xml:space="preserve">إن </w:t>
      </w:r>
      <w:r w:rsidRPr="00C3527A">
        <w:rPr>
          <w:rFonts w:hint="cs"/>
          <w:rtl/>
        </w:rPr>
        <w:t>منهجية لجنة الخدمة المدنية الدولية</w:t>
      </w:r>
      <w:r w:rsidRPr="00C3527A">
        <w:rPr>
          <w:rFonts w:hint="cs"/>
          <w:rtl/>
          <w:lang w:bidi="ar-EG"/>
        </w:rPr>
        <w:t xml:space="preserve"> فيما يتعلق</w:t>
      </w:r>
      <w:r w:rsidRPr="00C3527A">
        <w:rPr>
          <w:rFonts w:hint="cs"/>
          <w:rtl/>
        </w:rPr>
        <w:t xml:space="preserve"> بإدخال تعديلات مؤقتة على جدول المرتبات لموظفي فئة الخدمات العامة المقيمين في جنيف يتطلب التعديل في المرتبات الصافية لهؤلاء الموظفين كلما تطور مؤشر أسعار الاستهلاك</w:t>
      </w:r>
      <w:r w:rsidRPr="00C3527A">
        <w:rPr>
          <w:rFonts w:hint="eastAsia"/>
          <w:rtl/>
        </w:rPr>
        <w:t> </w:t>
      </w:r>
      <w:r w:rsidRPr="00C3527A">
        <w:t>(CPI)</w:t>
      </w:r>
      <w:r w:rsidRPr="00C3527A">
        <w:rPr>
          <w:rFonts w:hint="cs"/>
          <w:rtl/>
        </w:rPr>
        <w:t xml:space="preserve"> لجنيف بنسبة </w:t>
      </w:r>
      <w:r>
        <w:t>1,5</w:t>
      </w:r>
      <w:r w:rsidRPr="00C3527A">
        <w:rPr>
          <w:rFonts w:hint="cs"/>
          <w:rtl/>
        </w:rPr>
        <w:t xml:space="preserve"> في المائة مقابل المؤشر المستخدم في وقت التعديل السابق</w:t>
      </w:r>
      <w:r w:rsidRPr="00C3527A">
        <w:rPr>
          <w:rFonts w:hint="cs"/>
          <w:rtl/>
          <w:lang w:bidi="ar-EG"/>
        </w:rPr>
        <w:t>،</w:t>
      </w:r>
      <w:r w:rsidRPr="00C3527A">
        <w:rPr>
          <w:rFonts w:hint="cs"/>
          <w:rtl/>
        </w:rPr>
        <w:t xml:space="preserve"> أو كل </w:t>
      </w:r>
      <w:r w:rsidRPr="00C3527A">
        <w:t>12</w:t>
      </w:r>
      <w:r w:rsidRPr="00C3527A">
        <w:rPr>
          <w:rFonts w:hint="eastAsia"/>
          <w:rtl/>
          <w:lang w:bidi="ar-EG"/>
        </w:rPr>
        <w:t> </w:t>
      </w:r>
      <w:r w:rsidRPr="00C3527A">
        <w:rPr>
          <w:rFonts w:hint="cs"/>
          <w:rtl/>
          <w:lang w:bidi="ar-EG"/>
        </w:rPr>
        <w:t>شهراً، أيهما</w:t>
      </w:r>
      <w:r w:rsidRPr="00C3527A">
        <w:rPr>
          <w:rFonts w:hint="eastAsia"/>
          <w:rtl/>
          <w:lang w:bidi="ar-EG"/>
        </w:rPr>
        <w:t> </w:t>
      </w:r>
      <w:r w:rsidRPr="00C3527A">
        <w:rPr>
          <w:rFonts w:hint="cs"/>
          <w:rtl/>
          <w:lang w:bidi="ar-EG"/>
        </w:rPr>
        <w:t>أسبق</w:t>
      </w:r>
      <w:r>
        <w:rPr>
          <w:rFonts w:hint="cs"/>
          <w:rtl/>
          <w:lang w:bidi="ar-EG"/>
        </w:rPr>
        <w:t>.</w:t>
      </w:r>
      <w:r>
        <w:rPr>
          <w:rStyle w:val="FootnoteReference"/>
          <w:rtl/>
          <w:lang w:bidi="ar-EG"/>
        </w:rPr>
        <w:footnoteReference w:id="4"/>
      </w:r>
    </w:p>
    <w:p w14:paraId="62FDE6EE" w14:textId="77777777" w:rsidR="00803A8D" w:rsidRDefault="00803A8D" w:rsidP="00803A8D">
      <w:pPr>
        <w:rPr>
          <w:rtl/>
        </w:rPr>
      </w:pPr>
      <w:r>
        <w:rPr>
          <w:rFonts w:hint="cs"/>
          <w:rtl/>
        </w:rPr>
        <w:t>7</w:t>
      </w:r>
      <w:r>
        <w:rPr>
          <w:rtl/>
        </w:rPr>
        <w:tab/>
      </w:r>
      <w:r w:rsidRPr="00570A05">
        <w:rPr>
          <w:rFonts w:hint="cs"/>
          <w:rtl/>
          <w:lang w:bidi="ar-EG"/>
        </w:rPr>
        <w:t>ويبين تطور مؤشر أسعار الاستهلاك في جنيف من سبتمبر</w:t>
      </w:r>
      <w:r w:rsidRPr="00570A0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2022</w:t>
      </w:r>
      <w:r w:rsidRPr="00570A05">
        <w:rPr>
          <w:rFonts w:hint="cs"/>
          <w:rtl/>
          <w:lang w:bidi="ar-EG"/>
        </w:rPr>
        <w:t xml:space="preserve"> إلى سبتمبر</w:t>
      </w:r>
      <w:r w:rsidRPr="00570A0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2023</w:t>
      </w:r>
      <w:r w:rsidRPr="00570A05">
        <w:rPr>
          <w:rFonts w:hint="cs"/>
          <w:rtl/>
        </w:rPr>
        <w:t xml:space="preserve"> تغيراً صافياً</w:t>
      </w:r>
      <w:r w:rsidRPr="00570A05">
        <w:rPr>
          <w:rFonts w:hint="cs"/>
          <w:rtl/>
          <w:lang w:bidi="ar-EG"/>
        </w:rPr>
        <w:t xml:space="preserve"> في جداول المرتبات، وبعد مراعاة الضرائب المحلية، يمثل هذا التغير زيادة بمقدار </w:t>
      </w:r>
      <w:r>
        <w:rPr>
          <w:lang w:bidi="ar-EG"/>
        </w:rPr>
        <w:t>1,5</w:t>
      </w:r>
      <w:r w:rsidRPr="00570A05">
        <w:rPr>
          <w:rFonts w:hint="cs"/>
          <w:rtl/>
        </w:rPr>
        <w:t xml:space="preserve"> في المائة</w:t>
      </w:r>
      <w:r w:rsidRPr="00570A05">
        <w:rPr>
          <w:rFonts w:hint="cs"/>
          <w:rtl/>
          <w:lang w:bidi="ar-EG"/>
        </w:rPr>
        <w:t xml:space="preserve">. وبالتالي، تطبيقاً للإجراء المذكور أعلاه، قامت لجنة الخدمة المدنية الدولية بتحديث المرتبات الصافية لموظفي فئة الخدمات العامة في جنيف </w:t>
      </w:r>
      <w:r w:rsidRPr="00570A05">
        <w:rPr>
          <w:rFonts w:hint="cs"/>
          <w:rtl/>
        </w:rPr>
        <w:t>بناء على ذلك</w:t>
      </w:r>
      <w:r w:rsidRPr="00570A05">
        <w:rPr>
          <w:rFonts w:hint="cs"/>
          <w:rtl/>
          <w:lang w:bidi="ar-EG"/>
        </w:rPr>
        <w:t xml:space="preserve">، وكانت المراجعة الأخيرة هي المراجعة </w:t>
      </w:r>
      <w:r>
        <w:rPr>
          <w:rFonts w:hint="cs"/>
          <w:rtl/>
          <w:lang w:bidi="ar-EG"/>
        </w:rPr>
        <w:t>59</w:t>
      </w:r>
      <w:r w:rsidRPr="00570A05">
        <w:rPr>
          <w:rFonts w:hint="cs"/>
          <w:rtl/>
          <w:lang w:bidi="ar-EG"/>
        </w:rPr>
        <w:t xml:space="preserve"> النافذة اعتباراً من 1 سبتمبر </w:t>
      </w:r>
      <w:r>
        <w:rPr>
          <w:rFonts w:hint="cs"/>
          <w:rtl/>
          <w:lang w:bidi="ar-EG"/>
        </w:rPr>
        <w:t>2023</w:t>
      </w:r>
      <w:r w:rsidRPr="00570A05">
        <w:rPr>
          <w:rFonts w:hint="cs"/>
          <w:rtl/>
          <w:lang w:bidi="ar-EG"/>
        </w:rPr>
        <w:t>.</w:t>
      </w:r>
    </w:p>
    <w:p w14:paraId="419123C2" w14:textId="77777777" w:rsidR="00803A8D" w:rsidRPr="009D41EE" w:rsidRDefault="00803A8D" w:rsidP="00E77EDD">
      <w:pPr>
        <w:pStyle w:val="Heading1"/>
        <w:rPr>
          <w:rtl/>
        </w:rPr>
      </w:pPr>
      <w:r w:rsidRPr="009D41EE">
        <w:rPr>
          <w:rFonts w:hint="cs"/>
          <w:rtl/>
        </w:rPr>
        <w:lastRenderedPageBreak/>
        <w:t>ثانياً</w:t>
      </w:r>
      <w:r w:rsidRPr="009D41EE">
        <w:rPr>
          <w:rtl/>
        </w:rPr>
        <w:tab/>
        <w:t>شروط خدمة الموظفين المنتخبين</w:t>
      </w:r>
    </w:p>
    <w:p w14:paraId="7815A782" w14:textId="1FE27F5F" w:rsidR="00803A8D" w:rsidRDefault="004B6466" w:rsidP="00803A8D">
      <w:r>
        <w:rPr>
          <w:rFonts w:hint="cs"/>
          <w:rtl/>
        </w:rPr>
        <w:t>8</w:t>
      </w:r>
      <w:r>
        <w:rPr>
          <w:rtl/>
        </w:rPr>
        <w:tab/>
      </w:r>
      <w:r w:rsidR="00803A8D" w:rsidRPr="009D41EE">
        <w:rPr>
          <w:rtl/>
        </w:rPr>
        <w:t>ع</w:t>
      </w:r>
      <w:r w:rsidR="00803A8D">
        <w:rPr>
          <w:rFonts w:hint="cs"/>
          <w:rtl/>
        </w:rPr>
        <w:t>ُ</w:t>
      </w:r>
      <w:r w:rsidR="00803A8D" w:rsidRPr="009D41EE">
        <w:rPr>
          <w:rtl/>
        </w:rPr>
        <w:t>د</w:t>
      </w:r>
      <w:r w:rsidR="00803A8D">
        <w:rPr>
          <w:rFonts w:hint="cs"/>
          <w:rtl/>
        </w:rPr>
        <w:t>ّ</w:t>
      </w:r>
      <w:r w:rsidR="00803A8D" w:rsidRPr="009D41EE">
        <w:rPr>
          <w:rtl/>
        </w:rPr>
        <w:t>ل الأجر الداخل في حساب المعاش التقاعدي المطبق على الموظفين المنتخبين بنفس نسبة الأجر الداخل في حساب المعاش التقاعدي المطبق على الموظفين المعينين (انظر الفقرات من 3 إلى 5).</w:t>
      </w:r>
      <w:r w:rsidR="00803A8D">
        <w:rPr>
          <w:rFonts w:hint="cs"/>
          <w:rtl/>
        </w:rPr>
        <w:t xml:space="preserve"> وينتج عن ذلك زيادة في </w:t>
      </w:r>
      <w:r w:rsidR="00803A8D" w:rsidRPr="009D41EE">
        <w:rPr>
          <w:rtl/>
        </w:rPr>
        <w:t xml:space="preserve">الأجر الداخل في حساب المعاش التقاعدي بنسبة </w:t>
      </w:r>
      <w:r w:rsidR="00803A8D">
        <w:t>1,04</w:t>
      </w:r>
      <w:r w:rsidR="00803A8D" w:rsidRPr="009D41EE">
        <w:rPr>
          <w:rtl/>
        </w:rPr>
        <w:t xml:space="preserve"> في المائة، </w:t>
      </w:r>
      <w:r w:rsidR="00803A8D">
        <w:rPr>
          <w:rFonts w:hint="cs"/>
          <w:rtl/>
        </w:rPr>
        <w:t>على النحو الوارد في</w:t>
      </w:r>
      <w:r w:rsidR="00803A8D" w:rsidRPr="009D41EE">
        <w:rPr>
          <w:rtl/>
        </w:rPr>
        <w:t xml:space="preserve"> </w:t>
      </w:r>
      <w:r w:rsidR="00803A8D">
        <w:rPr>
          <w:rFonts w:hint="cs"/>
          <w:rtl/>
        </w:rPr>
        <w:t>الملحق</w:t>
      </w:r>
      <w:r w:rsidR="00803A8D" w:rsidRPr="009D41EE">
        <w:rPr>
          <w:rtl/>
        </w:rPr>
        <w:t xml:space="preserve"> </w:t>
      </w:r>
      <w:r w:rsidR="00803A8D">
        <w:rPr>
          <w:rFonts w:hint="cs"/>
          <w:rtl/>
        </w:rPr>
        <w:t>ب</w:t>
      </w:r>
      <w:r w:rsidR="00803A8D" w:rsidRPr="009D41EE">
        <w:rPr>
          <w:rtl/>
        </w:rPr>
        <w:t xml:space="preserve">هذه الوثيقة. وأدرجت </w:t>
      </w:r>
      <w:r w:rsidR="00803A8D">
        <w:rPr>
          <w:rFonts w:hint="cs"/>
          <w:rtl/>
        </w:rPr>
        <w:t>التكاليف</w:t>
      </w:r>
      <w:r w:rsidR="00803A8D" w:rsidRPr="009D41EE">
        <w:rPr>
          <w:rtl/>
        </w:rPr>
        <w:t xml:space="preserve"> الإضافية في الآثار المالية </w:t>
      </w:r>
      <w:r w:rsidR="00803A8D">
        <w:rPr>
          <w:rFonts w:hint="cs"/>
          <w:rtl/>
        </w:rPr>
        <w:t>الإجمالية البالغة</w:t>
      </w:r>
      <w:r w:rsidR="00803A8D" w:rsidRPr="009D41EE">
        <w:rPr>
          <w:rtl/>
        </w:rPr>
        <w:t xml:space="preserve"> </w:t>
      </w:r>
      <w:r w:rsidR="00803A8D" w:rsidRPr="009D41EE">
        <w:t>2 631 332</w:t>
      </w:r>
      <w:r w:rsidR="00803A8D">
        <w:rPr>
          <w:rFonts w:hint="cs"/>
          <w:rtl/>
        </w:rPr>
        <w:t xml:space="preserve"> </w:t>
      </w:r>
      <w:r w:rsidR="00803A8D" w:rsidRPr="009D41EE">
        <w:rPr>
          <w:rtl/>
        </w:rPr>
        <w:t>فرنكا</w:t>
      </w:r>
      <w:r w:rsidR="00803A8D">
        <w:rPr>
          <w:rFonts w:hint="cs"/>
          <w:rtl/>
        </w:rPr>
        <w:t>ً</w:t>
      </w:r>
      <w:r w:rsidR="00803A8D" w:rsidRPr="009D41EE">
        <w:rPr>
          <w:rtl/>
        </w:rPr>
        <w:t xml:space="preserve"> سويسريا</w:t>
      </w:r>
      <w:r w:rsidR="00803A8D">
        <w:rPr>
          <w:rFonts w:hint="cs"/>
          <w:rtl/>
        </w:rPr>
        <w:t>ً</w:t>
      </w:r>
      <w:r w:rsidR="00803A8D" w:rsidRPr="009D41EE">
        <w:rPr>
          <w:rtl/>
        </w:rPr>
        <w:t>.</w:t>
      </w:r>
    </w:p>
    <w:p w14:paraId="36AAFF5B" w14:textId="77777777" w:rsidR="00803A8D" w:rsidRPr="00C62D1E" w:rsidRDefault="00803A8D" w:rsidP="00C62D1E">
      <w:pPr>
        <w:spacing w:before="960"/>
        <w:rPr>
          <w:i/>
          <w:iCs/>
          <w:rtl/>
        </w:rPr>
      </w:pPr>
      <w:r w:rsidRPr="00C62D1E">
        <w:rPr>
          <w:rFonts w:hint="cs"/>
          <w:b/>
          <w:bCs/>
          <w:i/>
          <w:iCs/>
          <w:rtl/>
        </w:rPr>
        <w:t>الملحقات: 1</w:t>
      </w:r>
    </w:p>
    <w:p w14:paraId="59130B24" w14:textId="77777777" w:rsidR="00803A8D" w:rsidRDefault="00803A8D" w:rsidP="00803A8D">
      <w:pPr>
        <w:rPr>
          <w:rtl/>
        </w:rPr>
      </w:pPr>
    </w:p>
    <w:p w14:paraId="4A9F500D" w14:textId="77777777" w:rsidR="00803A8D" w:rsidRDefault="00803A8D" w:rsidP="00803A8D">
      <w:pPr>
        <w:rPr>
          <w:rtl/>
        </w:rPr>
      </w:pPr>
    </w:p>
    <w:p w14:paraId="5CCED2BF" w14:textId="77777777" w:rsidR="00803A8D" w:rsidRDefault="00803A8D" w:rsidP="00C62D1E">
      <w:pPr>
        <w:rPr>
          <w:rtl/>
        </w:rPr>
      </w:pPr>
      <w:r>
        <w:rPr>
          <w:rtl/>
        </w:rPr>
        <w:br w:type="page"/>
      </w:r>
    </w:p>
    <w:p w14:paraId="0577C2EE" w14:textId="77777777" w:rsidR="00803A8D" w:rsidRPr="0070229E" w:rsidRDefault="00803A8D" w:rsidP="00C62D1E">
      <w:pPr>
        <w:pStyle w:val="AnnexNo"/>
        <w:rPr>
          <w:rtl/>
        </w:rPr>
      </w:pPr>
      <w:r w:rsidRPr="0070229E">
        <w:rPr>
          <w:rFonts w:hint="cs"/>
          <w:rtl/>
        </w:rPr>
        <w:lastRenderedPageBreak/>
        <w:t>الملحـق</w:t>
      </w:r>
    </w:p>
    <w:p w14:paraId="5E7DDA42" w14:textId="77777777" w:rsidR="00803A8D" w:rsidRPr="0070229E" w:rsidRDefault="00803A8D" w:rsidP="00C62D1E">
      <w:pPr>
        <w:pStyle w:val="ResNo"/>
        <w:rPr>
          <w:rtl/>
          <w:lang w:bidi="ar-EG"/>
        </w:rPr>
      </w:pPr>
      <w:r w:rsidRPr="0070229E">
        <w:rPr>
          <w:rFonts w:hint="cs"/>
          <w:rtl/>
        </w:rPr>
        <w:t>مشـروع القـرار</w:t>
      </w:r>
      <w:r w:rsidRPr="0070229E">
        <w:rPr>
          <w:rFonts w:hint="cs"/>
          <w:rtl/>
          <w:lang w:bidi="ar-EG"/>
        </w:rPr>
        <w:t xml:space="preserve"> [...]</w:t>
      </w:r>
    </w:p>
    <w:p w14:paraId="1D2AFFDA" w14:textId="77777777" w:rsidR="00803A8D" w:rsidRPr="0070229E" w:rsidRDefault="00803A8D" w:rsidP="00C62D1E">
      <w:pPr>
        <w:pStyle w:val="Restitle"/>
        <w:rPr>
          <w:rtl/>
        </w:rPr>
      </w:pPr>
      <w:r w:rsidRPr="0070229E">
        <w:rPr>
          <w:rFonts w:hint="cs"/>
          <w:rtl/>
        </w:rPr>
        <w:t>شروط خدمة الموظفين المنتخبين في الاتحاد</w:t>
      </w:r>
    </w:p>
    <w:p w14:paraId="15A61AED" w14:textId="77777777" w:rsidR="00803A8D" w:rsidRPr="0070229E" w:rsidRDefault="00803A8D" w:rsidP="00C62D1E">
      <w:pPr>
        <w:pStyle w:val="Normalaftertitle"/>
        <w:rPr>
          <w:rtl/>
        </w:rPr>
      </w:pPr>
      <w:r w:rsidRPr="0070229E">
        <w:rPr>
          <w:rFonts w:hint="cs"/>
          <w:rtl/>
        </w:rPr>
        <w:t xml:space="preserve">إن </w:t>
      </w:r>
      <w:r w:rsidRPr="0070229E">
        <w:rPr>
          <w:rtl/>
        </w:rPr>
        <w:t>مجلس الاتحاد الدولي للاتصالات</w:t>
      </w:r>
      <w:r w:rsidRPr="0070229E">
        <w:rPr>
          <w:rFonts w:hint="cs"/>
          <w:rtl/>
        </w:rPr>
        <w:t>،</w:t>
      </w:r>
    </w:p>
    <w:p w14:paraId="2063A993" w14:textId="20E25E09" w:rsidR="00803A8D" w:rsidRPr="0070229E" w:rsidRDefault="00803A8D" w:rsidP="00C62D1E">
      <w:pPr>
        <w:pStyle w:val="Call"/>
        <w:rPr>
          <w:rtl/>
          <w:lang w:bidi="ar-EG"/>
        </w:rPr>
      </w:pPr>
      <w:r w:rsidRPr="0070229E">
        <w:rPr>
          <w:rFonts w:hint="cs"/>
          <w:rtl/>
          <w:lang w:bidi="ar-EG"/>
        </w:rPr>
        <w:t>إذ يذكّ</w:t>
      </w:r>
      <w:r w:rsidR="00C62D1E">
        <w:rPr>
          <w:rFonts w:hint="cs"/>
          <w:rtl/>
          <w:lang w:bidi="ar-EG"/>
        </w:rPr>
        <w:t>ِ</w:t>
      </w:r>
      <w:r w:rsidRPr="0070229E">
        <w:rPr>
          <w:rFonts w:hint="cs"/>
          <w:rtl/>
          <w:lang w:bidi="ar-EG"/>
        </w:rPr>
        <w:t xml:space="preserve">ر </w:t>
      </w:r>
    </w:p>
    <w:p w14:paraId="2A6D3E13" w14:textId="77777777" w:rsidR="00803A8D" w:rsidRPr="0070229E" w:rsidRDefault="00803A8D" w:rsidP="00803A8D">
      <w:pPr>
        <w:rPr>
          <w:rtl/>
          <w:lang w:bidi="ar-EG"/>
        </w:rPr>
      </w:pPr>
      <w:r w:rsidRPr="0070229E">
        <w:rPr>
          <w:rFonts w:hint="cs"/>
          <w:rtl/>
          <w:lang w:bidi="ar-EG"/>
        </w:rPr>
        <w:t>بالقرار</w:t>
      </w:r>
      <w:r w:rsidRPr="0070229E">
        <w:rPr>
          <w:rFonts w:hint="eastAsia"/>
          <w:rtl/>
          <w:lang w:bidi="ar-EG"/>
        </w:rPr>
        <w:t> </w:t>
      </w:r>
      <w:r w:rsidRPr="0070229E">
        <w:t>46</w:t>
      </w:r>
      <w:r w:rsidRPr="0070229E">
        <w:rPr>
          <w:rFonts w:hint="cs"/>
          <w:rtl/>
          <w:lang w:bidi="ar-EG"/>
        </w:rPr>
        <w:t xml:space="preserve"> (كيوتو،</w:t>
      </w:r>
      <w:r w:rsidRPr="0070229E">
        <w:rPr>
          <w:rFonts w:hint="eastAsia"/>
          <w:rtl/>
          <w:lang w:bidi="ar-EG"/>
        </w:rPr>
        <w:t> </w:t>
      </w:r>
      <w:r w:rsidRPr="0070229E">
        <w:t>1994</w:t>
      </w:r>
      <w:r w:rsidRPr="0070229E">
        <w:rPr>
          <w:rFonts w:hint="cs"/>
          <w:rtl/>
          <w:lang w:bidi="ar-EG"/>
        </w:rPr>
        <w:t>) لمؤتمر المندوبين المفوضين،</w:t>
      </w:r>
    </w:p>
    <w:p w14:paraId="3BF3384B" w14:textId="77777777" w:rsidR="00803A8D" w:rsidRPr="0070229E" w:rsidRDefault="00803A8D" w:rsidP="00C62D1E">
      <w:pPr>
        <w:pStyle w:val="Call"/>
        <w:rPr>
          <w:rtl/>
          <w:lang w:bidi="ar-EG"/>
        </w:rPr>
      </w:pPr>
      <w:r w:rsidRPr="0070229E">
        <w:rPr>
          <w:rFonts w:hint="cs"/>
          <w:rtl/>
          <w:lang w:bidi="ar-EG"/>
        </w:rPr>
        <w:t>وقد نظر</w:t>
      </w:r>
    </w:p>
    <w:p w14:paraId="7CC36378" w14:textId="77777777" w:rsidR="00803A8D" w:rsidRPr="0070229E" w:rsidRDefault="00803A8D" w:rsidP="00803A8D">
      <w:pPr>
        <w:rPr>
          <w:rtl/>
          <w:lang w:bidi="ar-EG"/>
        </w:rPr>
      </w:pPr>
      <w:r w:rsidRPr="0070229E">
        <w:rPr>
          <w:rFonts w:hint="cs"/>
          <w:rtl/>
          <w:lang w:bidi="ar-EG"/>
        </w:rPr>
        <w:t xml:space="preserve">في تقرير الأمينة العامة بشأن التدابير المتخذة داخل النظام الموحد للأمم المتحدة نتيجة للقرار </w:t>
      </w:r>
      <w:r>
        <w:t>70</w:t>
      </w:r>
      <w:r w:rsidRPr="0070229E">
        <w:t>/2</w:t>
      </w:r>
      <w:r>
        <w:t>44</w:t>
      </w:r>
      <w:r w:rsidRPr="0070229E">
        <w:rPr>
          <w:rFonts w:hint="cs"/>
          <w:rtl/>
          <w:lang w:bidi="ar-EG"/>
        </w:rPr>
        <w:t xml:space="preserve"> للجمعية العامة للأمم المتحدة فيما</w:t>
      </w:r>
      <w:r w:rsidRPr="0070229E">
        <w:rPr>
          <w:rFonts w:hint="eastAsia"/>
          <w:rtl/>
          <w:lang w:bidi="ar-EG"/>
        </w:rPr>
        <w:t> </w:t>
      </w:r>
      <w:r w:rsidRPr="0070229E">
        <w:rPr>
          <w:rFonts w:hint="cs"/>
          <w:rtl/>
          <w:lang w:bidi="ar-EG"/>
        </w:rPr>
        <w:t>يخص شروط الخدمة،</w:t>
      </w:r>
    </w:p>
    <w:p w14:paraId="6ECBE4B5" w14:textId="77777777" w:rsidR="00803A8D" w:rsidRPr="0070229E" w:rsidRDefault="00803A8D" w:rsidP="00C62D1E">
      <w:pPr>
        <w:pStyle w:val="Call"/>
        <w:rPr>
          <w:rtl/>
          <w:lang w:bidi="ar-EG"/>
        </w:rPr>
      </w:pPr>
      <w:r w:rsidRPr="0070229E">
        <w:rPr>
          <w:rFonts w:hint="cs"/>
          <w:rtl/>
          <w:lang w:bidi="ar-EG"/>
        </w:rPr>
        <w:t>يقـرر</w:t>
      </w:r>
    </w:p>
    <w:p w14:paraId="1F11E62C" w14:textId="77777777" w:rsidR="00803A8D" w:rsidRDefault="00803A8D" w:rsidP="00C62D1E">
      <w:pPr>
        <w:spacing w:after="120"/>
        <w:rPr>
          <w:rtl/>
          <w:lang w:bidi="ar-EG"/>
        </w:rPr>
      </w:pPr>
      <w:r w:rsidRPr="0070229E">
        <w:rPr>
          <w:rFonts w:hint="cs"/>
          <w:rtl/>
          <w:lang w:bidi="ar-EG"/>
        </w:rPr>
        <w:t>الموافقة على الأجر التالي الداخل في حساب المعاش التقاعدي اعتباراً من</w:t>
      </w:r>
      <w:r w:rsidRPr="0070229E">
        <w:rPr>
          <w:rFonts w:hint="eastAsia"/>
          <w:rtl/>
          <w:lang w:bidi="ar-EG"/>
        </w:rPr>
        <w:t> </w:t>
      </w:r>
      <w:r w:rsidRPr="0070229E">
        <w:t>1</w:t>
      </w:r>
      <w:r w:rsidRPr="0070229E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يناير و1 </w:t>
      </w:r>
      <w:r w:rsidRPr="0070229E">
        <w:rPr>
          <w:rFonts w:hint="cs"/>
          <w:rtl/>
          <w:lang w:bidi="ar-EG"/>
        </w:rPr>
        <w:t>فبراير</w:t>
      </w:r>
      <w:r w:rsidRPr="0070229E">
        <w:rPr>
          <w:rFonts w:hint="eastAsia"/>
          <w:rtl/>
          <w:lang w:bidi="ar-EG"/>
        </w:rPr>
        <w:t> </w:t>
      </w:r>
      <w:r>
        <w:rPr>
          <w:rFonts w:hint="cs"/>
          <w:rtl/>
          <w:lang w:bidi="ar-SY"/>
        </w:rPr>
        <w:t>2024</w:t>
      </w:r>
      <w:r w:rsidRPr="0070229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على التوالي </w:t>
      </w:r>
      <w:r w:rsidRPr="0070229E">
        <w:rPr>
          <w:rFonts w:hint="cs"/>
          <w:rtl/>
          <w:lang w:bidi="ar-EG"/>
        </w:rPr>
        <w:t>للموظفين المنتخبين في الاتحاد: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3361"/>
        <w:gridCol w:w="3604"/>
      </w:tblGrid>
      <w:tr w:rsidR="00803A8D" w:rsidRPr="000538AD" w14:paraId="169011A9" w14:textId="77777777" w:rsidTr="00C62D1E">
        <w:trPr>
          <w:jc w:val="right"/>
        </w:trPr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9106" w14:textId="77777777" w:rsidR="00803A8D" w:rsidRPr="000538AD" w:rsidRDefault="00803A8D" w:rsidP="00C62D1E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tLeast"/>
              <w:jc w:val="center"/>
              <w:rPr>
                <w:rFonts w:cstheme="minorBidi"/>
                <w:b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97B67" w14:textId="77777777" w:rsidR="00803A8D" w:rsidRPr="00DE1AED" w:rsidRDefault="00803A8D" w:rsidP="00C62D1E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tLeast"/>
              <w:jc w:val="center"/>
              <w:rPr>
                <w:b/>
                <w:bCs/>
                <w:rtl/>
              </w:rPr>
            </w:pPr>
            <w:r w:rsidRPr="00DE1AED">
              <w:rPr>
                <w:rFonts w:hint="cs"/>
                <w:b/>
                <w:bCs/>
                <w:rtl/>
              </w:rPr>
              <w:t>دولار أمريكي سنوياً</w:t>
            </w:r>
          </w:p>
        </w:tc>
      </w:tr>
      <w:tr w:rsidR="00803A8D" w:rsidRPr="0086255E" w14:paraId="685C5B0D" w14:textId="77777777" w:rsidTr="00C62D1E">
        <w:trPr>
          <w:jc w:val="right"/>
        </w:trPr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41CF" w14:textId="77777777" w:rsidR="00803A8D" w:rsidRPr="000538AD" w:rsidRDefault="00803A8D" w:rsidP="00C62D1E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tLeast"/>
              <w:jc w:val="center"/>
              <w:rPr>
                <w:rFonts w:asciiTheme="minorHAnsi" w:hAnsiTheme="minorHAnsi" w:cstheme="minorBidi"/>
                <w:b/>
                <w:szCs w:val="24"/>
                <w:lang w:val="fr-FR"/>
              </w:rPr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36BA1" w14:textId="77777777" w:rsidR="00803A8D" w:rsidRPr="0070229E" w:rsidRDefault="00803A8D" w:rsidP="00C62D1E">
            <w:pPr>
              <w:jc w:val="center"/>
              <w:rPr>
                <w:b/>
                <w:bCs/>
                <w:rtl/>
              </w:rPr>
            </w:pPr>
            <w:r w:rsidRPr="0070229E">
              <w:rPr>
                <w:rFonts w:hint="cs"/>
                <w:b/>
                <w:bCs/>
                <w:rtl/>
              </w:rPr>
              <w:t>الأجر الداخل</w:t>
            </w:r>
            <w:r w:rsidRPr="0070229E">
              <w:rPr>
                <w:b/>
                <w:bCs/>
                <w:rtl/>
              </w:rPr>
              <w:br/>
            </w:r>
            <w:r w:rsidRPr="0070229E">
              <w:rPr>
                <w:rFonts w:hint="cs"/>
                <w:b/>
                <w:bCs/>
                <w:rtl/>
              </w:rPr>
              <w:t>في حساب المعاش التقاعدي</w:t>
            </w:r>
          </w:p>
          <w:p w14:paraId="5564D9A0" w14:textId="77777777" w:rsidR="00803A8D" w:rsidRPr="00AE537C" w:rsidRDefault="00803A8D" w:rsidP="00C62D1E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tLeast"/>
              <w:jc w:val="center"/>
              <w:rPr>
                <w:rFonts w:asciiTheme="minorHAnsi" w:hAnsiTheme="minorHAnsi" w:cstheme="minorBidi"/>
                <w:b/>
                <w:sz w:val="18"/>
                <w:szCs w:val="18"/>
                <w:highlight w:val="yellow"/>
                <w:lang w:val="fr-FR"/>
              </w:rPr>
            </w:pPr>
            <w:r w:rsidRPr="00C62D1E">
              <w:rPr>
                <w:rFonts w:hint="cs"/>
                <w:sz w:val="18"/>
                <w:szCs w:val="18"/>
                <w:rtl/>
                <w:lang w:bidi="ar-EG"/>
              </w:rPr>
              <w:t>(</w:t>
            </w:r>
            <w:r w:rsidRPr="00C62D1E">
              <w:rPr>
                <w:sz w:val="18"/>
                <w:szCs w:val="18"/>
              </w:rPr>
              <w:t>1</w:t>
            </w:r>
            <w:r w:rsidRPr="00C62D1E">
              <w:rPr>
                <w:rFonts w:hint="cs"/>
                <w:sz w:val="18"/>
                <w:szCs w:val="18"/>
                <w:rtl/>
                <w:lang w:bidi="ar-EG"/>
              </w:rPr>
              <w:t xml:space="preserve"> يناير 2024)</w:t>
            </w:r>
          </w:p>
        </w:tc>
        <w:tc>
          <w:tcPr>
            <w:tcW w:w="3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8FDBCAC" w14:textId="77777777" w:rsidR="00803A8D" w:rsidRPr="0070229E" w:rsidRDefault="00803A8D" w:rsidP="00C62D1E">
            <w:pPr>
              <w:jc w:val="center"/>
              <w:rPr>
                <w:b/>
                <w:bCs/>
                <w:rtl/>
              </w:rPr>
            </w:pPr>
            <w:r w:rsidRPr="0070229E">
              <w:rPr>
                <w:rFonts w:hint="cs"/>
                <w:b/>
                <w:bCs/>
                <w:rtl/>
              </w:rPr>
              <w:t>الأجر الداخل</w:t>
            </w:r>
            <w:r w:rsidRPr="0070229E">
              <w:rPr>
                <w:b/>
                <w:bCs/>
                <w:rtl/>
              </w:rPr>
              <w:br/>
            </w:r>
            <w:r w:rsidRPr="0070229E">
              <w:rPr>
                <w:rFonts w:hint="cs"/>
                <w:b/>
                <w:bCs/>
                <w:rtl/>
              </w:rPr>
              <w:t>في حساب المعاش التقاعدي</w:t>
            </w:r>
          </w:p>
          <w:p w14:paraId="593BDB63" w14:textId="77777777" w:rsidR="00803A8D" w:rsidRPr="0086255E" w:rsidRDefault="00803A8D" w:rsidP="00C62D1E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tLeast"/>
              <w:jc w:val="center"/>
              <w:rPr>
                <w:rFonts w:asciiTheme="minorHAnsi" w:hAnsiTheme="minorHAnsi" w:cstheme="minorBidi"/>
                <w:b/>
                <w:szCs w:val="24"/>
                <w:rtl/>
                <w:lang w:val="fr-FR"/>
              </w:rPr>
            </w:pPr>
            <w:r w:rsidRPr="00C62D1E">
              <w:rPr>
                <w:rFonts w:hint="cs"/>
                <w:sz w:val="18"/>
                <w:szCs w:val="18"/>
                <w:rtl/>
                <w:lang w:bidi="ar-EG"/>
              </w:rPr>
              <w:t>(</w:t>
            </w:r>
            <w:r w:rsidRPr="00C62D1E">
              <w:rPr>
                <w:sz w:val="18"/>
                <w:szCs w:val="18"/>
              </w:rPr>
              <w:t>1</w:t>
            </w:r>
            <w:r w:rsidRPr="00C62D1E">
              <w:rPr>
                <w:rFonts w:hint="cs"/>
                <w:sz w:val="18"/>
                <w:szCs w:val="18"/>
                <w:rtl/>
                <w:lang w:bidi="ar-EG"/>
              </w:rPr>
              <w:t xml:space="preserve"> فبراير 2024)</w:t>
            </w:r>
          </w:p>
        </w:tc>
      </w:tr>
      <w:tr w:rsidR="00803A8D" w:rsidRPr="0086255E" w14:paraId="4485A0FD" w14:textId="77777777" w:rsidTr="00C62D1E">
        <w:trPr>
          <w:jc w:val="right"/>
        </w:trPr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DE5C1" w14:textId="77777777" w:rsidR="00803A8D" w:rsidRPr="000538AD" w:rsidRDefault="00803A8D" w:rsidP="00C62D1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Cs w:val="24"/>
              </w:rPr>
            </w:pPr>
            <w:r w:rsidRPr="0070229E">
              <w:rPr>
                <w:rFonts w:hint="cs"/>
                <w:rtl/>
                <w:lang w:bidi="ar-EG"/>
              </w:rPr>
              <w:t>الأمين العام</w:t>
            </w: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E366" w14:textId="77777777" w:rsidR="00803A8D" w:rsidRPr="00AE537C" w:rsidRDefault="00803A8D" w:rsidP="00C62D1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strike/>
              </w:rPr>
            </w:pPr>
            <w:r w:rsidRPr="3BD3436B">
              <w:rPr>
                <w:rFonts w:cs="Calibri"/>
              </w:rPr>
              <w:t xml:space="preserve">437 453 </w:t>
            </w:r>
          </w:p>
        </w:tc>
        <w:tc>
          <w:tcPr>
            <w:tcW w:w="3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78211" w14:textId="77777777" w:rsidR="00803A8D" w:rsidRPr="0086255E" w:rsidRDefault="00803A8D" w:rsidP="00C62D1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strike/>
              </w:rPr>
            </w:pPr>
            <w:r w:rsidRPr="3BD3436B">
              <w:rPr>
                <w:rFonts w:cs="Calibri"/>
              </w:rPr>
              <w:t>456 600</w:t>
            </w:r>
          </w:p>
        </w:tc>
      </w:tr>
      <w:tr w:rsidR="00803A8D" w:rsidRPr="0086255E" w14:paraId="0D787DC4" w14:textId="77777777" w:rsidTr="00C62D1E">
        <w:trPr>
          <w:jc w:val="right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DE971" w14:textId="273E4B40" w:rsidR="00803A8D" w:rsidRPr="000538AD" w:rsidRDefault="00803A8D" w:rsidP="00C62D1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Cs w:val="24"/>
                <w:lang w:bidi="ar-EG"/>
              </w:rPr>
            </w:pPr>
            <w:r w:rsidRPr="0070229E">
              <w:rPr>
                <w:rFonts w:hint="cs"/>
                <w:rtl/>
                <w:lang w:bidi="ar-EG"/>
              </w:rPr>
              <w:t xml:space="preserve">نائب الأمين العام </w:t>
            </w:r>
            <w:r w:rsidR="00C62D1E">
              <w:rPr>
                <w:rtl/>
                <w:lang w:bidi="ar-EG"/>
              </w:rPr>
              <w:br/>
            </w:r>
            <w:r w:rsidRPr="0070229E">
              <w:rPr>
                <w:rFonts w:hint="cs"/>
                <w:rtl/>
                <w:lang w:bidi="ar-EG"/>
              </w:rPr>
              <w:t>ومديرو</w:t>
            </w:r>
            <w:r w:rsidRPr="0070229E">
              <w:rPr>
                <w:rFonts w:hint="eastAsia"/>
                <w:rtl/>
                <w:lang w:bidi="ar-EG"/>
              </w:rPr>
              <w:t> </w:t>
            </w:r>
            <w:r w:rsidRPr="0070229E">
              <w:rPr>
                <w:rFonts w:hint="cs"/>
                <w:rtl/>
                <w:lang w:bidi="ar-EG"/>
              </w:rPr>
              <w:t>المكاتب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8497" w14:textId="77777777" w:rsidR="00803A8D" w:rsidRPr="00AE537C" w:rsidRDefault="00803A8D" w:rsidP="00C62D1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160" w:after="40"/>
              <w:jc w:val="center"/>
              <w:rPr>
                <w:rFonts w:cs="Calibri"/>
                <w:strike/>
                <w:szCs w:val="24"/>
              </w:rPr>
            </w:pPr>
            <w:r w:rsidRPr="00AE537C">
              <w:rPr>
                <w:rFonts w:cs="Calibri"/>
                <w:szCs w:val="24"/>
              </w:rPr>
              <w:t xml:space="preserve">405 722 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88E50" w14:textId="77777777" w:rsidR="00803A8D" w:rsidRPr="0086255E" w:rsidRDefault="00803A8D" w:rsidP="00C62D1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160" w:after="40"/>
              <w:jc w:val="center"/>
              <w:rPr>
                <w:rFonts w:cs="Calibri"/>
                <w:strike/>
                <w:szCs w:val="24"/>
              </w:rPr>
            </w:pPr>
            <w:r w:rsidRPr="0086255E">
              <w:rPr>
                <w:rFonts w:cs="Calibri"/>
                <w:szCs w:val="24"/>
              </w:rPr>
              <w:t>423 480</w:t>
            </w:r>
          </w:p>
        </w:tc>
      </w:tr>
    </w:tbl>
    <w:p w14:paraId="13B54450" w14:textId="77777777" w:rsidR="00803A8D" w:rsidRDefault="00803A8D" w:rsidP="00C62D1E">
      <w:pPr>
        <w:spacing w:before="600"/>
        <w:jc w:val="center"/>
        <w:rPr>
          <w:rtl/>
          <w:lang w:bidi="ar-EG"/>
        </w:rPr>
      </w:pPr>
      <w:r w:rsidRPr="0070229E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03A8D" w:rsidSect="006C3242">
      <w:foot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A76E" w14:textId="77777777" w:rsidR="00803A8D" w:rsidRDefault="00803A8D" w:rsidP="006C3242">
      <w:pPr>
        <w:spacing w:before="0" w:line="240" w:lineRule="auto"/>
      </w:pPr>
      <w:r>
        <w:separator/>
      </w:r>
    </w:p>
  </w:endnote>
  <w:endnote w:type="continuationSeparator" w:id="0">
    <w:p w14:paraId="28F6D9D0" w14:textId="77777777" w:rsidR="00803A8D" w:rsidRDefault="00803A8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2ACBFBDC" w14:textId="77777777" w:rsidTr="00357086">
      <w:trPr>
        <w:jc w:val="center"/>
      </w:trPr>
      <w:tc>
        <w:tcPr>
          <w:tcW w:w="868" w:type="pct"/>
          <w:vAlign w:val="center"/>
        </w:tcPr>
        <w:p w14:paraId="4D0F2A71" w14:textId="0CD4C8A9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59DC098A" w14:textId="0961EF54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2B2D4D">
            <w:rPr>
              <w:rFonts w:ascii="Calibri" w:hAnsi="Calibri" w:cs="Arial"/>
              <w:bCs/>
              <w:color w:val="7F7F7F"/>
              <w:sz w:val="18"/>
            </w:rPr>
            <w:t>23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966E0D3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E89EE67" w14:textId="79058AD2" w:rsidR="00387876" w:rsidRPr="0026373E" w:rsidRDefault="00387876" w:rsidP="002B2D4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EAA9909" w14:textId="77777777" w:rsidTr="00F50E3F">
      <w:trPr>
        <w:jc w:val="center"/>
      </w:trPr>
      <w:tc>
        <w:tcPr>
          <w:tcW w:w="868" w:type="pct"/>
          <w:vAlign w:val="center"/>
        </w:tcPr>
        <w:p w14:paraId="3D85AF62" w14:textId="77777777" w:rsidR="007B0AA0" w:rsidRPr="007B0AA0" w:rsidRDefault="0018318C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CA625BB" w14:textId="2E8835ED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2B2D4D">
            <w:rPr>
              <w:rFonts w:ascii="Calibri" w:hAnsi="Calibri" w:cs="Arial"/>
              <w:bCs/>
              <w:color w:val="7F7F7F"/>
              <w:sz w:val="18"/>
            </w:rPr>
            <w:t>23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D025CB0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1BDEAF3" w14:textId="1393168D" w:rsidR="00387876" w:rsidRPr="0026373E" w:rsidRDefault="00387876" w:rsidP="002B2D4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694C" w14:textId="77777777" w:rsidR="00803A8D" w:rsidRDefault="00803A8D" w:rsidP="006C3242">
      <w:pPr>
        <w:spacing w:before="0" w:line="240" w:lineRule="auto"/>
      </w:pPr>
      <w:r>
        <w:separator/>
      </w:r>
    </w:p>
  </w:footnote>
  <w:footnote w:type="continuationSeparator" w:id="0">
    <w:p w14:paraId="4BB49C46" w14:textId="77777777" w:rsidR="00803A8D" w:rsidRDefault="00803A8D" w:rsidP="006C3242">
      <w:pPr>
        <w:spacing w:before="0" w:line="240" w:lineRule="auto"/>
      </w:pPr>
      <w:r>
        <w:continuationSeparator/>
      </w:r>
    </w:p>
  </w:footnote>
  <w:footnote w:id="1">
    <w:p w14:paraId="69B0731F" w14:textId="63696D81" w:rsidR="00803A8D" w:rsidRPr="002B2D4D" w:rsidRDefault="00803A8D" w:rsidP="002B2D4D">
      <w:pPr>
        <w:pStyle w:val="FootnoteText"/>
        <w:rPr>
          <w:rtl/>
        </w:rPr>
      </w:pPr>
      <w:r w:rsidRPr="002B2D4D">
        <w:rPr>
          <w:rStyle w:val="FootnoteReference"/>
          <w:position w:val="0"/>
        </w:rPr>
        <w:footnoteRef/>
      </w:r>
      <w:r w:rsidR="002B2D4D" w:rsidRPr="002B2D4D">
        <w:tab/>
      </w:r>
      <w:r w:rsidRPr="002B2D4D">
        <w:rPr>
          <w:rFonts w:hint="cs"/>
          <w:rtl/>
        </w:rPr>
        <w:t>"</w:t>
      </w:r>
      <w:r w:rsidRPr="002B2D4D">
        <w:rPr>
          <w:rtl/>
        </w:rPr>
        <w:t>أن يأذن للأمين العام</w:t>
      </w:r>
      <w:r w:rsidRPr="002B2D4D">
        <w:rPr>
          <w:rFonts w:hint="cs"/>
          <w:rtl/>
        </w:rPr>
        <w:t>، أثناء تنفيذ ميزانية الفترة 2024-2025،</w:t>
      </w:r>
      <w:r w:rsidRPr="002B2D4D">
        <w:rPr>
          <w:rtl/>
        </w:rPr>
        <w:t xml:space="preserve"> بتعديل الاعتمادات بالنسبة إلى بنود النفقات في الفقرتين أ) وب) أدناه وفقاً للتغييرات المتكبدة من ‏خلال استعمال حساب الاحتياطي، وشريطة </w:t>
      </w:r>
      <w:r w:rsidR="002B2D4D">
        <w:rPr>
          <w:rFonts w:hint="cs"/>
          <w:rtl/>
        </w:rPr>
        <w:t>أ</w:t>
      </w:r>
      <w:r w:rsidRPr="002B2D4D">
        <w:rPr>
          <w:rtl/>
        </w:rPr>
        <w:t>ن يظل حساب الاحتياطي عند المستوى المنصوص عليه ‏في المقرر ‏</w:t>
      </w:r>
      <w:r w:rsidRPr="002B2D4D">
        <w:rPr>
          <w:cs/>
        </w:rPr>
        <w:t>‎</w:t>
      </w:r>
      <w:r w:rsidRPr="002B2D4D">
        <w:t>5</w:t>
      </w:r>
      <w:r w:rsidRPr="002B2D4D">
        <w:rPr>
          <w:cs/>
        </w:rPr>
        <w:t>‎</w:t>
      </w:r>
      <w:r w:rsidRPr="002B2D4D">
        <w:rPr>
          <w:rtl/>
        </w:rPr>
        <w:t xml:space="preserve">‏ (المراجَع في </w:t>
      </w:r>
      <w:r w:rsidRPr="002B2D4D">
        <w:rPr>
          <w:rFonts w:hint="cs"/>
          <w:rtl/>
        </w:rPr>
        <w:t>بوخارست، 2022</w:t>
      </w:r>
      <w:r w:rsidRPr="002B2D4D">
        <w:rPr>
          <w:cs/>
        </w:rPr>
        <w:t>‎</w:t>
      </w:r>
      <w:r w:rsidRPr="002B2D4D">
        <w:rPr>
          <w:rtl/>
        </w:rPr>
        <w:t>‏):‏</w:t>
      </w:r>
    </w:p>
    <w:p w14:paraId="313D5756" w14:textId="77777777" w:rsidR="00803A8D" w:rsidRPr="002B2D4D" w:rsidRDefault="00803A8D" w:rsidP="002B2D4D">
      <w:pPr>
        <w:pStyle w:val="FootnoteText"/>
        <w:tabs>
          <w:tab w:val="clear" w:pos="794"/>
        </w:tabs>
        <w:ind w:left="850"/>
        <w:rPr>
          <w:rtl/>
        </w:rPr>
      </w:pPr>
      <w:r w:rsidRPr="002B2D4D">
        <w:rPr>
          <w:rtl/>
        </w:rPr>
        <w:t>‏ أ )‏</w:t>
      </w:r>
      <w:r w:rsidRPr="002B2D4D">
        <w:rPr>
          <w:rtl/>
        </w:rPr>
        <w:tab/>
        <w:t>الزيادات في جدول المرتبات، والمساهمات في المعاشات التقاعدية والبدلات، بما في ذلك تسويات ‏مقر العمل، التي تنطبق على جنيف، على النحو المعتمد في النظام الموحد للأمم المتحدة؛</w:t>
      </w:r>
    </w:p>
    <w:p w14:paraId="1E5AEC25" w14:textId="47A17488" w:rsidR="00803A8D" w:rsidRPr="002B2D4D" w:rsidRDefault="00803A8D" w:rsidP="002B2D4D">
      <w:pPr>
        <w:pStyle w:val="FootnoteText"/>
        <w:tabs>
          <w:tab w:val="clear" w:pos="794"/>
        </w:tabs>
        <w:ind w:left="850"/>
        <w:rPr>
          <w:rtl/>
        </w:rPr>
      </w:pPr>
      <w:r w:rsidRPr="002B2D4D">
        <w:rPr>
          <w:rtl/>
        </w:rPr>
        <w:t>ب)‏</w:t>
      </w:r>
      <w:r w:rsidRPr="002B2D4D">
        <w:rPr>
          <w:rtl/>
        </w:rPr>
        <w:tab/>
        <w:t>التقلبات في سعر الصرف بين الدولار الأمريكي والفرنك السويسري، حيثما يؤثر ذلك على التكاليف ‏ذات الصلة بالموظفين في حالة الموظفين الخاضعين لجداول المرتبات للأمم المتحدة</w:t>
      </w:r>
      <w:r w:rsidRPr="002B2D4D">
        <w:rPr>
          <w:rFonts w:hint="cs"/>
          <w:rtl/>
        </w:rPr>
        <w:t>."</w:t>
      </w:r>
    </w:p>
  </w:footnote>
  <w:footnote w:id="2">
    <w:p w14:paraId="2C0A79B5" w14:textId="77777777" w:rsidR="00803A8D" w:rsidRPr="002B2D4D" w:rsidRDefault="00803A8D" w:rsidP="002B2D4D">
      <w:pPr>
        <w:pStyle w:val="FootnoteText"/>
        <w:rPr>
          <w:rtl/>
        </w:rPr>
      </w:pPr>
      <w:r w:rsidRPr="002B2D4D">
        <w:rPr>
          <w:rStyle w:val="FootnoteReference"/>
          <w:position w:val="0"/>
        </w:rPr>
        <w:footnoteRef/>
      </w:r>
      <w:r w:rsidRPr="002B2D4D">
        <w:rPr>
          <w:rtl/>
        </w:rPr>
        <w:t xml:space="preserve"> </w:t>
      </w:r>
      <w:r w:rsidRPr="002B2D4D">
        <w:rPr>
          <w:rtl/>
        </w:rPr>
        <w:tab/>
        <w:t xml:space="preserve">المادة 10 من النظام الأساسي للجنة الخدمة المدنية الدولية الذي ستنقحه الجمعية العامة للأمم المتحدة في دورتها </w:t>
      </w:r>
      <w:r w:rsidRPr="002B2D4D">
        <w:rPr>
          <w:rFonts w:hint="cs"/>
          <w:rtl/>
        </w:rPr>
        <w:t>التاسعة والسبعين</w:t>
      </w:r>
      <w:r w:rsidRPr="002B2D4D">
        <w:rPr>
          <w:rtl/>
        </w:rPr>
        <w:t xml:space="preserve"> في خريف عام 2024</w:t>
      </w:r>
      <w:r w:rsidRPr="002B2D4D">
        <w:rPr>
          <w:rFonts w:hint="cs"/>
          <w:rtl/>
        </w:rPr>
        <w:t>.</w:t>
      </w:r>
    </w:p>
    <w:p w14:paraId="28EBDF46" w14:textId="3FF166B2" w:rsidR="00803A8D" w:rsidRPr="002B2D4D" w:rsidRDefault="00803A8D" w:rsidP="002B2D4D">
      <w:pPr>
        <w:pStyle w:val="FootnoteText"/>
        <w:rPr>
          <w:rtl/>
        </w:rPr>
      </w:pPr>
      <w:r w:rsidRPr="002B2D4D">
        <w:rPr>
          <w:rtl/>
        </w:rPr>
        <w:tab/>
        <w:t xml:space="preserve">'1' ‏لن يكون هناك أي تعديل </w:t>
      </w:r>
      <w:r w:rsidRPr="002B2D4D">
        <w:rPr>
          <w:rFonts w:hint="cs"/>
          <w:rtl/>
        </w:rPr>
        <w:t xml:space="preserve">على </w:t>
      </w:r>
      <w:r w:rsidRPr="002B2D4D">
        <w:rPr>
          <w:rtl/>
        </w:rPr>
        <w:t>جدول المرتبات الأساسية/</w:t>
      </w:r>
      <w:r w:rsidRPr="002B2D4D">
        <w:rPr>
          <w:rFonts w:hint="cs"/>
          <w:rtl/>
        </w:rPr>
        <w:t>الدنيا</w:t>
      </w:r>
      <w:r w:rsidRPr="002B2D4D">
        <w:rPr>
          <w:cs/>
        </w:rPr>
        <w:t>‎</w:t>
      </w:r>
      <w:r w:rsidR="00C62D1E">
        <w:rPr>
          <w:rFonts w:hint="cs"/>
          <w:rtl/>
        </w:rPr>
        <w:t>،</w:t>
      </w:r>
    </w:p>
    <w:p w14:paraId="7BE13956" w14:textId="5444AE79" w:rsidR="00803A8D" w:rsidRPr="002B2D4D" w:rsidRDefault="00803A8D" w:rsidP="002B2D4D">
      <w:pPr>
        <w:pStyle w:val="FootnoteText"/>
        <w:rPr>
          <w:rtl/>
        </w:rPr>
      </w:pPr>
      <w:r w:rsidRPr="002B2D4D">
        <w:rPr>
          <w:rtl/>
        </w:rPr>
        <w:tab/>
        <w:t xml:space="preserve">'2' ‏لن </w:t>
      </w:r>
      <w:r w:rsidRPr="002B2D4D">
        <w:rPr>
          <w:rFonts w:hint="cs"/>
          <w:rtl/>
        </w:rPr>
        <w:t>يكون هناك توحيد</w:t>
      </w:r>
      <w:r w:rsidRPr="002B2D4D">
        <w:rPr>
          <w:rtl/>
        </w:rPr>
        <w:t xml:space="preserve"> </w:t>
      </w:r>
      <w:r w:rsidRPr="002B2D4D">
        <w:rPr>
          <w:rFonts w:hint="cs"/>
          <w:rtl/>
        </w:rPr>
        <w:t>ل</w:t>
      </w:r>
      <w:r w:rsidRPr="002B2D4D">
        <w:rPr>
          <w:rtl/>
        </w:rPr>
        <w:t>تسوية مقر العمل</w:t>
      </w:r>
      <w:r w:rsidRPr="002B2D4D">
        <w:rPr>
          <w:cs/>
        </w:rPr>
        <w:t>‎</w:t>
      </w:r>
      <w:r w:rsidR="00C62D1E">
        <w:rPr>
          <w:rFonts w:hint="cs"/>
          <w:rtl/>
        </w:rPr>
        <w:t>،</w:t>
      </w:r>
    </w:p>
    <w:p w14:paraId="0A618395" w14:textId="77777777" w:rsidR="00803A8D" w:rsidRPr="002B2D4D" w:rsidRDefault="00803A8D" w:rsidP="002B2D4D">
      <w:pPr>
        <w:pStyle w:val="FootnoteText"/>
        <w:rPr>
          <w:rtl/>
        </w:rPr>
      </w:pPr>
      <w:r w:rsidRPr="002B2D4D">
        <w:rPr>
          <w:rtl/>
        </w:rPr>
        <w:tab/>
        <w:t>'</w:t>
      </w:r>
      <w:r w:rsidRPr="002B2D4D">
        <w:rPr>
          <w:rFonts w:hint="cs"/>
          <w:rtl/>
        </w:rPr>
        <w:t>3</w:t>
      </w:r>
      <w:r w:rsidRPr="002B2D4D">
        <w:rPr>
          <w:rtl/>
        </w:rPr>
        <w:t>'</w:t>
      </w:r>
      <w:r w:rsidRPr="002B2D4D">
        <w:rPr>
          <w:rFonts w:hint="cs"/>
          <w:rtl/>
        </w:rPr>
        <w:t xml:space="preserve"> </w:t>
      </w:r>
      <w:r w:rsidRPr="002B2D4D">
        <w:rPr>
          <w:rtl/>
        </w:rPr>
        <w:t>لن يكون هناك تعديل لبدلات إعالة الأولاد والمعالين من الدرجة الثانية</w:t>
      </w:r>
    </w:p>
  </w:footnote>
  <w:footnote w:id="3">
    <w:p w14:paraId="03B63C88" w14:textId="77777777" w:rsidR="00E77EDD" w:rsidRPr="002B2D4D" w:rsidRDefault="00E77EDD" w:rsidP="00E77EDD">
      <w:pPr>
        <w:pStyle w:val="FootnoteText"/>
        <w:rPr>
          <w:rtl/>
        </w:rPr>
      </w:pPr>
      <w:r w:rsidRPr="002B2D4D">
        <w:rPr>
          <w:rStyle w:val="FootnoteReference"/>
          <w:position w:val="0"/>
        </w:rPr>
        <w:footnoteRef/>
      </w:r>
      <w:r w:rsidRPr="002B2D4D">
        <w:rPr>
          <w:rtl/>
        </w:rPr>
        <w:t xml:space="preserve"> </w:t>
      </w:r>
      <w:r w:rsidRPr="002B2D4D">
        <w:rPr>
          <w:rtl/>
        </w:rPr>
        <w:tab/>
      </w:r>
      <w:r w:rsidRPr="002B2D4D">
        <w:rPr>
          <w:rFonts w:hint="cs"/>
          <w:rtl/>
        </w:rPr>
        <w:t>المادة 51(ب): "في حالة المشتركين من الفئتين المهنية والعليا، يكون جدول الأجر الداخل في حساب المعاش التقاعدي على النحو المبين في الموقع الإلكتروني للجنة الخدمة المدنية الدولية.</w:t>
      </w:r>
      <w:r w:rsidRPr="002B2D4D">
        <w:rPr>
          <w:rtl/>
        </w:rPr>
        <w:t>‏... ويجري تعديله في نفس تاريخ تعديل مبالغ الأجور الصافية لموظفي الفئتين المهنية والعليا في نيويورك. ويكون هذا التعديل بنسبة ‏مئوية موحدة تساوي المتوسط المرجح للنسبة المئوية للفرق في مبالغ الأجور الصافية، على النحو الذي تحدده لجنة الخدمة المدنية ‏الدولية".‏</w:t>
      </w:r>
    </w:p>
  </w:footnote>
  <w:footnote w:id="4">
    <w:p w14:paraId="097985A4" w14:textId="77777777" w:rsidR="00803A8D" w:rsidRPr="002B2D4D" w:rsidRDefault="00803A8D" w:rsidP="002B2D4D">
      <w:pPr>
        <w:pStyle w:val="FootnoteText"/>
      </w:pPr>
      <w:r w:rsidRPr="002B2D4D">
        <w:rPr>
          <w:rStyle w:val="FootnoteReference"/>
          <w:position w:val="0"/>
        </w:rPr>
        <w:footnoteRef/>
      </w:r>
      <w:r w:rsidRPr="002B2D4D">
        <w:rPr>
          <w:rtl/>
        </w:rPr>
        <w:t xml:space="preserve"> </w:t>
      </w:r>
      <w:r w:rsidRPr="002B2D4D">
        <w:rPr>
          <w:rtl/>
        </w:rPr>
        <w:tab/>
        <w:t>‏"منهجية الدراسات الاستقصائية لأفضل شروط العمل المتبعة في مراكز العمل في المقر (منهجية الدراسة الاستقصائية الأولى)"، ‏</w:t>
      </w:r>
      <w:r w:rsidRPr="002B2D4D">
        <w:t>ICSC/94/R.16</w:t>
      </w:r>
      <w:r w:rsidRPr="002B2D4D">
        <w:rPr>
          <w:cs/>
        </w:rPr>
        <w:t>‎</w:t>
      </w:r>
      <w:r w:rsidRPr="002B2D4D">
        <w:rPr>
          <w:rtl/>
        </w:rPr>
        <w:t>، 10 أغسطس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C5D7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C924F" wp14:editId="01B58E09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E8573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2D169EA0" wp14:editId="57D0322C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368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1E47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965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05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704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081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0C15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3C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1E1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068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8D"/>
    <w:rsid w:val="0006468A"/>
    <w:rsid w:val="00090574"/>
    <w:rsid w:val="0009186A"/>
    <w:rsid w:val="000C1C0E"/>
    <w:rsid w:val="000C548A"/>
    <w:rsid w:val="0018318C"/>
    <w:rsid w:val="001944BD"/>
    <w:rsid w:val="00195B5F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B2D4D"/>
    <w:rsid w:val="002E6541"/>
    <w:rsid w:val="00334924"/>
    <w:rsid w:val="003409BC"/>
    <w:rsid w:val="00357185"/>
    <w:rsid w:val="00383829"/>
    <w:rsid w:val="00387876"/>
    <w:rsid w:val="003F4B29"/>
    <w:rsid w:val="0042686F"/>
    <w:rsid w:val="004317D8"/>
    <w:rsid w:val="00434183"/>
    <w:rsid w:val="00443869"/>
    <w:rsid w:val="00447F32"/>
    <w:rsid w:val="004B6466"/>
    <w:rsid w:val="004B7334"/>
    <w:rsid w:val="004E11DC"/>
    <w:rsid w:val="00525DDD"/>
    <w:rsid w:val="005409AC"/>
    <w:rsid w:val="0055516A"/>
    <w:rsid w:val="00562A38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B0AA0"/>
    <w:rsid w:val="007C3BC7"/>
    <w:rsid w:val="007C3BCD"/>
    <w:rsid w:val="007D4ACF"/>
    <w:rsid w:val="007F0787"/>
    <w:rsid w:val="00803A8D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74B51"/>
    <w:rsid w:val="00982B28"/>
    <w:rsid w:val="009D313F"/>
    <w:rsid w:val="00A47A5A"/>
    <w:rsid w:val="00A6683B"/>
    <w:rsid w:val="00A97F94"/>
    <w:rsid w:val="00AA7EA2"/>
    <w:rsid w:val="00B03099"/>
    <w:rsid w:val="00B05BC8"/>
    <w:rsid w:val="00B6080B"/>
    <w:rsid w:val="00B64B47"/>
    <w:rsid w:val="00B91B14"/>
    <w:rsid w:val="00B95654"/>
    <w:rsid w:val="00C002DE"/>
    <w:rsid w:val="00C53BF8"/>
    <w:rsid w:val="00C62D1E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77EDD"/>
    <w:rsid w:val="00E92863"/>
    <w:rsid w:val="00E95327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DDE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B2D4D"/>
    <w:pPr>
      <w:spacing w:line="168" w:lineRule="auto"/>
      <w:ind w:left="454" w:hanging="454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2D4D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2B2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46-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.itu.int/dms_pub/itu-s/opb/conf/S-CONF-CL-2022-PDF-A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SG\PA_Council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PA_Council24.dotx</Template>
  <TotalTime>0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2024-04-09T12:05:00Z</dcterms:created>
  <dcterms:modified xsi:type="dcterms:W3CDTF">2024-04-11T15:14:00Z</dcterms:modified>
  <cp:category>Conference document</cp:category>
</cp:coreProperties>
</file>