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1134F55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97000C0" w14:textId="6F3E858D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lang w:eastAsia="zh-CN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38D9A8FE" w14:textId="19E8AC89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 w:eastAsia="zh-CN"/>
              </w:rPr>
            </w:pPr>
            <w:r w:rsidRPr="00E24D59">
              <w:rPr>
                <w:rFonts w:cstheme="minorHAnsi" w:hint="eastAsia"/>
                <w:b/>
                <w:bCs/>
                <w:lang w:val="ru-RU" w:eastAsia="zh-CN"/>
              </w:rPr>
              <w:t>文件</w:t>
            </w:r>
            <w:r>
              <w:rPr>
                <w:rFonts w:cstheme="minorHAnsi" w:hint="eastAsia"/>
                <w:b/>
                <w:bCs/>
                <w:lang w:val="ru-RU" w:eastAsia="zh-CN"/>
              </w:rPr>
              <w:t xml:space="preserve"> </w:t>
            </w:r>
            <w:r w:rsidRPr="00E24D59">
              <w:rPr>
                <w:rFonts w:hint="eastAsia"/>
                <w:b/>
                <w:lang w:val="fr-CH" w:eastAsia="zh-CN"/>
              </w:rPr>
              <w:t>C2</w:t>
            </w:r>
            <w:r w:rsidR="00B93453">
              <w:rPr>
                <w:rFonts w:hint="eastAsia"/>
                <w:b/>
                <w:lang w:val="fr-CH" w:eastAsia="zh-CN"/>
              </w:rPr>
              <w:t>4</w:t>
            </w:r>
            <w:r w:rsidRPr="00E24D59">
              <w:rPr>
                <w:rFonts w:hint="eastAsia"/>
                <w:b/>
                <w:lang w:val="fr-CH" w:eastAsia="zh-CN"/>
              </w:rPr>
              <w:t>/</w:t>
            </w:r>
            <w:r w:rsidR="006A38F7">
              <w:rPr>
                <w:rFonts w:hint="eastAsia"/>
                <w:b/>
                <w:lang w:val="fr-CH" w:eastAsia="zh-CN"/>
              </w:rPr>
              <w:t>22(Add.1)</w:t>
            </w:r>
            <w:r w:rsidRPr="00E24D59">
              <w:rPr>
                <w:rFonts w:hint="eastAsia"/>
                <w:b/>
                <w:lang w:val="fr-CH" w:eastAsia="zh-CN"/>
              </w:rPr>
              <w:t>-C</w:t>
            </w:r>
          </w:p>
        </w:tc>
      </w:tr>
      <w:tr w:rsidR="00E24D59" w:rsidRPr="00813E5E" w14:paraId="011516E4" w14:textId="77777777" w:rsidTr="00E31DCE">
        <w:trPr>
          <w:cantSplit/>
        </w:trPr>
        <w:tc>
          <w:tcPr>
            <w:tcW w:w="3969" w:type="dxa"/>
            <w:vMerge/>
          </w:tcPr>
          <w:p w14:paraId="37B4AEA6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 w:eastAsia="zh-CN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99CD7F2" w14:textId="277DB670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202</w:t>
            </w:r>
            <w:r w:rsidR="00B93453">
              <w:rPr>
                <w:rFonts w:hint="eastAsia"/>
                <w:b/>
                <w:lang w:eastAsia="zh-CN"/>
              </w:rPr>
              <w:t>4</w:t>
            </w:r>
            <w:r w:rsidR="00C45EB2">
              <w:rPr>
                <w:rFonts w:hint="eastAsia"/>
                <w:b/>
                <w:lang w:eastAsia="zh-CN"/>
              </w:rPr>
              <w:t>年</w:t>
            </w:r>
            <w:r w:rsidR="006A38F7">
              <w:rPr>
                <w:rFonts w:hint="eastAsia"/>
                <w:b/>
                <w:lang w:eastAsia="zh-CN"/>
              </w:rPr>
              <w:t>10</w:t>
            </w:r>
            <w:r w:rsidR="00C45EB2">
              <w:rPr>
                <w:rFonts w:hint="eastAsia"/>
                <w:b/>
                <w:lang w:eastAsia="zh-CN"/>
              </w:rPr>
              <w:t>月</w:t>
            </w:r>
            <w:r w:rsidR="006A38F7">
              <w:rPr>
                <w:rFonts w:hint="eastAsia"/>
                <w:b/>
                <w:lang w:eastAsia="zh-CN"/>
              </w:rPr>
              <w:t>28</w:t>
            </w:r>
            <w:r w:rsidR="00C45EB2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70438F38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11BD03E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4310A2D5" w14:textId="42165EC5" w:rsidR="00E24D59" w:rsidRPr="00E85629" w:rsidRDefault="006A38F7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  <w:r>
              <w:rPr>
                <w:rFonts w:cstheme="minorHAnsi" w:hint="eastAsia"/>
                <w:b/>
                <w:bCs/>
                <w:lang w:val="ru-RU" w:eastAsia="zh-CN"/>
              </w:rPr>
              <w:t>原文：</w:t>
            </w:r>
            <w:r w:rsidR="00970A29">
              <w:rPr>
                <w:rFonts w:cstheme="minorHAnsi" w:hint="eastAsia"/>
                <w:b/>
                <w:bCs/>
                <w:lang w:val="ru-RU" w:eastAsia="zh-CN"/>
              </w:rPr>
              <w:t>英文</w:t>
            </w:r>
          </w:p>
        </w:tc>
      </w:tr>
      <w:tr w:rsidR="00E24D59" w:rsidRPr="00813E5E" w14:paraId="7FC8BF45" w14:textId="77777777" w:rsidTr="00E31DCE">
        <w:trPr>
          <w:cantSplit/>
          <w:trHeight w:val="23"/>
        </w:trPr>
        <w:tc>
          <w:tcPr>
            <w:tcW w:w="3969" w:type="dxa"/>
          </w:tcPr>
          <w:p w14:paraId="6ADA4496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eastAsia="zh-CN"/>
              </w:rPr>
            </w:pPr>
          </w:p>
        </w:tc>
        <w:tc>
          <w:tcPr>
            <w:tcW w:w="5245" w:type="dxa"/>
          </w:tcPr>
          <w:p w14:paraId="52862866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eastAsia="zh-CN"/>
              </w:rPr>
            </w:pPr>
          </w:p>
        </w:tc>
      </w:tr>
      <w:tr w:rsidR="00E24D59" w:rsidRPr="00813E5E" w14:paraId="75394E1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35EC1B0" w14:textId="6A83CABA" w:rsidR="00E24D59" w:rsidRPr="00E24D59" w:rsidRDefault="006A38F7" w:rsidP="00E24D59">
            <w:pPr>
              <w:pStyle w:val="Source"/>
              <w:jc w:val="left"/>
              <w:rPr>
                <w:sz w:val="34"/>
                <w:szCs w:val="34"/>
                <w:lang w:eastAsia="zh-CN"/>
              </w:rPr>
            </w:pPr>
            <w:bookmarkStart w:id="5" w:name="dsource" w:colFirst="0" w:colLast="0"/>
            <w:bookmarkEnd w:id="4"/>
            <w:r>
              <w:rPr>
                <w:rFonts w:cstheme="minorHAnsi" w:hint="eastAsia"/>
                <w:sz w:val="34"/>
                <w:szCs w:val="34"/>
                <w:lang w:val="ru-RU" w:eastAsia="zh-CN"/>
              </w:rPr>
              <w:t>秘书长</w:t>
            </w:r>
            <w:r w:rsidR="00970A29" w:rsidRPr="00970A29">
              <w:rPr>
                <w:rFonts w:cstheme="minorHAnsi" w:hint="eastAsia"/>
                <w:sz w:val="34"/>
                <w:szCs w:val="34"/>
                <w:lang w:val="ru-RU" w:eastAsia="zh-CN"/>
              </w:rPr>
              <w:t>的报告</w:t>
            </w:r>
          </w:p>
        </w:tc>
      </w:tr>
      <w:tr w:rsidR="00E24D59" w:rsidRPr="00813E5E" w14:paraId="5E7B9EF4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27570F8" w14:textId="46D6C78A" w:rsidR="00E24D59" w:rsidRPr="007D4350" w:rsidRDefault="006A38F7" w:rsidP="00E31DCE">
            <w:pPr>
              <w:pStyle w:val="Subtitle"/>
              <w:framePr w:hSpace="0" w:wrap="auto" w:hAnchor="text" w:xAlign="left" w:yAlign="inline"/>
              <w:rPr>
                <w:rFonts w:asciiTheme="minorHAnsi" w:eastAsiaTheme="minorEastAsia" w:hAnsiTheme="minorHAnsi" w:cstheme="minorHAnsi"/>
                <w:lang w:eastAsia="zh-CN"/>
              </w:rPr>
            </w:pPr>
            <w:bookmarkStart w:id="6" w:name="dtitle1" w:colFirst="0" w:colLast="0"/>
            <w:bookmarkEnd w:id="5"/>
            <w:r w:rsidRPr="007D4350">
              <w:rPr>
                <w:rFonts w:asciiTheme="minorHAnsi" w:eastAsiaTheme="minorEastAsia" w:hAnsiTheme="minorHAnsi" w:cstheme="minorHAnsi"/>
                <w:lang w:eastAsia="zh-CN"/>
              </w:rPr>
              <w:t>IMAC</w:t>
            </w:r>
            <w:r w:rsidR="008C443D" w:rsidRPr="007D4350">
              <w:rPr>
                <w:rFonts w:asciiTheme="minorHAnsi" w:eastAsiaTheme="minorEastAsia" w:hAnsiTheme="minorHAnsi" w:cstheme="minorHAnsi"/>
                <w:lang w:eastAsia="zh-CN"/>
              </w:rPr>
              <w:t>审查</w:t>
            </w:r>
            <w:r w:rsidRPr="007D4350">
              <w:rPr>
                <w:rFonts w:asciiTheme="minorHAnsi" w:eastAsiaTheme="minorEastAsia" w:hAnsiTheme="minorHAnsi" w:cstheme="minorHAnsi"/>
                <w:lang w:eastAsia="zh-CN"/>
              </w:rPr>
              <w:t>2023</w:t>
            </w:r>
            <w:r w:rsidRPr="007D4350">
              <w:rPr>
                <w:rFonts w:asciiTheme="minorHAnsi" w:eastAsiaTheme="minorEastAsia" w:hAnsiTheme="minorHAnsi" w:cstheme="minorHAnsi"/>
                <w:lang w:eastAsia="zh-CN"/>
              </w:rPr>
              <w:t>年经审计的财务报表（</w:t>
            </w:r>
            <w:r w:rsidRPr="007D4350">
              <w:rPr>
                <w:rFonts w:asciiTheme="minorHAnsi" w:eastAsiaTheme="minorEastAsia" w:hAnsiTheme="minorHAnsi" w:cstheme="minorHAnsi"/>
                <w:lang w:eastAsia="zh-CN"/>
              </w:rPr>
              <w:t>2024</w:t>
            </w:r>
            <w:r w:rsidRPr="007D4350">
              <w:rPr>
                <w:rFonts w:asciiTheme="minorHAnsi" w:eastAsiaTheme="minorEastAsia" w:hAnsiTheme="minorHAnsi" w:cstheme="minorHAnsi"/>
                <w:lang w:eastAsia="zh-CN"/>
              </w:rPr>
              <w:t>年</w:t>
            </w:r>
            <w:r w:rsidRPr="007D4350">
              <w:rPr>
                <w:rFonts w:asciiTheme="minorHAnsi" w:eastAsiaTheme="minorEastAsia" w:hAnsiTheme="minorHAnsi" w:cstheme="minorHAnsi"/>
                <w:lang w:eastAsia="zh-CN"/>
              </w:rPr>
              <w:t>9</w:t>
            </w:r>
            <w:r w:rsidRPr="007D4350">
              <w:rPr>
                <w:rFonts w:asciiTheme="minorHAnsi" w:eastAsiaTheme="minorEastAsia" w:hAnsiTheme="minorHAnsi" w:cstheme="minorHAnsi"/>
                <w:lang w:eastAsia="zh-CN"/>
              </w:rPr>
              <w:t>月）</w:t>
            </w:r>
          </w:p>
        </w:tc>
      </w:tr>
      <w:tr w:rsidR="00E24D59" w:rsidRPr="00813E5E" w14:paraId="64EF886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78DCDB5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 xml:space="preserve">目的 </w:t>
            </w:r>
          </w:p>
          <w:p w14:paraId="26197524" w14:textId="4F8B4E89" w:rsidR="008F64AD" w:rsidRPr="00970A29" w:rsidRDefault="006A38F7" w:rsidP="00970A29">
            <w:pPr>
              <w:ind w:firstLineChars="200" w:firstLine="480"/>
              <w:rPr>
                <w:lang w:eastAsia="zh-CN"/>
              </w:rPr>
            </w:pPr>
            <w:r w:rsidRPr="00F91E9A">
              <w:rPr>
                <w:lang w:eastAsia="zh-CN"/>
              </w:rPr>
              <w:t>独立管理顾问委员会（</w:t>
            </w:r>
            <w:r w:rsidRPr="00F91E9A">
              <w:rPr>
                <w:lang w:eastAsia="zh-CN"/>
              </w:rPr>
              <w:t>IMAC</w:t>
            </w:r>
            <w:r w:rsidRPr="00F91E9A">
              <w:rPr>
                <w:lang w:eastAsia="zh-CN"/>
              </w:rPr>
              <w:t>）</w:t>
            </w:r>
            <w:r w:rsidR="008C443D">
              <w:rPr>
                <w:rFonts w:hint="eastAsia"/>
                <w:lang w:eastAsia="zh-CN"/>
              </w:rPr>
              <w:t>审查</w:t>
            </w:r>
            <w:r w:rsidRPr="00F91E9A">
              <w:rPr>
                <w:lang w:eastAsia="zh-CN"/>
              </w:rPr>
              <w:t>经审计的财务报表。</w:t>
            </w:r>
          </w:p>
          <w:p w14:paraId="39AFBE7F" w14:textId="77777777" w:rsidR="008F64AD" w:rsidRPr="008F64AD" w:rsidRDefault="008F64AD" w:rsidP="008F64AD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8F64AD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262BCE81" w14:textId="2A34681B" w:rsidR="008F64AD" w:rsidRDefault="00970A29" w:rsidP="00970A29">
            <w:pPr>
              <w:ind w:firstLineChars="200" w:firstLine="480"/>
              <w:rPr>
                <w:lang w:val="zh-CN" w:eastAsia="zh-CN"/>
              </w:rPr>
            </w:pPr>
            <w:r w:rsidRPr="00666487">
              <w:rPr>
                <w:rFonts w:hint="eastAsia"/>
                <w:lang w:val="zh-CN" w:eastAsia="zh-CN"/>
              </w:rPr>
              <w:t>请</w:t>
            </w:r>
            <w:r>
              <w:rPr>
                <w:rFonts w:hint="eastAsia"/>
                <w:lang w:val="zh-CN" w:eastAsia="zh-CN"/>
              </w:rPr>
              <w:t>理事会</w:t>
            </w:r>
            <w:r w:rsidR="006A38F7">
              <w:rPr>
                <w:rFonts w:hint="eastAsia"/>
                <w:lang w:val="zh-CN" w:eastAsia="zh-CN"/>
              </w:rPr>
              <w:t>将</w:t>
            </w:r>
            <w:r w:rsidR="006A38F7" w:rsidRPr="006A38F7">
              <w:rPr>
                <w:rFonts w:hint="eastAsia"/>
                <w:lang w:val="zh-CN" w:eastAsia="zh-CN"/>
              </w:rPr>
              <w:t>本文件</w:t>
            </w:r>
            <w:r w:rsidR="006A38F7" w:rsidRPr="006A38F7">
              <w:rPr>
                <w:rFonts w:hint="eastAsia"/>
                <w:b/>
                <w:bCs/>
                <w:lang w:val="zh-CN" w:eastAsia="zh-CN"/>
              </w:rPr>
              <w:t>记录在案</w:t>
            </w:r>
            <w:r>
              <w:rPr>
                <w:rFonts w:hint="eastAsia"/>
                <w:lang w:val="zh-CN" w:eastAsia="zh-CN"/>
              </w:rPr>
              <w:t>。</w:t>
            </w:r>
          </w:p>
          <w:p w14:paraId="5741358B" w14:textId="1BBA2960" w:rsidR="006A38F7" w:rsidRPr="00F91E9A" w:rsidRDefault="006A38F7" w:rsidP="006A38F7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 w:rsidRPr="00F91E9A">
              <w:rPr>
                <w:b/>
                <w:bCs/>
                <w:sz w:val="26"/>
                <w:szCs w:val="26"/>
                <w:lang w:eastAsia="zh-CN"/>
              </w:rPr>
              <w:t>与</w:t>
            </w:r>
            <w:r w:rsidR="00B833A2">
              <w:rPr>
                <w:rFonts w:hint="eastAsia"/>
                <w:b/>
                <w:bCs/>
                <w:sz w:val="26"/>
                <w:szCs w:val="26"/>
                <w:lang w:eastAsia="zh-CN"/>
              </w:rPr>
              <w:t>《</w:t>
            </w:r>
            <w:r w:rsidRPr="00F91E9A">
              <w:rPr>
                <w:b/>
                <w:bCs/>
                <w:sz w:val="26"/>
                <w:szCs w:val="26"/>
                <w:lang w:eastAsia="zh-CN"/>
              </w:rPr>
              <w:t>战略规划</w:t>
            </w:r>
            <w:r w:rsidR="00B833A2">
              <w:rPr>
                <w:rFonts w:hint="eastAsia"/>
                <w:b/>
                <w:bCs/>
                <w:sz w:val="26"/>
                <w:szCs w:val="26"/>
                <w:lang w:eastAsia="zh-CN"/>
              </w:rPr>
              <w:t>》</w:t>
            </w:r>
            <w:r w:rsidRPr="00F91E9A">
              <w:rPr>
                <w:b/>
                <w:bCs/>
                <w:sz w:val="26"/>
                <w:szCs w:val="26"/>
                <w:lang w:eastAsia="zh-CN"/>
              </w:rPr>
              <w:t>的</w:t>
            </w:r>
            <w:r w:rsidR="00B833A2">
              <w:rPr>
                <w:rFonts w:hint="eastAsia"/>
                <w:b/>
                <w:bCs/>
                <w:sz w:val="26"/>
                <w:szCs w:val="26"/>
                <w:lang w:eastAsia="zh-CN"/>
              </w:rPr>
              <w:t>关联</w:t>
            </w:r>
          </w:p>
          <w:p w14:paraId="7BAFFE9E" w14:textId="77777777" w:rsidR="006A38F7" w:rsidRPr="00F91E9A" w:rsidRDefault="006A38F7" w:rsidP="006A38F7">
            <w:pPr>
              <w:ind w:firstLineChars="200" w:firstLine="480"/>
              <w:rPr>
                <w:lang w:eastAsia="zh-CN"/>
              </w:rPr>
            </w:pPr>
            <w:r w:rsidRPr="00F91E9A">
              <w:rPr>
                <w:lang w:eastAsia="zh-CN"/>
              </w:rPr>
              <w:t>国际电联</w:t>
            </w:r>
            <w:r w:rsidRPr="00F91E9A">
              <w:rPr>
                <w:lang w:eastAsia="zh-CN"/>
              </w:rPr>
              <w:t>2024-2027</w:t>
            </w:r>
            <w:r w:rsidRPr="00F91E9A">
              <w:rPr>
                <w:lang w:eastAsia="zh-CN"/>
              </w:rPr>
              <w:t>年战略规划。</w:t>
            </w:r>
          </w:p>
          <w:p w14:paraId="29C7ED89" w14:textId="77777777" w:rsidR="006A38F7" w:rsidRPr="00F91E9A" w:rsidRDefault="006A38F7" w:rsidP="006A38F7">
            <w:pPr>
              <w:spacing w:before="160"/>
              <w:rPr>
                <w:b/>
                <w:bCs/>
                <w:sz w:val="26"/>
                <w:szCs w:val="26"/>
                <w:lang w:eastAsia="zh-CN"/>
              </w:rPr>
            </w:pPr>
            <w:r w:rsidRPr="00F91E9A">
              <w:rPr>
                <w:b/>
                <w:bCs/>
                <w:sz w:val="26"/>
                <w:szCs w:val="26"/>
                <w:lang w:eastAsia="zh-CN"/>
              </w:rPr>
              <w:t>财务影响</w:t>
            </w:r>
          </w:p>
          <w:p w14:paraId="30CED60B" w14:textId="16BB0A18" w:rsidR="006A38F7" w:rsidRPr="008F64AD" w:rsidRDefault="006A38F7" w:rsidP="006A38F7">
            <w:pPr>
              <w:ind w:firstLineChars="200" w:firstLine="480"/>
              <w:rPr>
                <w:rFonts w:ascii="SimSun" w:hAnsi="SimSun" w:cstheme="minorHAnsi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无</w:t>
            </w:r>
          </w:p>
          <w:p w14:paraId="13271E37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5EBEDD26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5B36EB58" w14:textId="4C877632" w:rsidR="00E24D59" w:rsidRDefault="00D94DE8" w:rsidP="00E31DCE">
            <w:pPr>
              <w:spacing w:after="160"/>
              <w:rPr>
                <w:lang w:eastAsia="zh-CN"/>
              </w:rPr>
            </w:pPr>
            <w:hyperlink r:id="rId8" w:history="1">
              <w:r w:rsidR="006A38F7" w:rsidRPr="008C443D">
                <w:rPr>
                  <w:rStyle w:val="Hyperlink"/>
                  <w:sz w:val="22"/>
                  <w:szCs w:val="22"/>
                  <w:lang w:eastAsia="zh-CN"/>
                </w:rPr>
                <w:t>C24/144</w:t>
              </w:r>
            </w:hyperlink>
            <w:r w:rsidR="006A38F7" w:rsidRPr="008C443D">
              <w:rPr>
                <w:rFonts w:ascii="STKaiti" w:eastAsia="STKaiti" w:hAnsi="STKaiti"/>
                <w:sz w:val="22"/>
                <w:szCs w:val="22"/>
                <w:lang w:eastAsia="zh-CN"/>
              </w:rPr>
              <w:t>（外部审计员关于国际电联</w:t>
            </w:r>
            <w:r w:rsidR="006A38F7" w:rsidRPr="007D4350">
              <w:rPr>
                <w:rFonts w:asciiTheme="minorHAnsi" w:eastAsia="STKaiti" w:hAnsiTheme="minorHAnsi" w:cstheme="minorHAnsi"/>
                <w:sz w:val="22"/>
                <w:szCs w:val="22"/>
                <w:lang w:eastAsia="zh-CN"/>
              </w:rPr>
              <w:t>2023</w:t>
            </w:r>
            <w:r w:rsidR="006A38F7" w:rsidRPr="008C443D">
              <w:rPr>
                <w:rFonts w:ascii="STKaiti" w:eastAsia="STKaiti" w:hAnsi="STKaiti"/>
                <w:sz w:val="22"/>
                <w:szCs w:val="22"/>
                <w:lang w:eastAsia="zh-CN"/>
              </w:rPr>
              <w:t>年</w:t>
            </w:r>
            <w:r w:rsidR="00224258" w:rsidRPr="008C443D">
              <w:rPr>
                <w:rFonts w:ascii="STKaiti" w:eastAsia="STKaiti" w:hAnsi="STKaiti"/>
                <w:sz w:val="22"/>
                <w:szCs w:val="22"/>
                <w:lang w:eastAsia="zh-CN"/>
              </w:rPr>
              <w:t>经审计的</w:t>
            </w:r>
            <w:r w:rsidR="006A38F7" w:rsidRPr="008C443D">
              <w:rPr>
                <w:rFonts w:ascii="STKaiti" w:eastAsia="STKaiti" w:hAnsi="STKaiti"/>
                <w:sz w:val="22"/>
                <w:szCs w:val="22"/>
                <w:lang w:eastAsia="zh-CN"/>
              </w:rPr>
              <w:t>财务报表的报告）</w:t>
            </w:r>
          </w:p>
        </w:tc>
      </w:tr>
      <w:bookmarkEnd w:id="2"/>
      <w:bookmarkEnd w:id="6"/>
    </w:tbl>
    <w:p w14:paraId="5451A84B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14:paraId="5BB23842" w14:textId="77777777" w:rsidR="00E24D59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rFonts w:hint="eastAsia"/>
          <w:lang w:eastAsia="zh-CN"/>
        </w:rPr>
        <w:br w:type="page"/>
      </w:r>
    </w:p>
    <w:p w14:paraId="1157B5F7" w14:textId="2175AB65" w:rsidR="006A38F7" w:rsidRPr="00ED2FAA" w:rsidRDefault="006A38F7" w:rsidP="006A38F7">
      <w:pPr>
        <w:overflowPunct/>
        <w:autoSpaceDE/>
        <w:autoSpaceDN/>
        <w:adjustRightInd/>
        <w:spacing w:after="240"/>
        <w:jc w:val="center"/>
        <w:textAlignment w:val="auto"/>
        <w:rPr>
          <w:b/>
          <w:bCs/>
          <w:sz w:val="28"/>
          <w:szCs w:val="28"/>
          <w:lang w:eastAsia="zh-CN"/>
        </w:rPr>
      </w:pPr>
      <w:r w:rsidRPr="00ED2FAA">
        <w:rPr>
          <w:b/>
          <w:bCs/>
          <w:sz w:val="28"/>
          <w:szCs w:val="28"/>
          <w:lang w:eastAsia="zh-CN"/>
        </w:rPr>
        <w:lastRenderedPageBreak/>
        <w:t>IMAC</w:t>
      </w:r>
      <w:r w:rsidR="008C443D">
        <w:rPr>
          <w:rFonts w:hint="eastAsia"/>
          <w:b/>
          <w:bCs/>
          <w:sz w:val="28"/>
          <w:szCs w:val="28"/>
          <w:lang w:eastAsia="zh-CN"/>
        </w:rPr>
        <w:t>审查</w:t>
      </w:r>
      <w:r w:rsidRPr="00ED2FAA">
        <w:rPr>
          <w:b/>
          <w:bCs/>
          <w:sz w:val="28"/>
          <w:szCs w:val="28"/>
          <w:lang w:eastAsia="zh-CN"/>
        </w:rPr>
        <w:t>2023</w:t>
      </w:r>
      <w:r w:rsidRPr="00ED2FAA">
        <w:rPr>
          <w:b/>
          <w:bCs/>
          <w:sz w:val="28"/>
          <w:szCs w:val="28"/>
          <w:lang w:eastAsia="zh-CN"/>
        </w:rPr>
        <w:t>年经审计的财务报表</w:t>
      </w:r>
      <w:r>
        <w:rPr>
          <w:b/>
          <w:bCs/>
          <w:sz w:val="28"/>
          <w:szCs w:val="28"/>
          <w:lang w:eastAsia="zh-CN"/>
        </w:rPr>
        <w:br/>
      </w:r>
      <w:r w:rsidRPr="00ED2FAA">
        <w:rPr>
          <w:b/>
          <w:bCs/>
          <w:sz w:val="28"/>
          <w:szCs w:val="28"/>
          <w:lang w:eastAsia="zh-CN"/>
        </w:rPr>
        <w:t>（</w:t>
      </w:r>
      <w:r w:rsidRPr="00ED2FAA">
        <w:rPr>
          <w:b/>
          <w:bCs/>
          <w:sz w:val="28"/>
          <w:szCs w:val="28"/>
          <w:lang w:eastAsia="zh-CN"/>
        </w:rPr>
        <w:t>2024</w:t>
      </w:r>
      <w:r w:rsidRPr="00ED2FAA">
        <w:rPr>
          <w:b/>
          <w:bCs/>
          <w:sz w:val="28"/>
          <w:szCs w:val="28"/>
          <w:lang w:eastAsia="zh-CN"/>
        </w:rPr>
        <w:t>年</w:t>
      </w:r>
      <w:r w:rsidRPr="00ED2FAA">
        <w:rPr>
          <w:b/>
          <w:bCs/>
          <w:sz w:val="28"/>
          <w:szCs w:val="28"/>
          <w:lang w:eastAsia="zh-CN"/>
        </w:rPr>
        <w:t>9</w:t>
      </w:r>
      <w:r w:rsidRPr="00ED2FAA">
        <w:rPr>
          <w:b/>
          <w:bCs/>
          <w:sz w:val="28"/>
          <w:szCs w:val="28"/>
          <w:lang w:eastAsia="zh-CN"/>
        </w:rPr>
        <w:t>月）</w:t>
      </w:r>
    </w:p>
    <w:p w14:paraId="6CEC8DA2" w14:textId="77777777" w:rsidR="006A38F7" w:rsidRPr="00ED2FAA" w:rsidRDefault="006A38F7" w:rsidP="007D4350">
      <w:pPr>
        <w:pStyle w:val="Normalaftertitle"/>
        <w:ind w:firstLineChars="200" w:firstLine="480"/>
        <w:jc w:val="both"/>
        <w:rPr>
          <w:lang w:eastAsia="zh-CN"/>
        </w:rPr>
      </w:pPr>
      <w:r w:rsidRPr="00ED2FAA">
        <w:rPr>
          <w:lang w:eastAsia="zh-CN"/>
        </w:rPr>
        <w:t>根据</w:t>
      </w:r>
      <w:r w:rsidRPr="00ED2FAA">
        <w:rPr>
          <w:lang w:eastAsia="zh-CN"/>
        </w:rPr>
        <w:t>IMAC</w:t>
      </w:r>
      <w:r w:rsidRPr="00ED2FAA">
        <w:rPr>
          <w:lang w:eastAsia="zh-CN"/>
        </w:rPr>
        <w:t>的职责范围及其在国际电联财务报告、会计、内部控制和风险管理方面的监督职责，委员会于</w:t>
      </w:r>
      <w:r w:rsidRPr="00ED2FAA">
        <w:rPr>
          <w:lang w:eastAsia="zh-CN"/>
        </w:rPr>
        <w:t>2024</w:t>
      </w:r>
      <w:r w:rsidRPr="00ED2FAA">
        <w:rPr>
          <w:lang w:eastAsia="zh-CN"/>
        </w:rPr>
        <w:t>年</w:t>
      </w:r>
      <w:r w:rsidRPr="00ED2FAA">
        <w:rPr>
          <w:lang w:eastAsia="zh-CN"/>
        </w:rPr>
        <w:t>9</w:t>
      </w:r>
      <w:r w:rsidRPr="00ED2FAA">
        <w:rPr>
          <w:lang w:eastAsia="zh-CN"/>
        </w:rPr>
        <w:t>月</w:t>
      </w:r>
      <w:r w:rsidRPr="00ED2FAA">
        <w:rPr>
          <w:lang w:eastAsia="zh-CN"/>
        </w:rPr>
        <w:t>19</w:t>
      </w:r>
      <w:r w:rsidRPr="00ED2FAA">
        <w:rPr>
          <w:lang w:eastAsia="zh-CN"/>
        </w:rPr>
        <w:t>日与管理层和外部审计员审查并讨论了国际电联</w:t>
      </w:r>
      <w:r w:rsidRPr="00ED2FAA">
        <w:rPr>
          <w:lang w:eastAsia="zh-CN"/>
        </w:rPr>
        <w:t>2023</w:t>
      </w:r>
      <w:r w:rsidRPr="00ED2FAA">
        <w:rPr>
          <w:lang w:eastAsia="zh-CN"/>
        </w:rPr>
        <w:t>年经审计的财务报表草案。</w:t>
      </w:r>
    </w:p>
    <w:p w14:paraId="4A0275F0" w14:textId="6731619A" w:rsidR="006A38F7" w:rsidRPr="00ED2FAA" w:rsidRDefault="006A38F7" w:rsidP="007D4350">
      <w:pPr>
        <w:ind w:firstLineChars="200" w:firstLine="480"/>
        <w:jc w:val="both"/>
        <w:rPr>
          <w:lang w:eastAsia="zh-CN"/>
        </w:rPr>
      </w:pPr>
      <w:r w:rsidRPr="00ED2FAA">
        <w:rPr>
          <w:lang w:eastAsia="zh-CN"/>
        </w:rPr>
        <w:t>委员会还与外部审计员一起审查并讨论了审计报告和</w:t>
      </w:r>
      <w:r w:rsidR="00224258">
        <w:rPr>
          <w:rFonts w:hint="eastAsia"/>
          <w:lang w:eastAsia="zh-CN"/>
        </w:rPr>
        <w:t>审计客户声明书</w:t>
      </w:r>
      <w:r w:rsidRPr="00ED2FAA">
        <w:rPr>
          <w:lang w:eastAsia="zh-CN"/>
        </w:rPr>
        <w:t>草案中所列的审计结果，并审议了经调整和未经调整的错报的性质和程度。</w:t>
      </w:r>
    </w:p>
    <w:p w14:paraId="5B735C37" w14:textId="4971FD6F" w:rsidR="006A38F7" w:rsidRPr="00ED2FAA" w:rsidRDefault="006A38F7" w:rsidP="007D4350">
      <w:pPr>
        <w:ind w:firstLineChars="200" w:firstLine="480"/>
        <w:jc w:val="both"/>
        <w:rPr>
          <w:lang w:eastAsia="zh-CN"/>
        </w:rPr>
      </w:pPr>
      <w:r w:rsidRPr="00ED2FAA">
        <w:rPr>
          <w:lang w:eastAsia="zh-CN"/>
        </w:rPr>
        <w:t>委员会对管理层对外部审计员的意见和建议所</w:t>
      </w:r>
      <w:r w:rsidR="00224258">
        <w:rPr>
          <w:rFonts w:hint="eastAsia"/>
          <w:lang w:eastAsia="zh-CN"/>
        </w:rPr>
        <w:t>做出</w:t>
      </w:r>
      <w:r w:rsidRPr="00ED2FAA">
        <w:rPr>
          <w:lang w:eastAsia="zh-CN"/>
        </w:rPr>
        <w:t>的充分回应感到满意。</w:t>
      </w:r>
    </w:p>
    <w:p w14:paraId="73A596A0" w14:textId="42BCD461" w:rsidR="006A38F7" w:rsidRPr="00ED2FAA" w:rsidRDefault="006A38F7" w:rsidP="007D4350">
      <w:pPr>
        <w:ind w:firstLineChars="200" w:firstLine="480"/>
        <w:jc w:val="both"/>
        <w:rPr>
          <w:lang w:eastAsia="zh-CN"/>
        </w:rPr>
      </w:pPr>
      <w:r w:rsidRPr="00ED2FAA">
        <w:rPr>
          <w:lang w:eastAsia="zh-CN"/>
        </w:rPr>
        <w:t>委员会注意到外部审计员</w:t>
      </w:r>
      <w:r w:rsidR="00224258">
        <w:rPr>
          <w:rFonts w:hint="eastAsia"/>
          <w:lang w:eastAsia="zh-CN"/>
        </w:rPr>
        <w:t>有意</w:t>
      </w:r>
      <w:r w:rsidRPr="00ED2FAA">
        <w:rPr>
          <w:lang w:eastAsia="zh-CN"/>
        </w:rPr>
        <w:t>提出无保留意见，并</w:t>
      </w:r>
      <w:r w:rsidR="00BF0678">
        <w:rPr>
          <w:rFonts w:hint="eastAsia"/>
          <w:lang w:eastAsia="zh-CN"/>
        </w:rPr>
        <w:t>就此事</w:t>
      </w:r>
      <w:r w:rsidRPr="00ED2FAA">
        <w:rPr>
          <w:lang w:eastAsia="zh-CN"/>
        </w:rPr>
        <w:t>的</w:t>
      </w:r>
      <w:r w:rsidR="00BF0678">
        <w:rPr>
          <w:rFonts w:hint="eastAsia"/>
          <w:lang w:eastAsia="zh-CN"/>
        </w:rPr>
        <w:t>重点进行了</w:t>
      </w:r>
      <w:r w:rsidR="00BF0678" w:rsidRPr="00ED2FAA">
        <w:rPr>
          <w:lang w:eastAsia="zh-CN"/>
        </w:rPr>
        <w:t>讨论</w:t>
      </w:r>
      <w:r w:rsidRPr="00ED2FAA">
        <w:rPr>
          <w:lang w:eastAsia="zh-CN"/>
        </w:rPr>
        <w:t>。</w:t>
      </w:r>
    </w:p>
    <w:p w14:paraId="32906080" w14:textId="39931CD3" w:rsidR="006A38F7" w:rsidRPr="00ED2FAA" w:rsidRDefault="006A38F7" w:rsidP="007D4350">
      <w:pPr>
        <w:ind w:firstLineChars="200" w:firstLine="480"/>
        <w:jc w:val="both"/>
        <w:rPr>
          <w:lang w:eastAsia="zh-CN"/>
        </w:rPr>
      </w:pPr>
      <w:r w:rsidRPr="00ED2FAA">
        <w:rPr>
          <w:lang w:eastAsia="zh-CN"/>
        </w:rPr>
        <w:t>基于上述</w:t>
      </w:r>
      <w:r w:rsidR="00BF0678">
        <w:rPr>
          <w:rFonts w:hint="eastAsia"/>
          <w:lang w:eastAsia="zh-CN"/>
        </w:rPr>
        <w:t>审查</w:t>
      </w:r>
      <w:r w:rsidRPr="00ED2FAA">
        <w:rPr>
          <w:lang w:eastAsia="zh-CN"/>
        </w:rPr>
        <w:t>和讨论，委员会建议国际电联管理层和理事会着手签署、批准和认可国际电联</w:t>
      </w:r>
      <w:r w:rsidR="00BF0678" w:rsidRPr="00ED2FAA">
        <w:rPr>
          <w:lang w:eastAsia="zh-CN"/>
        </w:rPr>
        <w:t>2023</w:t>
      </w:r>
      <w:r w:rsidR="00BF0678" w:rsidRPr="00ED2FAA">
        <w:rPr>
          <w:lang w:eastAsia="zh-CN"/>
        </w:rPr>
        <w:t>年</w:t>
      </w:r>
      <w:r w:rsidR="00BF0678">
        <w:rPr>
          <w:rFonts w:hint="eastAsia"/>
          <w:lang w:eastAsia="zh-CN"/>
        </w:rPr>
        <w:t>经审计的</w:t>
      </w:r>
      <w:r w:rsidRPr="00ED2FAA">
        <w:rPr>
          <w:lang w:eastAsia="zh-CN"/>
        </w:rPr>
        <w:t>财务报表。</w:t>
      </w:r>
    </w:p>
    <w:p w14:paraId="67D2E963" w14:textId="58DC5BB2" w:rsidR="006A38F7" w:rsidRPr="00ED2FAA" w:rsidRDefault="006A38F7" w:rsidP="007D4350">
      <w:pPr>
        <w:ind w:firstLineChars="200" w:firstLine="480"/>
        <w:jc w:val="both"/>
        <w:rPr>
          <w:lang w:eastAsia="zh-CN"/>
        </w:rPr>
      </w:pPr>
      <w:r w:rsidRPr="00ED2FAA">
        <w:rPr>
          <w:lang w:eastAsia="zh-CN"/>
        </w:rPr>
        <w:t>委员会注意到</w:t>
      </w:r>
      <w:r w:rsidR="00BF0678">
        <w:rPr>
          <w:rFonts w:hint="eastAsia"/>
          <w:lang w:eastAsia="zh-CN"/>
        </w:rPr>
        <w:t>，</w:t>
      </w:r>
      <w:r w:rsidRPr="00ED2FAA">
        <w:rPr>
          <w:lang w:eastAsia="zh-CN"/>
        </w:rPr>
        <w:t>国际电联管理层为根据国际电联《财务规则》和《公共部门会计准则》</w:t>
      </w:r>
      <w:r w:rsidR="00BF0678" w:rsidRPr="00BF0678">
        <w:rPr>
          <w:rFonts w:hint="eastAsia"/>
          <w:lang w:eastAsia="zh-CN"/>
        </w:rPr>
        <w:t>公允列报</w:t>
      </w:r>
      <w:r w:rsidRPr="00ED2FAA">
        <w:rPr>
          <w:lang w:eastAsia="zh-CN"/>
        </w:rPr>
        <w:t>2023</w:t>
      </w:r>
      <w:r w:rsidRPr="00ED2FAA">
        <w:rPr>
          <w:lang w:eastAsia="zh-CN"/>
        </w:rPr>
        <w:t>年财务报表</w:t>
      </w:r>
      <w:r w:rsidR="00BF0678">
        <w:rPr>
          <w:rFonts w:hint="eastAsia"/>
          <w:lang w:eastAsia="zh-CN"/>
        </w:rPr>
        <w:t>做出了</w:t>
      </w:r>
      <w:r w:rsidRPr="00ED2FAA">
        <w:rPr>
          <w:lang w:eastAsia="zh-CN"/>
        </w:rPr>
        <w:t>值得称赞的努力</w:t>
      </w:r>
      <w:r w:rsidR="00BF0678">
        <w:rPr>
          <w:rFonts w:hint="eastAsia"/>
          <w:lang w:eastAsia="zh-CN"/>
        </w:rPr>
        <w:t>，</w:t>
      </w:r>
      <w:r w:rsidR="00BF0678" w:rsidRPr="00BF0678">
        <w:rPr>
          <w:rFonts w:hint="eastAsia"/>
          <w:lang w:eastAsia="zh-CN"/>
        </w:rPr>
        <w:t>委员会</w:t>
      </w:r>
      <w:r w:rsidR="00BF0678">
        <w:rPr>
          <w:rFonts w:hint="eastAsia"/>
          <w:lang w:eastAsia="zh-CN"/>
        </w:rPr>
        <w:t>对此表示赞赏</w:t>
      </w:r>
      <w:r w:rsidRPr="00ED2FAA">
        <w:rPr>
          <w:lang w:eastAsia="zh-CN"/>
        </w:rPr>
        <w:t>。</w:t>
      </w:r>
    </w:p>
    <w:p w14:paraId="21506178" w14:textId="67BED311" w:rsidR="006A38F7" w:rsidRPr="00ED2FAA" w:rsidRDefault="006A38F7" w:rsidP="007D4350">
      <w:pPr>
        <w:ind w:firstLineChars="200" w:firstLine="480"/>
        <w:jc w:val="both"/>
        <w:rPr>
          <w:lang w:eastAsia="zh-CN"/>
        </w:rPr>
      </w:pPr>
      <w:r w:rsidRPr="00ED2FAA">
        <w:rPr>
          <w:lang w:eastAsia="zh-CN"/>
        </w:rPr>
        <w:t>委员会建议，</w:t>
      </w:r>
      <w:r w:rsidR="00E23B39" w:rsidRPr="00ED2FAA">
        <w:rPr>
          <w:lang w:eastAsia="zh-CN"/>
        </w:rPr>
        <w:t>国际电联管理层和理事会</w:t>
      </w:r>
      <w:r w:rsidR="00E23B39" w:rsidRPr="00E23B39">
        <w:rPr>
          <w:rFonts w:hint="eastAsia"/>
          <w:lang w:eastAsia="zh-CN"/>
        </w:rPr>
        <w:t>应关注</w:t>
      </w:r>
      <w:r w:rsidRPr="00ED2FAA">
        <w:rPr>
          <w:lang w:eastAsia="zh-CN"/>
        </w:rPr>
        <w:t>2024</w:t>
      </w:r>
      <w:r w:rsidRPr="00ED2FAA">
        <w:rPr>
          <w:lang w:eastAsia="zh-CN"/>
        </w:rPr>
        <w:t>财年新办公楼项目支出的</w:t>
      </w:r>
      <w:r w:rsidR="00E23B39" w:rsidRPr="00E23B39">
        <w:rPr>
          <w:rFonts w:hint="eastAsia"/>
          <w:lang w:eastAsia="zh-CN"/>
        </w:rPr>
        <w:t>减值</w:t>
      </w:r>
      <w:r w:rsidR="00327B7A">
        <w:rPr>
          <w:rFonts w:hint="eastAsia"/>
          <w:lang w:eastAsia="zh-CN"/>
        </w:rPr>
        <w:t>这一重点</w:t>
      </w:r>
      <w:r w:rsidRPr="00ED2FAA">
        <w:rPr>
          <w:lang w:eastAsia="zh-CN"/>
        </w:rPr>
        <w:t>以及新办公楼修订项目的发展、进度、成本核算和供资问题。</w:t>
      </w:r>
    </w:p>
    <w:p w14:paraId="23B7FEA7" w14:textId="77777777" w:rsidR="006A38F7" w:rsidRPr="00ED2FAA" w:rsidRDefault="006A38F7" w:rsidP="007D4350">
      <w:pPr>
        <w:ind w:firstLineChars="200" w:firstLine="480"/>
        <w:jc w:val="both"/>
        <w:rPr>
          <w:lang w:eastAsia="zh-CN"/>
        </w:rPr>
      </w:pPr>
      <w:r w:rsidRPr="00ED2FAA">
        <w:rPr>
          <w:lang w:eastAsia="zh-CN"/>
        </w:rPr>
        <w:t>委员会期待在未来几周内与外部审计员和国际电联管理</w:t>
      </w:r>
      <w:proofErr w:type="gramStart"/>
      <w:r w:rsidRPr="00ED2FAA">
        <w:rPr>
          <w:lang w:eastAsia="zh-CN"/>
        </w:rPr>
        <w:t>层讨论</w:t>
      </w:r>
      <w:proofErr w:type="gramEnd"/>
      <w:r w:rsidRPr="00ED2FAA">
        <w:rPr>
          <w:lang w:eastAsia="zh-CN"/>
        </w:rPr>
        <w:t>2025</w:t>
      </w:r>
      <w:r w:rsidRPr="00ED2FAA">
        <w:rPr>
          <w:lang w:eastAsia="zh-CN"/>
        </w:rPr>
        <w:t>年审计工作计划，并建议重新关注风险评估和预防欺诈。</w:t>
      </w:r>
    </w:p>
    <w:p w14:paraId="2255A600" w14:textId="4FAAB3A3" w:rsidR="00970A29" w:rsidRDefault="006A38F7" w:rsidP="006A38F7">
      <w:pPr>
        <w:ind w:firstLineChars="200" w:firstLine="480"/>
        <w:rPr>
          <w:color w:val="000000" w:themeColor="text1"/>
          <w:szCs w:val="24"/>
          <w:lang w:eastAsia="zh-CN"/>
        </w:rPr>
      </w:pPr>
      <w:r w:rsidRPr="00ED2FAA">
        <w:rPr>
          <w:lang w:eastAsia="zh-CN"/>
        </w:rPr>
        <w:t>委员会对与外部审计员的高质量</w:t>
      </w:r>
      <w:r w:rsidR="00327B7A">
        <w:rPr>
          <w:rFonts w:hint="eastAsia"/>
          <w:lang w:eastAsia="zh-CN"/>
        </w:rPr>
        <w:t>共事</w:t>
      </w:r>
      <w:r w:rsidRPr="00ED2FAA">
        <w:rPr>
          <w:lang w:eastAsia="zh-CN"/>
        </w:rPr>
        <w:t>表示赞赏。</w:t>
      </w:r>
    </w:p>
    <w:p w14:paraId="5F253535" w14:textId="03A111FC" w:rsidR="00AE195F" w:rsidRPr="007D4350" w:rsidRDefault="00970A29" w:rsidP="007D4350">
      <w:pPr>
        <w:spacing w:before="480"/>
        <w:jc w:val="center"/>
        <w:rPr>
          <w:color w:val="000000" w:themeColor="text1"/>
          <w:szCs w:val="24"/>
          <w:lang w:eastAsia="zh-CN"/>
        </w:rPr>
      </w:pPr>
      <w:r>
        <w:rPr>
          <w:rFonts w:hint="eastAsia"/>
          <w:lang w:val="zh-CN" w:eastAsia="zh-CN"/>
        </w:rPr>
        <w:t>________________</w:t>
      </w:r>
    </w:p>
    <w:sectPr w:rsidR="00AE195F" w:rsidRPr="007D4350" w:rsidSect="00E24D59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77A5F" w14:textId="77777777" w:rsidR="00970A29" w:rsidRDefault="00970A29">
      <w:r>
        <w:separator/>
      </w:r>
    </w:p>
  </w:endnote>
  <w:endnote w:type="continuationSeparator" w:id="0">
    <w:p w14:paraId="537AF23B" w14:textId="77777777" w:rsidR="00970A29" w:rsidRDefault="0097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2E8AAD80" w14:textId="77777777" w:rsidTr="00E31DCE">
      <w:trPr>
        <w:jc w:val="center"/>
      </w:trPr>
      <w:tc>
        <w:tcPr>
          <w:tcW w:w="1803" w:type="dxa"/>
          <w:vAlign w:val="center"/>
        </w:tcPr>
        <w:p w14:paraId="08F7B807" w14:textId="34531ED5" w:rsidR="00E24D59" w:rsidRDefault="00E24D59" w:rsidP="00E24D59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25B95B3" w14:textId="45559326" w:rsidR="00E24D59" w:rsidRPr="00E06FD5" w:rsidRDefault="007D4350" w:rsidP="007D4350">
          <w:pPr>
            <w:pStyle w:val="Header"/>
            <w:tabs>
              <w:tab w:val="left" w:pos="645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24</w:t>
          </w:r>
          <w:r w:rsidRPr="00623AE3">
            <w:rPr>
              <w:bCs/>
            </w:rPr>
            <w:t>/</w:t>
          </w:r>
          <w:r>
            <w:rPr>
              <w:rFonts w:eastAsiaTheme="minorEastAsia" w:hint="eastAsia"/>
              <w:bCs/>
              <w:lang w:eastAsia="zh-CN"/>
            </w:rPr>
            <w:t>22</w:t>
          </w:r>
          <w:r>
            <w:rPr>
              <w:rFonts w:eastAsiaTheme="minorEastAsia"/>
              <w:bCs/>
              <w:lang w:val="en-US" w:eastAsia="zh-CN"/>
            </w:rPr>
            <w:t>(</w:t>
          </w:r>
          <w:r>
            <w:rPr>
              <w:rFonts w:eastAsiaTheme="minorEastAsia" w:hint="eastAsia"/>
              <w:bCs/>
              <w:lang w:eastAsia="zh-CN"/>
            </w:rPr>
            <w:t>Add.</w:t>
          </w:r>
          <w:proofErr w:type="gramStart"/>
          <w:r>
            <w:rPr>
              <w:rFonts w:eastAsiaTheme="minorEastAsia" w:hint="eastAsia"/>
              <w:bCs/>
              <w:lang w:eastAsia="zh-CN"/>
            </w:rPr>
            <w:t>1</w:t>
          </w:r>
          <w:r>
            <w:rPr>
              <w:rFonts w:eastAsiaTheme="minorEastAsia"/>
              <w:bCs/>
              <w:lang w:val="en-US" w:eastAsia="zh-CN"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92EC731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296E7950" w14:textId="77777777" w:rsidTr="00E31DCE">
      <w:trPr>
        <w:jc w:val="center"/>
      </w:trPr>
      <w:tc>
        <w:tcPr>
          <w:tcW w:w="1803" w:type="dxa"/>
          <w:vAlign w:val="center"/>
        </w:tcPr>
        <w:p w14:paraId="1B5F3065" w14:textId="77777777" w:rsidR="00E24D59" w:rsidRDefault="00E24D59" w:rsidP="00E24D59">
          <w:pPr>
            <w:pStyle w:val="Header"/>
            <w:jc w:val="left"/>
            <w:rPr>
              <w:noProof/>
            </w:rPr>
          </w:pPr>
          <w:r w:rsidRPr="00B93453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DD04186" w14:textId="0613CD84" w:rsidR="00E24D59" w:rsidRPr="00E06FD5" w:rsidRDefault="00E24D59" w:rsidP="007D4350">
          <w:pPr>
            <w:pStyle w:val="Header"/>
            <w:tabs>
              <w:tab w:val="left" w:pos="645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B93453">
            <w:rPr>
              <w:bCs/>
            </w:rPr>
            <w:t>4</w:t>
          </w:r>
          <w:r w:rsidRPr="00623AE3">
            <w:rPr>
              <w:bCs/>
            </w:rPr>
            <w:t>/</w:t>
          </w:r>
          <w:r w:rsidR="006A38F7">
            <w:rPr>
              <w:rFonts w:eastAsiaTheme="minorEastAsia" w:hint="eastAsia"/>
              <w:bCs/>
              <w:lang w:eastAsia="zh-CN"/>
            </w:rPr>
            <w:t>22</w:t>
          </w:r>
          <w:r w:rsidR="007D4350">
            <w:rPr>
              <w:rFonts w:eastAsiaTheme="minorEastAsia"/>
              <w:bCs/>
              <w:lang w:val="en-US" w:eastAsia="zh-CN"/>
            </w:rPr>
            <w:t>(</w:t>
          </w:r>
          <w:r w:rsidR="006A38F7">
            <w:rPr>
              <w:rFonts w:eastAsiaTheme="minorEastAsia" w:hint="eastAsia"/>
              <w:bCs/>
              <w:lang w:eastAsia="zh-CN"/>
            </w:rPr>
            <w:t>Add.</w:t>
          </w:r>
          <w:proofErr w:type="gramStart"/>
          <w:r w:rsidR="006A38F7">
            <w:rPr>
              <w:rFonts w:eastAsiaTheme="minorEastAsia" w:hint="eastAsia"/>
              <w:bCs/>
              <w:lang w:eastAsia="zh-CN"/>
            </w:rPr>
            <w:t>1</w:t>
          </w:r>
          <w:r w:rsidR="007D4350">
            <w:rPr>
              <w:rFonts w:eastAsiaTheme="minorEastAsia"/>
              <w:bCs/>
              <w:lang w:val="en-US" w:eastAsia="zh-CN"/>
            </w:rPr>
            <w:t>)</w:t>
          </w:r>
          <w:r w:rsidRPr="00623AE3">
            <w:rPr>
              <w:bCs/>
            </w:rPr>
            <w:t>-</w:t>
          </w:r>
          <w:proofErr w:type="gramEnd"/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E30BE6B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C4B29" w14:textId="77777777" w:rsidR="00970A29" w:rsidRDefault="00970A29">
      <w:r>
        <w:t>____________________</w:t>
      </w:r>
    </w:p>
  </w:footnote>
  <w:footnote w:type="continuationSeparator" w:id="0">
    <w:p w14:paraId="4D42B4EF" w14:textId="77777777" w:rsidR="00970A29" w:rsidRDefault="0097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5366C3D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34EB5958" w14:textId="77777777" w:rsidR="00E24D59" w:rsidRPr="009621F8" w:rsidRDefault="00B93453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4E2A4AB0" wp14:editId="478028BD">
                <wp:extent cx="1987200" cy="558000"/>
                <wp:effectExtent l="0" t="0" r="0" b="0"/>
                <wp:docPr id="11897874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2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3CF4389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15EABF3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7F74034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"/>
  <w:p w14:paraId="2873CFE2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A7BC98" wp14:editId="2FFAD635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843CDC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4120BD2"/>
    <w:multiLevelType w:val="hybridMultilevel"/>
    <w:tmpl w:val="3EC8FD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6F0513"/>
    <w:multiLevelType w:val="hybridMultilevel"/>
    <w:tmpl w:val="DCFE7E38"/>
    <w:lvl w:ilvl="0" w:tplc="BB949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9449368">
    <w:abstractNumId w:val="0"/>
  </w:num>
  <w:num w:numId="2" w16cid:durableId="501241818">
    <w:abstractNumId w:val="2"/>
  </w:num>
  <w:num w:numId="3" w16cid:durableId="371539808">
    <w:abstractNumId w:val="3"/>
  </w:num>
  <w:num w:numId="4" w16cid:durableId="1525828948">
    <w:abstractNumId w:val="5"/>
  </w:num>
  <w:num w:numId="5" w16cid:durableId="2033219779">
    <w:abstractNumId w:val="7"/>
  </w:num>
  <w:num w:numId="6" w16cid:durableId="349645790">
    <w:abstractNumId w:val="6"/>
  </w:num>
  <w:num w:numId="7" w16cid:durableId="1451586466">
    <w:abstractNumId w:val="1"/>
  </w:num>
  <w:num w:numId="8" w16cid:durableId="1647122253">
    <w:abstractNumId w:val="4"/>
    <w:lvlOverride w:ilvl="0">
      <w:lvl w:ilvl="0" w:tplc="0416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</w:num>
  <w:num w:numId="9" w16cid:durableId="1298992771">
    <w:abstractNumId w:val="8"/>
    <w:lvlOverride w:ilvl="0">
      <w:lvl w:ilvl="0" w:tplc="BB949768">
        <w:start w:val="1"/>
        <w:numFmt w:val="lowerLetter"/>
        <w:lvlText w:val="%1)"/>
        <w:lvlJc w:val="left"/>
        <w:pPr>
          <w:ind w:left="108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D5"/>
    <w:rsid w:val="00001B77"/>
    <w:rsid w:val="0000517A"/>
    <w:rsid w:val="00031E72"/>
    <w:rsid w:val="000404D2"/>
    <w:rsid w:val="000853C0"/>
    <w:rsid w:val="0009409E"/>
    <w:rsid w:val="000A1C21"/>
    <w:rsid w:val="000C0BC5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A727B"/>
    <w:rsid w:val="001D5A18"/>
    <w:rsid w:val="00224258"/>
    <w:rsid w:val="00224449"/>
    <w:rsid w:val="00280EB8"/>
    <w:rsid w:val="002A6670"/>
    <w:rsid w:val="002E3278"/>
    <w:rsid w:val="00303502"/>
    <w:rsid w:val="00325C25"/>
    <w:rsid w:val="00327B7A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13BDB"/>
    <w:rsid w:val="00430BF0"/>
    <w:rsid w:val="004672E6"/>
    <w:rsid w:val="00474ED1"/>
    <w:rsid w:val="00493085"/>
    <w:rsid w:val="004A207C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30DD5"/>
    <w:rsid w:val="0065207C"/>
    <w:rsid w:val="00654257"/>
    <w:rsid w:val="0065435A"/>
    <w:rsid w:val="006A2DD3"/>
    <w:rsid w:val="006A38F7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D4350"/>
    <w:rsid w:val="007E189D"/>
    <w:rsid w:val="007F0210"/>
    <w:rsid w:val="00806E3F"/>
    <w:rsid w:val="00811259"/>
    <w:rsid w:val="00813AA2"/>
    <w:rsid w:val="008173A3"/>
    <w:rsid w:val="008418F5"/>
    <w:rsid w:val="0086059C"/>
    <w:rsid w:val="00864589"/>
    <w:rsid w:val="00874C82"/>
    <w:rsid w:val="00890AFB"/>
    <w:rsid w:val="00890FC4"/>
    <w:rsid w:val="00895905"/>
    <w:rsid w:val="008A5E69"/>
    <w:rsid w:val="008C443D"/>
    <w:rsid w:val="008F64AD"/>
    <w:rsid w:val="00911867"/>
    <w:rsid w:val="009164A9"/>
    <w:rsid w:val="009258CB"/>
    <w:rsid w:val="0093362E"/>
    <w:rsid w:val="009356E3"/>
    <w:rsid w:val="009430F9"/>
    <w:rsid w:val="00944563"/>
    <w:rsid w:val="00953160"/>
    <w:rsid w:val="009625D8"/>
    <w:rsid w:val="00970A29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833A2"/>
    <w:rsid w:val="00B93453"/>
    <w:rsid w:val="00BD0954"/>
    <w:rsid w:val="00BD1A5A"/>
    <w:rsid w:val="00BD7A9B"/>
    <w:rsid w:val="00BD7BE1"/>
    <w:rsid w:val="00BF0678"/>
    <w:rsid w:val="00BF416B"/>
    <w:rsid w:val="00C0605D"/>
    <w:rsid w:val="00C45EB2"/>
    <w:rsid w:val="00C64E4E"/>
    <w:rsid w:val="00C66E64"/>
    <w:rsid w:val="00C761A0"/>
    <w:rsid w:val="00C85F7E"/>
    <w:rsid w:val="00C90D53"/>
    <w:rsid w:val="00CA0B2E"/>
    <w:rsid w:val="00CA6EF7"/>
    <w:rsid w:val="00CD47F0"/>
    <w:rsid w:val="00CD5566"/>
    <w:rsid w:val="00CD64D7"/>
    <w:rsid w:val="00CE1122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B3621"/>
    <w:rsid w:val="00DC6427"/>
    <w:rsid w:val="00DD62F5"/>
    <w:rsid w:val="00DD66A1"/>
    <w:rsid w:val="00DE196D"/>
    <w:rsid w:val="00DF6B49"/>
    <w:rsid w:val="00E067C5"/>
    <w:rsid w:val="00E23B39"/>
    <w:rsid w:val="00E24D59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99801"/>
  <w15:docId w15:val="{C654A07E-FE61-43B1-8EBC-940CDE16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L-C-0042/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ITU Council 2024</dc:subject>
  <dc:creator>Chinese</dc:creator>
  <cp:keywords>C2024, C24 Council-24</cp:keywords>
  <dc:description/>
  <cp:lastModifiedBy>LING-C(JL)</cp:lastModifiedBy>
  <cp:revision>2</cp:revision>
  <cp:lastPrinted>2015-02-24T13:23:00Z</cp:lastPrinted>
  <dcterms:created xsi:type="dcterms:W3CDTF">2024-10-29T13:57:00Z</dcterms:created>
  <dcterms:modified xsi:type="dcterms:W3CDTF">2024-10-29T13:57:00Z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