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37F87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04977B38" w:rsidR="00796BD3" w:rsidRPr="00837F87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837F87">
              <w:rPr>
                <w:b/>
              </w:rPr>
              <w:t>Пункт повестки дня:</w:t>
            </w:r>
            <w:r w:rsidR="00007FBE" w:rsidRPr="00837F87">
              <w:rPr>
                <w:b/>
                <w:bCs/>
              </w:rPr>
              <w:t xml:space="preserve"> ADM 3</w:t>
            </w:r>
          </w:p>
        </w:tc>
        <w:tc>
          <w:tcPr>
            <w:tcW w:w="5245" w:type="dxa"/>
          </w:tcPr>
          <w:p w14:paraId="6297DF48" w14:textId="03058A6F" w:rsidR="00796BD3" w:rsidRPr="00837F8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37F87">
              <w:rPr>
                <w:b/>
              </w:rPr>
              <w:t xml:space="preserve">Документ </w:t>
            </w:r>
            <w:proofErr w:type="spellStart"/>
            <w:r w:rsidR="00796BD3" w:rsidRPr="00837F87">
              <w:rPr>
                <w:b/>
              </w:rPr>
              <w:t>C2</w:t>
            </w:r>
            <w:r w:rsidR="00660449" w:rsidRPr="00837F87">
              <w:rPr>
                <w:b/>
              </w:rPr>
              <w:t>4</w:t>
            </w:r>
            <w:proofErr w:type="spellEnd"/>
            <w:r w:rsidR="00796BD3" w:rsidRPr="00837F87">
              <w:rPr>
                <w:b/>
              </w:rPr>
              <w:t>/</w:t>
            </w:r>
            <w:r w:rsidR="00007FBE" w:rsidRPr="00837F87">
              <w:rPr>
                <w:b/>
              </w:rPr>
              <w:t>22</w:t>
            </w:r>
            <w:r w:rsidR="00796BD3" w:rsidRPr="00837F87">
              <w:rPr>
                <w:b/>
              </w:rPr>
              <w:t>-R</w:t>
            </w:r>
          </w:p>
        </w:tc>
      </w:tr>
      <w:tr w:rsidR="00796BD3" w:rsidRPr="00837F87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37F8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3E262E76" w:rsidR="00796BD3" w:rsidRPr="00837F87" w:rsidRDefault="00007FB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837F87">
              <w:rPr>
                <w:b/>
              </w:rPr>
              <w:t>29 мая</w:t>
            </w:r>
            <w:r w:rsidR="00796BD3" w:rsidRPr="00837F87">
              <w:rPr>
                <w:b/>
              </w:rPr>
              <w:t xml:space="preserve"> 202</w:t>
            </w:r>
            <w:r w:rsidR="00660449" w:rsidRPr="00837F87">
              <w:rPr>
                <w:b/>
              </w:rPr>
              <w:t>4</w:t>
            </w:r>
            <w:r w:rsidRPr="00837F87">
              <w:rPr>
                <w:b/>
              </w:rPr>
              <w:t xml:space="preserve"> года</w:t>
            </w:r>
          </w:p>
        </w:tc>
      </w:tr>
      <w:tr w:rsidR="00796BD3" w:rsidRPr="00837F87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37F8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837F8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837F87">
              <w:rPr>
                <w:b/>
              </w:rPr>
              <w:t>Оригинал: английский</w:t>
            </w:r>
          </w:p>
        </w:tc>
      </w:tr>
      <w:tr w:rsidR="00796BD3" w:rsidRPr="00837F87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37F8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Pr="00837F87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37F87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837F87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837F87">
              <w:rPr>
                <w:rFonts w:cstheme="minorHAnsi"/>
                <w:sz w:val="32"/>
                <w:szCs w:val="32"/>
              </w:rPr>
              <w:t>Отчет Генерального секретаря</w:t>
            </w:r>
          </w:p>
        </w:tc>
      </w:tr>
      <w:tr w:rsidR="00796BD3" w:rsidRPr="00837F87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4787D8E3" w:rsidR="00796BD3" w:rsidRPr="00837F87" w:rsidRDefault="00007FB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dtitle1" w:colFirst="0" w:colLast="0"/>
            <w:bookmarkEnd w:id="5"/>
            <w:r w:rsidRPr="00837F87">
              <w:rPr>
                <w:rFonts w:cstheme="minorHAnsi"/>
                <w:sz w:val="32"/>
                <w:szCs w:val="32"/>
              </w:rPr>
              <w:t>ТРИНАДЦАТЫЙ ОТЧЕТ НЕЗАВИСИМОГО КОНСУЛЬТАТИВНОГО КОМИТЕТА ПО УПРАВЛЕНИЮ (IMAC) – Ежегодный отчет за </w:t>
            </w:r>
            <w:proofErr w:type="gramStart"/>
            <w:r w:rsidRPr="00837F87">
              <w:rPr>
                <w:rFonts w:cstheme="minorHAnsi"/>
                <w:sz w:val="32"/>
                <w:szCs w:val="32"/>
              </w:rPr>
              <w:t>2023−2024</w:t>
            </w:r>
            <w:proofErr w:type="gramEnd"/>
            <w:r w:rsidRPr="00837F87">
              <w:rPr>
                <w:rFonts w:cstheme="minorHAnsi"/>
                <w:sz w:val="32"/>
                <w:szCs w:val="32"/>
              </w:rPr>
              <w:t xml:space="preserve"> годы</w:t>
            </w:r>
          </w:p>
        </w:tc>
      </w:tr>
      <w:tr w:rsidR="00796BD3" w:rsidRPr="00837F87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837F87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37F87">
              <w:rPr>
                <w:b/>
                <w:bCs/>
                <w:sz w:val="24"/>
                <w:szCs w:val="24"/>
              </w:rPr>
              <w:t>Назначение</w:t>
            </w:r>
          </w:p>
          <w:p w14:paraId="0EA9CF00" w14:textId="7FAAB3B0" w:rsidR="00796BD3" w:rsidRPr="00837F87" w:rsidRDefault="00007FBE" w:rsidP="00E31DCE">
            <w:r w:rsidRPr="00837F87">
              <w:t xml:space="preserve">В настоящем отчете Независимого консультативного комитета по управлению (IMAC) Совету МСЭ содержится подробный ежегодный отчет IMAC о деятельности за </w:t>
            </w:r>
            <w:proofErr w:type="gramStart"/>
            <w:r w:rsidRPr="00837F87">
              <w:t>2023</w:t>
            </w:r>
            <w:r w:rsidR="001D3EE5" w:rsidRPr="00837F87">
              <w:t>−</w:t>
            </w:r>
            <w:r w:rsidRPr="00837F87">
              <w:t>2024</w:t>
            </w:r>
            <w:proofErr w:type="gramEnd"/>
            <w:r w:rsidRPr="00837F87">
              <w:t xml:space="preserve"> годы для представления на собрании сессии Совета 2024 года.</w:t>
            </w:r>
          </w:p>
          <w:p w14:paraId="2376E3C8" w14:textId="77777777" w:rsidR="00796BD3" w:rsidRPr="00837F87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37F87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00F36419" w:rsidR="00796BD3" w:rsidRPr="00837F87" w:rsidRDefault="00007FBE" w:rsidP="00E31DCE">
            <w:r w:rsidRPr="00837F87">
              <w:t xml:space="preserve">Совету предлагается </w:t>
            </w:r>
            <w:r w:rsidRPr="00837F87">
              <w:rPr>
                <w:b/>
                <w:bCs/>
              </w:rPr>
              <w:t>утвердить</w:t>
            </w:r>
            <w:r w:rsidRPr="00837F87">
              <w:t xml:space="preserve"> отчет IMAC и содержащиеся в нем рекомендации для принятия мер секретариатом.</w:t>
            </w:r>
          </w:p>
          <w:p w14:paraId="4B76B099" w14:textId="77777777" w:rsidR="00796BD3" w:rsidRPr="00837F87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37F87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2361C4AF" w14:textId="5AA65B2C" w:rsidR="00796BD3" w:rsidRPr="00837F87" w:rsidRDefault="00007FBE" w:rsidP="00E31DCE">
            <w:r w:rsidRPr="00837F87">
              <w:t>Стратегический план МСЭ на 2024–2027 годы</w:t>
            </w:r>
          </w:p>
          <w:p w14:paraId="78C34503" w14:textId="157A124A" w:rsidR="00796BD3" w:rsidRPr="00837F87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837F87">
              <w:rPr>
                <w:b/>
                <w:bCs/>
                <w:sz w:val="24"/>
                <w:szCs w:val="24"/>
              </w:rPr>
              <w:t>Финансовые последствия</w:t>
            </w:r>
          </w:p>
          <w:p w14:paraId="4A7742B0" w14:textId="1EE161A9" w:rsidR="00007FBE" w:rsidRPr="00837F87" w:rsidRDefault="00007FBE" w:rsidP="001C044C">
            <w:r w:rsidRPr="00837F87">
              <w:t>Отсутствуют</w:t>
            </w:r>
          </w:p>
          <w:p w14:paraId="763B8351" w14:textId="067B7D01" w:rsidR="00796BD3" w:rsidRPr="00837F87" w:rsidRDefault="00796BD3" w:rsidP="001C044C">
            <w:r w:rsidRPr="00837F87">
              <w:t>__________________</w:t>
            </w:r>
          </w:p>
          <w:p w14:paraId="6429A4BF" w14:textId="77777777" w:rsidR="00796BD3" w:rsidRPr="00837F87" w:rsidRDefault="0033025A" w:rsidP="00E31DC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837F87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7853C646" w:rsidR="00796BD3" w:rsidRPr="00837F87" w:rsidRDefault="00837F87" w:rsidP="00E31DCE">
            <w:pPr>
              <w:spacing w:after="160"/>
            </w:pPr>
            <w:hyperlink r:id="rId7" w:history="1">
              <w:r w:rsidR="00007FBE" w:rsidRPr="00837F87">
                <w:rPr>
                  <w:rStyle w:val="Hyperlink"/>
                  <w:rFonts w:eastAsia="Calibri"/>
                  <w:i/>
                  <w:iCs/>
                  <w:szCs w:val="22"/>
                </w:rPr>
                <w:t>Резолюция 162</w:t>
              </w:r>
            </w:hyperlink>
            <w:hyperlink r:id="rId8" w:history="1">
              <w:r w:rsidR="00007FBE" w:rsidRPr="00837F87">
                <w:rPr>
                  <w:i/>
                  <w:iCs/>
                </w:rPr>
                <w:t xml:space="preserve"> (Пересм. Бухарест, 2022 г.);</w:t>
              </w:r>
              <w:r w:rsidR="00007FBE" w:rsidRPr="00837F87">
                <w:t xml:space="preserve"> </w:t>
              </w:r>
              <w:hyperlink r:id="rId9" w:history="1">
                <w:r w:rsidR="00007FBE" w:rsidRPr="00837F87">
                  <w:rPr>
                    <w:rStyle w:val="Hyperlink"/>
                    <w:rFonts w:eastAsia="Calibri"/>
                    <w:i/>
                    <w:iCs/>
                    <w:szCs w:val="22"/>
                  </w:rPr>
                  <w:t>Решение 633 Совета</w:t>
                </w:r>
              </w:hyperlink>
            </w:hyperlink>
          </w:p>
        </w:tc>
      </w:tr>
      <w:bookmarkEnd w:id="2"/>
      <w:bookmarkEnd w:id="6"/>
    </w:tbl>
    <w:p w14:paraId="6EB9976D" w14:textId="77777777" w:rsidR="00796BD3" w:rsidRPr="00837F87" w:rsidRDefault="00796BD3" w:rsidP="00796BD3"/>
    <w:p w14:paraId="60F31B98" w14:textId="77777777" w:rsidR="00165D06" w:rsidRPr="00837F87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37F87">
        <w:br w:type="page"/>
      </w:r>
    </w:p>
    <w:p w14:paraId="55F82CE2" w14:textId="6073C5FB" w:rsidR="00007FBE" w:rsidRPr="00837F87" w:rsidRDefault="00007FBE" w:rsidP="002D3865">
      <w:pPr>
        <w:pStyle w:val="Heading1"/>
      </w:pPr>
      <w:r w:rsidRPr="00837F87">
        <w:lastRenderedPageBreak/>
        <w:t>A</w:t>
      </w:r>
      <w:r w:rsidR="002D3865" w:rsidRPr="00837F87">
        <w:tab/>
      </w:r>
      <w:r w:rsidRPr="00837F87">
        <w:t>Деятельность IMAC</w:t>
      </w:r>
    </w:p>
    <w:p w14:paraId="2CDEC780" w14:textId="77777777" w:rsidR="00007FBE" w:rsidRPr="00837F87" w:rsidRDefault="00007FBE" w:rsidP="002D3865">
      <w:pPr>
        <w:pStyle w:val="Heading1"/>
      </w:pPr>
      <w:r w:rsidRPr="00837F87">
        <w:t>1</w:t>
      </w:r>
      <w:r w:rsidRPr="00837F87">
        <w:tab/>
        <w:t>Комитет</w:t>
      </w:r>
    </w:p>
    <w:p w14:paraId="79983477" w14:textId="42E29ED6" w:rsidR="00007FBE" w:rsidRPr="00837F87" w:rsidRDefault="00007FBE" w:rsidP="002D3865">
      <w:r w:rsidRPr="00837F87">
        <w:t>1.1</w:t>
      </w:r>
      <w:r w:rsidR="002D3865" w:rsidRPr="00837F87">
        <w:tab/>
      </w:r>
      <w:r w:rsidRPr="00837F87">
        <w:t xml:space="preserve">В настоящем ежегодном отчете Совету 2024 года содержится описание деятельности, проведенной в период 2023–2024 годов. </w:t>
      </w:r>
    </w:p>
    <w:p w14:paraId="5F21B78F" w14:textId="59A6F352" w:rsidR="00007FBE" w:rsidRPr="00837F87" w:rsidRDefault="00007FBE" w:rsidP="002D3865">
      <w:r w:rsidRPr="00837F87">
        <w:t>1.2</w:t>
      </w:r>
      <w:r w:rsidR="002D3865" w:rsidRPr="00837F87">
        <w:tab/>
      </w:r>
      <w:r w:rsidRPr="00837F87">
        <w:t xml:space="preserve">В состав IMAC до конца 2023 года входили г-н </w:t>
      </w:r>
      <w:proofErr w:type="spellStart"/>
      <w:r w:rsidRPr="00837F87">
        <w:t>Камлеш</w:t>
      </w:r>
      <w:proofErr w:type="spellEnd"/>
      <w:r w:rsidRPr="00837F87">
        <w:t xml:space="preserve"> </w:t>
      </w:r>
      <w:proofErr w:type="spellStart"/>
      <w:r w:rsidRPr="00837F87">
        <w:t>ВИКАМСЕЙ</w:t>
      </w:r>
      <w:proofErr w:type="spellEnd"/>
      <w:r w:rsidRPr="00837F87">
        <w:t xml:space="preserve"> (Председатель), г</w:t>
      </w:r>
      <w:r w:rsidR="002D3865" w:rsidRPr="00837F87">
        <w:noBreakHyphen/>
      </w:r>
      <w:r w:rsidRPr="00837F87">
        <w:t>н</w:t>
      </w:r>
      <w:r w:rsidR="002D3865" w:rsidRPr="00837F87">
        <w:t> </w:t>
      </w:r>
      <w:r w:rsidRPr="00837F87">
        <w:t xml:space="preserve">Оноре </w:t>
      </w:r>
      <w:proofErr w:type="spellStart"/>
      <w:r w:rsidRPr="00837F87">
        <w:t>НДОКО</w:t>
      </w:r>
      <w:proofErr w:type="spellEnd"/>
      <w:r w:rsidRPr="00837F87">
        <w:t xml:space="preserve"> (заместитель Председателя), г-жа Сара ХАММЕР, г-н Александр НАРУКАВНИКОВ, г-н Энрике ШНАЙДЕР.</w:t>
      </w:r>
    </w:p>
    <w:p w14:paraId="2B8BCC61" w14:textId="06E55F35" w:rsidR="00007FBE" w:rsidRPr="00837F87" w:rsidRDefault="00007FBE" w:rsidP="002D3865">
      <w:r w:rsidRPr="00837F87">
        <w:t>1.3</w:t>
      </w:r>
      <w:r w:rsidR="002D3865" w:rsidRPr="00837F87">
        <w:tab/>
      </w:r>
      <w:r w:rsidRPr="00837F87">
        <w:t xml:space="preserve">Начиная с 2024 года в членский состав IMAC входят г-н Оноре </w:t>
      </w:r>
      <w:proofErr w:type="spellStart"/>
      <w:r w:rsidRPr="00837F87">
        <w:t>НДОКО</w:t>
      </w:r>
      <w:proofErr w:type="spellEnd"/>
      <w:r w:rsidRPr="00837F87">
        <w:t xml:space="preserve"> (Председатель), г-н Энрике ШНАЙДЕР (заместитель Председателя), г-жа </w:t>
      </w:r>
      <w:proofErr w:type="spellStart"/>
      <w:r w:rsidRPr="00837F87">
        <w:t>Читра</w:t>
      </w:r>
      <w:proofErr w:type="spellEnd"/>
      <w:r w:rsidRPr="00837F87">
        <w:t xml:space="preserve"> БАРТ-</w:t>
      </w:r>
      <w:proofErr w:type="spellStart"/>
      <w:r w:rsidRPr="00837F87">
        <w:t>РАДХАКИШУН</w:t>
      </w:r>
      <w:proofErr w:type="spellEnd"/>
      <w:r w:rsidRPr="00837F87">
        <w:t xml:space="preserve">, г-н </w:t>
      </w:r>
      <w:proofErr w:type="spellStart"/>
      <w:r w:rsidRPr="00837F87">
        <w:t>Ниэль</w:t>
      </w:r>
      <w:proofErr w:type="spellEnd"/>
      <w:r w:rsidRPr="00837F87">
        <w:t xml:space="preserve"> ХАРПЕР, г-н Кристоф Габриэль </w:t>
      </w:r>
      <w:proofErr w:type="spellStart"/>
      <w:r w:rsidRPr="00837F87">
        <w:t>МЭЦЦЕ</w:t>
      </w:r>
      <w:proofErr w:type="spellEnd"/>
      <w:r w:rsidRPr="00837F87">
        <w:t xml:space="preserve"> и г-н Бассам ХАГЕ. Комитет выразил признательность покидающим свои посты членам за их вклады.</w:t>
      </w:r>
    </w:p>
    <w:p w14:paraId="2D2C8081" w14:textId="454F03A1" w:rsidR="00007FBE" w:rsidRPr="00837F87" w:rsidRDefault="00007FBE" w:rsidP="002D3865">
      <w:r w:rsidRPr="00837F87">
        <w:t>1.4</w:t>
      </w:r>
      <w:r w:rsidR="002D3865" w:rsidRPr="00837F87">
        <w:tab/>
      </w:r>
      <w:r w:rsidRPr="00837F87">
        <w:t>После сессии Совета 23 года IMAC провел свои очередные собрания 29 сентября 2023</w:t>
      </w:r>
      <w:r w:rsidR="002D3865" w:rsidRPr="00837F87">
        <w:t> </w:t>
      </w:r>
      <w:r w:rsidRPr="00837F87">
        <w:t>года, 30 октября – 1 ноября 2023 года, 13–15 марта 2024 года и 21–23 мая 2024 года в очном формате в Женеве с возможностью дистанционного участия.</w:t>
      </w:r>
    </w:p>
    <w:p w14:paraId="1F4A917C" w14:textId="6D674B46" w:rsidR="00007FBE" w:rsidRPr="00837F87" w:rsidRDefault="00007FBE" w:rsidP="002D3865">
      <w:r w:rsidRPr="00837F87">
        <w:t>1.5</w:t>
      </w:r>
      <w:r w:rsidR="002D3865" w:rsidRPr="00837F87">
        <w:tab/>
      </w:r>
      <w:r w:rsidRPr="00837F87">
        <w:t>В период 2023/2024 годов члены Комитета провели ряд дополнительных мероприятий и приняли участие в собраниях. Председатель IMAC провел собрания с руководством МСЭ. Кроме того, заместитель председателя IMAC принял участие в ежегодном совещании председателей комитетов по надзору системы ООН, которое состоялось 7–8 декабря 2023 года в штаб-квартире ООН в Нью-Йорке.</w:t>
      </w:r>
    </w:p>
    <w:p w14:paraId="0ABBF381" w14:textId="0944D07A" w:rsidR="00007FBE" w:rsidRPr="00837F87" w:rsidRDefault="00007FBE" w:rsidP="002D3865">
      <w:r w:rsidRPr="00837F87">
        <w:t>1.6</w:t>
      </w:r>
      <w:r w:rsidR="002D3865" w:rsidRPr="00837F87">
        <w:tab/>
      </w:r>
      <w:r w:rsidRPr="00837F87">
        <w:t>В отчетном периоде Комитет вел активную работу во всех сферах своей ответственности, уделяя особое внимание вопросам внутреннего аудита, управления рисками, внутреннего контроля, оценки, этики, финансовой отчетности, финансовых ведомостей и внешнего аудита. В соответствии с поручением ПК-22 особое внимание уделялось вопросам ИТ и безопасности ИТ.</w:t>
      </w:r>
    </w:p>
    <w:p w14:paraId="67794AD7" w14:textId="77777777" w:rsidR="00007FBE" w:rsidRPr="00837F87" w:rsidRDefault="00007FBE" w:rsidP="002D3865">
      <w:pPr>
        <w:pStyle w:val="Heading1"/>
      </w:pPr>
      <w:r w:rsidRPr="00837F87">
        <w:t>2</w:t>
      </w:r>
      <w:r w:rsidRPr="00837F87">
        <w:tab/>
        <w:t>Декларация и заявление о личных, финансовых и иных интересах</w:t>
      </w:r>
    </w:p>
    <w:p w14:paraId="3339160A" w14:textId="42052B01" w:rsidR="00007FBE" w:rsidRPr="00837F87" w:rsidRDefault="00007FBE" w:rsidP="00007FBE">
      <w:pPr>
        <w:rPr>
          <w:rFonts w:cstheme="minorHAnsi"/>
        </w:rPr>
      </w:pPr>
      <w:r w:rsidRPr="00837F87">
        <w:t>2.1</w:t>
      </w:r>
      <w:r w:rsidR="002D3865" w:rsidRPr="00837F87">
        <w:tab/>
      </w:r>
      <w:r w:rsidRPr="00837F87">
        <w:t>Каждый член подтвердил свою приверженность соблюдению этических норм организации путем заполнения декларации об отсутствии конфликта интересов. Эти ежегодные декларации были направлены в Управление по вопросам этики для официального представления Председателю Совета МСЭ в соответствии с кругом ведения IMAC.</w:t>
      </w:r>
    </w:p>
    <w:p w14:paraId="300F41BE" w14:textId="77777777" w:rsidR="00007FBE" w:rsidRPr="00837F87" w:rsidRDefault="00007FBE" w:rsidP="002D3865">
      <w:pPr>
        <w:pStyle w:val="Heading1"/>
      </w:pPr>
      <w:r w:rsidRPr="00837F87">
        <w:t>3</w:t>
      </w:r>
      <w:r w:rsidRPr="00837F87">
        <w:tab/>
        <w:t>Выборы должностных лиц IMAC</w:t>
      </w:r>
    </w:p>
    <w:p w14:paraId="5459F422" w14:textId="282681AC" w:rsidR="00007FBE" w:rsidRPr="00837F87" w:rsidRDefault="00007FBE" w:rsidP="00007FBE">
      <w:pPr>
        <w:rPr>
          <w:rFonts w:cstheme="minorHAnsi"/>
        </w:rPr>
      </w:pPr>
      <w:r w:rsidRPr="00837F87">
        <w:t>3.1</w:t>
      </w:r>
      <w:r w:rsidR="002D3865" w:rsidRPr="00837F87">
        <w:tab/>
      </w:r>
      <w:r w:rsidRPr="00837F87">
        <w:t xml:space="preserve">На собрании в марте 2024 года – первой встрече в рамках нового мандата – Комитет единогласно избрал г-на Оноре </w:t>
      </w:r>
      <w:proofErr w:type="spellStart"/>
      <w:r w:rsidRPr="00837F87">
        <w:t>Ндоко</w:t>
      </w:r>
      <w:proofErr w:type="spellEnd"/>
      <w:r w:rsidRPr="00837F87">
        <w:t xml:space="preserve"> своим председателем и г-на Энрике Шнайдера заместителем председателя сроком на два года. Комитет подчеркнул важность сбалансированного представительства с учетом различных параметров, включая гендерные аспекты, экономическое развитие, размеры стран и географическое разнообразие.</w:t>
      </w:r>
    </w:p>
    <w:p w14:paraId="19F79B97" w14:textId="476C4E6F" w:rsidR="00007FBE" w:rsidRPr="00837F87" w:rsidRDefault="00007FBE" w:rsidP="00007FBE">
      <w:pPr>
        <w:pStyle w:val="Heading1"/>
      </w:pPr>
      <w:r w:rsidRPr="00837F87">
        <w:rPr>
          <w:bCs/>
        </w:rPr>
        <w:t>4</w:t>
      </w:r>
      <w:r w:rsidRPr="00837F87">
        <w:tab/>
      </w:r>
      <w:r w:rsidRPr="00837F87">
        <w:rPr>
          <w:bCs/>
        </w:rPr>
        <w:t>Исполнение обязанностей и заявление о независимости</w:t>
      </w:r>
    </w:p>
    <w:p w14:paraId="4B189E29" w14:textId="4FF1CAD1" w:rsidR="00007FBE" w:rsidRPr="00837F87" w:rsidRDefault="00007FBE" w:rsidP="00007FBE">
      <w:r w:rsidRPr="00837F87">
        <w:t>4.1</w:t>
      </w:r>
      <w:r w:rsidR="002D3865" w:rsidRPr="00837F87">
        <w:tab/>
      </w:r>
      <w:r w:rsidRPr="00837F87">
        <w:t>Комитет полностью выполнил свои обязанности в соответствии со своим кругом ведения и планом работы, а также запросами руководства и Совета.</w:t>
      </w:r>
    </w:p>
    <w:p w14:paraId="0A786E7A" w14:textId="4A3809F0" w:rsidR="00007FBE" w:rsidRPr="00837F87" w:rsidRDefault="00007FBE" w:rsidP="00007FBE">
      <w:pPr>
        <w:rPr>
          <w:rFonts w:cstheme="minorHAnsi"/>
        </w:rPr>
      </w:pPr>
      <w:r w:rsidRPr="00837F87">
        <w:t>4.2</w:t>
      </w:r>
      <w:r w:rsidR="002D3865" w:rsidRPr="00837F87">
        <w:tab/>
      </w:r>
      <w:r w:rsidRPr="00837F87">
        <w:t xml:space="preserve">Надзорная и консультативная деятельность Комитета не подвергалась вмешательству, и не было выявлено никаких обстоятельств (реальных или предполагаемых), которые могли бы отрицательно сказаться на его независимости. При осуществлении своей работы в течение </w:t>
      </w:r>
      <w:r w:rsidRPr="00837F87">
        <w:lastRenderedPageBreak/>
        <w:t xml:space="preserve">отчетного периода члены IMAC пользовались полной поддержкой со стороны руководства и сотрудников МСЭ, которые всегда проявляли готовность к сотрудничеству с ними в ходе регулярного конструктивного взаимодействия. </w:t>
      </w:r>
    </w:p>
    <w:p w14:paraId="49330128" w14:textId="77777777" w:rsidR="00007FBE" w:rsidRPr="00837F87" w:rsidRDefault="00007FBE" w:rsidP="00007FBE">
      <w:pPr>
        <w:pStyle w:val="Heading1"/>
      </w:pPr>
      <w:r w:rsidRPr="00837F87">
        <w:rPr>
          <w:bCs/>
        </w:rPr>
        <w:t>5</w:t>
      </w:r>
      <w:r w:rsidRPr="00837F87">
        <w:tab/>
      </w:r>
      <w:r w:rsidRPr="00837F87">
        <w:rPr>
          <w:bCs/>
        </w:rPr>
        <w:t>Ход выполнения рекомендаций IMAC</w:t>
      </w:r>
    </w:p>
    <w:p w14:paraId="44C03645" w14:textId="13544930" w:rsidR="00007FBE" w:rsidRPr="00837F87" w:rsidRDefault="00007FBE" w:rsidP="00007FBE">
      <w:r w:rsidRPr="00837F87">
        <w:t>5.1</w:t>
      </w:r>
      <w:r w:rsidR="002D3865" w:rsidRPr="00837F87">
        <w:tab/>
      </w:r>
      <w:r w:rsidRPr="00837F87">
        <w:t>Следуя своей обычной практике и стремясь оказать помощь Совету в надзоре за реализацией мер, принятых в связи с рекомендациями IMAC, Комитет провел тщательный анализ хода выполнения своих предыдущих рекомендаций.</w:t>
      </w:r>
    </w:p>
    <w:p w14:paraId="1CEECDA2" w14:textId="5896B79D" w:rsidR="00007FBE" w:rsidRPr="00837F87" w:rsidRDefault="00007FBE" w:rsidP="00007FBE">
      <w:pPr>
        <w:rPr>
          <w:rFonts w:cstheme="minorHAnsi"/>
        </w:rPr>
      </w:pPr>
      <w:r w:rsidRPr="00837F87">
        <w:t>5.2</w:t>
      </w:r>
      <w:r w:rsidR="002D3865" w:rsidRPr="00837F87">
        <w:tab/>
      </w:r>
      <w:r w:rsidRPr="00837F87">
        <w:t>На данный момент примерно 78% рекомендаций IMAC успешно реализованы, при этом 61 из 78 рекомендаций полностью выполнены. Однако остаются еще 17 рекомендаций, которые в настоящее время находятся в процессе выполнения секретариатом.</w:t>
      </w:r>
    </w:p>
    <w:p w14:paraId="10538E28" w14:textId="49817AC8" w:rsidR="00007FBE" w:rsidRPr="00837F87" w:rsidRDefault="00007FBE" w:rsidP="00007FBE">
      <w:pPr>
        <w:rPr>
          <w:rFonts w:cstheme="minorHAnsi"/>
        </w:rPr>
      </w:pPr>
      <w:r w:rsidRPr="00837F87">
        <w:t>5.3</w:t>
      </w:r>
      <w:r w:rsidR="002D3865" w:rsidRPr="00837F87">
        <w:tab/>
      </w:r>
      <w:r w:rsidRPr="00837F87">
        <w:t>Утверждение тринадцати рекомендаций, включенных в 12-й ежегодный отчет IMAC Совету в июне 2023 года, было отложено. В течение отчетного периода были завершены мероприятия, направленные на выполнение трех из этих рекомендаций, поэтому теперь они будут считаться закрытыми. Меры по выполнению остальных десяти рекомендаций (перечисленных в Приложении 1 к настоящему отчету) имеют решающее значение и дополняют замечания и выводы настоящего отчета.</w:t>
      </w:r>
    </w:p>
    <w:p w14:paraId="708140E3" w14:textId="4C9771B5" w:rsidR="00007FBE" w:rsidRPr="00837F87" w:rsidRDefault="00007FBE" w:rsidP="00007FBE">
      <w:pPr>
        <w:pStyle w:val="Heading1"/>
      </w:pPr>
      <w:r w:rsidRPr="00837F87">
        <w:rPr>
          <w:bCs/>
        </w:rPr>
        <w:t>B</w:t>
      </w:r>
      <w:r w:rsidR="002D3865" w:rsidRPr="00837F87">
        <w:rPr>
          <w:bCs/>
        </w:rPr>
        <w:tab/>
      </w:r>
      <w:r w:rsidRPr="00837F87">
        <w:rPr>
          <w:bCs/>
        </w:rPr>
        <w:t>Основные выводы и рекомендации</w:t>
      </w:r>
    </w:p>
    <w:p w14:paraId="29A332B0" w14:textId="2512C717" w:rsidR="00007FBE" w:rsidRPr="00837F87" w:rsidRDefault="00007FBE" w:rsidP="00007FBE">
      <w:r w:rsidRPr="00837F87">
        <w:t>Комитет рассмотрел результаты работы по проверке, проведенной независимыми надзорными органами в течение отчетного периода. В их числе – долгожданное завершение Внешним аудитором в январе 2024 года анализа финансовой отчетности за 2022 год, по результатам которого было вынесено заключение без оговорок и отдельное измененное заключение в отношении добровольных платежей с указанием возникших вопросов и рекомендаций, а также были обнародованы результаты работы Подразделения внутреннего аудита. Учитывая результаты консультаций Комитета с надзорными органами и органами по обеспечению добросовестности, а также с коллегами из руководства, Комитет считает, что базовое функционирование системы независимого надзора и управления налажено, но при этом выявлен ряд областей, требующих доработки. В связи с этим Комитет продолжает призывать МСЭ в полной мере использовать возможности для дальнейшего укрепления подотчетности, внутреннего контроля и мер по борьбе с мошенничеством в рамках реорганизации структур, систем и процессов. При реорганизации следует учитывать преимущества более "умных" технологий и искусственного интеллекта.</w:t>
      </w:r>
    </w:p>
    <w:p w14:paraId="74DC44E7" w14:textId="77777777" w:rsidR="00007FBE" w:rsidRPr="00837F87" w:rsidRDefault="00007FBE" w:rsidP="00007FBE">
      <w:pPr>
        <w:pStyle w:val="Heading1"/>
      </w:pPr>
      <w:r w:rsidRPr="00837F87">
        <w:rPr>
          <w:bCs/>
        </w:rPr>
        <w:t>6</w:t>
      </w:r>
      <w:r w:rsidRPr="00837F87">
        <w:tab/>
      </w:r>
      <w:r w:rsidRPr="00837F87">
        <w:rPr>
          <w:bCs/>
        </w:rPr>
        <w:t>Внешний надзор</w:t>
      </w:r>
    </w:p>
    <w:p w14:paraId="414C503F" w14:textId="6FB47891" w:rsidR="00007FBE" w:rsidRPr="00837F87" w:rsidRDefault="00007FBE" w:rsidP="00007FBE">
      <w:pPr>
        <w:rPr>
          <w:rFonts w:cstheme="minorHAnsi"/>
        </w:rPr>
      </w:pPr>
      <w:r w:rsidRPr="00837F87">
        <w:t>6.1</w:t>
      </w:r>
      <w:r w:rsidR="002D3865" w:rsidRPr="00837F87">
        <w:tab/>
      </w:r>
      <w:r w:rsidRPr="00837F87">
        <w:t xml:space="preserve">Комитет приветствовал завершение проверки и сертификации финансовой отчетности МСЭ за 2022 год, в результате которых были представлены заключение без оговорок и отдельное измененное заключение в отношении добровольных платежей. Комитет принял к сведению согласованные рекомендации и настоятельно призвал руководство оперативно работать над осуществлением мер по выполнению. </w:t>
      </w:r>
    </w:p>
    <w:p w14:paraId="27AF6452" w14:textId="6CF7F80C" w:rsidR="00007FBE" w:rsidRPr="00837F87" w:rsidRDefault="00007FBE" w:rsidP="00007FBE">
      <w:pPr>
        <w:rPr>
          <w:rFonts w:cstheme="minorHAnsi"/>
        </w:rPr>
      </w:pPr>
      <w:r w:rsidRPr="00837F87">
        <w:t>6.2</w:t>
      </w:r>
      <w:r w:rsidR="002D3865" w:rsidRPr="00837F87">
        <w:tab/>
      </w:r>
      <w:r w:rsidRPr="00837F87">
        <w:t xml:space="preserve">Комитет отдает себе отчет в том, что проверка и сертификация финансовой отчетности МСЭ за 2023 год не будут завершены своевременно к сессии Совета 2024 года. Комитет провел несколько специальных встреч с Внешним аудитором и обсудил причины несоблюдения предельных сроков. Комитет с удовлетворением отметил, что проверка близится к завершению и приветствовал уровень уверенности, который будет отражен в промежуточном подробном отчете Внешнего аудитора. Комитет представил убедительные аргументы </w:t>
      </w:r>
      <w:r w:rsidRPr="00837F87">
        <w:lastRenderedPageBreak/>
        <w:t xml:space="preserve">относительно подхода к потенциальному обесценению или списанию капитальных затрат по проекту строительства здания. </w:t>
      </w:r>
    </w:p>
    <w:p w14:paraId="0EA852B1" w14:textId="1A592F0E" w:rsidR="00007FBE" w:rsidRPr="00837F87" w:rsidRDefault="00007FBE" w:rsidP="00007FBE">
      <w:pPr>
        <w:rPr>
          <w:rFonts w:cstheme="minorHAnsi"/>
        </w:rPr>
      </w:pPr>
      <w:r w:rsidRPr="00837F87">
        <w:t>6.3</w:t>
      </w:r>
      <w:r w:rsidR="002D3865" w:rsidRPr="00837F87">
        <w:tab/>
      </w:r>
      <w:r w:rsidRPr="00837F87">
        <w:t>Комитет согласился с просьбой о проведении в сентябре собрания для рассмотрения выводов внешних аудиторов до их утверждения и обнародования аудиторского заключения.</w:t>
      </w:r>
    </w:p>
    <w:p w14:paraId="6A790CEA" w14:textId="27D50C4D" w:rsidR="00007FBE" w:rsidRPr="00837F87" w:rsidRDefault="00007FBE" w:rsidP="00007FBE">
      <w:pPr>
        <w:rPr>
          <w:rFonts w:cstheme="minorHAnsi"/>
        </w:rPr>
      </w:pPr>
      <w:r w:rsidRPr="00837F87">
        <w:t>6.4</w:t>
      </w:r>
      <w:r w:rsidR="002D3865" w:rsidRPr="00837F87">
        <w:tab/>
      </w:r>
      <w:r w:rsidRPr="00837F87">
        <w:t>Комитет рассмотрит план работы Внешнего аудитора в последнем квартале 2024</w:t>
      </w:r>
      <w:r w:rsidR="002D3865" w:rsidRPr="00837F87">
        <w:t> </w:t>
      </w:r>
      <w:r w:rsidRPr="00837F87">
        <w:t>года. Рассмотрение плана работы, как ожидается, подтвердит, что проверка финансовой отчетности МСЭ за 2024 год будет снова проходить в штатном режиме и будет завершена до сессии Совета 2025 года.</w:t>
      </w:r>
    </w:p>
    <w:p w14:paraId="40F16B30" w14:textId="77777777" w:rsidR="00007FBE" w:rsidRPr="00837F87" w:rsidRDefault="00007FBE" w:rsidP="00007FBE">
      <w:pPr>
        <w:pStyle w:val="Heading1"/>
      </w:pPr>
      <w:r w:rsidRPr="00837F87">
        <w:rPr>
          <w:bCs/>
        </w:rPr>
        <w:t>7</w:t>
      </w:r>
      <w:r w:rsidRPr="00837F87">
        <w:tab/>
      </w:r>
      <w:r w:rsidRPr="00837F87">
        <w:rPr>
          <w:bCs/>
        </w:rPr>
        <w:t>Независимый внутренний надзор</w:t>
      </w:r>
    </w:p>
    <w:p w14:paraId="08A9E5C9" w14:textId="77777777" w:rsidR="00007FBE" w:rsidRPr="00837F87" w:rsidRDefault="00007FBE" w:rsidP="00007FBE">
      <w:pPr>
        <w:pStyle w:val="Headingb"/>
      </w:pPr>
      <w:r w:rsidRPr="00837F87">
        <w:rPr>
          <w:bCs/>
        </w:rPr>
        <w:t>Внутренний аудит</w:t>
      </w:r>
    </w:p>
    <w:p w14:paraId="78E0FF39" w14:textId="0A006D28" w:rsidR="00007FBE" w:rsidRPr="00837F87" w:rsidRDefault="00007FBE" w:rsidP="00007FBE">
      <w:r w:rsidRPr="00837F87">
        <w:t>7.1</w:t>
      </w:r>
      <w:r w:rsidR="002D3865" w:rsidRPr="00837F87">
        <w:tab/>
      </w:r>
      <w:r w:rsidRPr="00837F87">
        <w:t>Комитет регулярно встречался с руководителем Подразделения внутреннего аудита для обсуждения программ, процессов и результатов аудита. Что касается состояния дел с решением вопросов, поднятых подразделением внутреннего аудита, Комитет отметил наличие давних рекомендаций, которые еще предстоит выполнить, и рекомендовал установить согласованные с соответствующими департаментами предельные сроки выпуска отчетов о</w:t>
      </w:r>
      <w:r w:rsidR="002D3865" w:rsidRPr="00837F87">
        <w:t> </w:t>
      </w:r>
      <w:r w:rsidRPr="00837F87">
        <w:t>принятии мер и выполнении рекомендаций.</w:t>
      </w:r>
    </w:p>
    <w:p w14:paraId="6AAC182E" w14:textId="4D5AFF96" w:rsidR="00007FBE" w:rsidRPr="00837F87" w:rsidRDefault="00007FBE" w:rsidP="00007FBE">
      <w:r w:rsidRPr="00837F87">
        <w:t>7.2</w:t>
      </w:r>
      <w:r w:rsidR="002D3865" w:rsidRPr="00837F87">
        <w:tab/>
      </w:r>
      <w:r w:rsidRPr="00837F87">
        <w:t>IMAC с обеспокоенностью отметил, что несколько рекомендаций по итогам внутреннего аудита остались невыполненными, причем некоторые из них были вынесены еще в 2016 году. Задержка в выполнении важнейших рекомендаций аудиторов подрывает эффективность процессов руководства, управления рисками и контроля в МСЭ. IMAC настоятельно призывает руководство МСЭ уделить первоочередное внимание выполнению этих оставшихся рекомендаций.</w:t>
      </w:r>
    </w:p>
    <w:p w14:paraId="67287AE5" w14:textId="6B178C74" w:rsidR="00007FBE" w:rsidRPr="00837F87" w:rsidRDefault="00007FBE" w:rsidP="00007FBE">
      <w:r w:rsidRPr="00837F87">
        <w:t>7.3</w:t>
      </w:r>
      <w:r w:rsidR="002D3865" w:rsidRPr="00837F87">
        <w:tab/>
      </w:r>
      <w:r w:rsidRPr="00837F87">
        <w:t>IMAC отмечает, что, хотя в некоторых областях был достигнут прогресс в отношении этих рекомендаций, общее количество открытых вопросов, связанных с аудитом, остается неизменным (29 открытых вопросов по судебно-бухгалтерской экспертизе и 67 открытых вопросов по внутреннему аудиту). Комитет подчеркивает важность того, чтобы все органы в рамках МСЭ выполнили рекомендованные меры. Комитет придает особое значение точному и своевременному решению вопросов, выявленных в ходе аудиторских проверок, ввиду их важности и положительного воздействия на организацию в целом. Кроме того, невыполненные рекомендации по итогам аудита представляют для МСЭ высокий риск. В этом отношении необходимо усилить подотчетность.</w:t>
      </w:r>
    </w:p>
    <w:p w14:paraId="16FF8965" w14:textId="77777777" w:rsidR="00007FBE" w:rsidRPr="00837F87" w:rsidRDefault="00007FBE" w:rsidP="00007FBE">
      <w:pPr>
        <w:pStyle w:val="Headingb"/>
      </w:pPr>
      <w:r w:rsidRPr="00837F87">
        <w:rPr>
          <w:bCs/>
        </w:rPr>
        <w:t>Подразделение по надзору</w:t>
      </w:r>
    </w:p>
    <w:p w14:paraId="6446B83D" w14:textId="6BB7DFB5" w:rsidR="00007FBE" w:rsidRPr="00837F87" w:rsidRDefault="00007FBE" w:rsidP="00007FBE">
      <w:pPr>
        <w:rPr>
          <w:rFonts w:cstheme="minorHAnsi"/>
        </w:rPr>
      </w:pPr>
      <w:r w:rsidRPr="00837F87">
        <w:t>7.4</w:t>
      </w:r>
      <w:r w:rsidR="002D3865" w:rsidRPr="00837F87">
        <w:tab/>
      </w:r>
      <w:r w:rsidRPr="00837F87">
        <w:t xml:space="preserve">IMAC на регулярной основе получал информацию о процессе создания подразделения по надзору и по мере необходимости предоставлял консультации и руководящие указания по </w:t>
      </w:r>
      <w:proofErr w:type="gramStart"/>
      <w:r w:rsidRPr="00837F87">
        <w:t>возникающим</w:t>
      </w:r>
      <w:proofErr w:type="gramEnd"/>
      <w:r w:rsidRPr="00837F87">
        <w:t xml:space="preserve"> в связи с этим вопросам. Дополнительные замечания и предложения по проекту устава Подразделения по надзору были представлены в отдельном документе для РГС-ФЛР.</w:t>
      </w:r>
    </w:p>
    <w:p w14:paraId="0816E01E" w14:textId="37FAA691" w:rsidR="00007FBE" w:rsidRPr="00837F87" w:rsidRDefault="00007FBE" w:rsidP="00007FBE">
      <w:proofErr w:type="gramStart"/>
      <w:r w:rsidRPr="00837F87">
        <w:t>7.5</w:t>
      </w:r>
      <w:r w:rsidR="002D3865" w:rsidRPr="00837F87">
        <w:tab/>
      </w:r>
      <w:r w:rsidRPr="00837F87">
        <w:t>Кроме того</w:t>
      </w:r>
      <w:proofErr w:type="gramEnd"/>
      <w:r w:rsidRPr="00837F87">
        <w:t>, Комитет считает, что принятие устава Подразделения по надзору должно сопровождаться упорядочением всех соответствующих процессов, мер политики, инструкций и других административных правил и регламентов в рамках МСЭ, а также согласованием мандатов других независимых функций. Независимость, подотчетность и беспристрастность в отношении таких функций, как надзор и этика, имеют особое значение и должны быть отражены в мандатах.</w:t>
      </w:r>
    </w:p>
    <w:p w14:paraId="70A09E36" w14:textId="77777777" w:rsidR="00007FBE" w:rsidRPr="00837F87" w:rsidRDefault="00007FBE" w:rsidP="00007FBE">
      <w:pPr>
        <w:pStyle w:val="Heading1"/>
      </w:pPr>
      <w:r w:rsidRPr="00837F87">
        <w:rPr>
          <w:bCs/>
        </w:rPr>
        <w:lastRenderedPageBreak/>
        <w:t>8</w:t>
      </w:r>
      <w:r w:rsidRPr="00837F87">
        <w:tab/>
      </w:r>
      <w:r w:rsidRPr="00837F87">
        <w:rPr>
          <w:bCs/>
        </w:rPr>
        <w:t>Бухгалтерский учет и управление финансами и отчетность</w:t>
      </w:r>
    </w:p>
    <w:p w14:paraId="5CE26A1D" w14:textId="77777777" w:rsidR="00007FBE" w:rsidRPr="00837F87" w:rsidRDefault="00007FBE" w:rsidP="00007FBE">
      <w:pPr>
        <w:pStyle w:val="Headingb"/>
      </w:pPr>
      <w:r w:rsidRPr="00837F87">
        <w:rPr>
          <w:bCs/>
        </w:rPr>
        <w:t>Предлагаемые поправки к Финансовому регламенту и Финансовым правилам – издание 2018 года</w:t>
      </w:r>
    </w:p>
    <w:p w14:paraId="750DB4F8" w14:textId="7450249F" w:rsidR="00007FBE" w:rsidRPr="00837F87" w:rsidRDefault="00007FBE" w:rsidP="002D3865">
      <w:pPr>
        <w:rPr>
          <w:rFonts w:cstheme="minorHAnsi"/>
        </w:rPr>
      </w:pPr>
      <w:r w:rsidRPr="00837F87">
        <w:t>8.1</w:t>
      </w:r>
      <w:r w:rsidR="002D3865" w:rsidRPr="00837F87">
        <w:tab/>
      </w:r>
      <w:r w:rsidRPr="00837F87">
        <w:t>Комитет рассмотрел предложения о внесении поправок и рекомендовал избегать путаницы между элементами отчетности о поступлениях и расходах и категориями балансовой ведомости учреждения, собственного капитала и резерва капитала. Комитет также рекомендовал проверить реалистичность сферы охвата и сроков представления предложений.</w:t>
      </w:r>
    </w:p>
    <w:p w14:paraId="29E49784" w14:textId="77777777" w:rsidR="00007FBE" w:rsidRPr="00837F87" w:rsidRDefault="00007FBE" w:rsidP="002D3865">
      <w:pPr>
        <w:pStyle w:val="Headingb"/>
      </w:pPr>
      <w:r w:rsidRPr="00837F87">
        <w:t>Управление финансами</w:t>
      </w:r>
    </w:p>
    <w:p w14:paraId="41955B86" w14:textId="1DA8CF24" w:rsidR="00007FBE" w:rsidRPr="00837F87" w:rsidRDefault="00007FBE" w:rsidP="002D3865">
      <w:pPr>
        <w:rPr>
          <w:rFonts w:cstheme="minorHAnsi"/>
        </w:rPr>
      </w:pPr>
      <w:r w:rsidRPr="00837F87">
        <w:t>8.2</w:t>
      </w:r>
      <w:r w:rsidR="002D3865" w:rsidRPr="00837F87">
        <w:tab/>
      </w:r>
      <w:r w:rsidRPr="00837F87">
        <w:t>Комитет высоко оценил усилия по экономии средств и рациональное управление поступлениями с учетом изменения процентных ставок, которые помогли покрыть первоначально прогнозируемый дефицит и завершить финансовый период 2023 года в рамках бюджета.</w:t>
      </w:r>
    </w:p>
    <w:p w14:paraId="19E502D7" w14:textId="5015DBF6" w:rsidR="00007FBE" w:rsidRPr="00837F87" w:rsidRDefault="00007FBE" w:rsidP="002D3865">
      <w:pPr>
        <w:rPr>
          <w:rFonts w:cstheme="minorHAnsi"/>
        </w:rPr>
      </w:pPr>
      <w:r w:rsidRPr="00837F87">
        <w:t>8.3</w:t>
      </w:r>
      <w:r w:rsidR="002D3865" w:rsidRPr="00837F87">
        <w:tab/>
      </w:r>
      <w:r w:rsidRPr="00837F87">
        <w:t>Комитет высказался по поводу рисков и трудностей, связанных с периодическим структурным дефицитом бюджета, и отметил, что новый двухгодичный бюджетный цикл, начинающийся в 2024 году, возможно, расширит возможности для маневра.</w:t>
      </w:r>
    </w:p>
    <w:p w14:paraId="01AABFCF" w14:textId="23D95B41" w:rsidR="00007FBE" w:rsidRPr="00837F87" w:rsidRDefault="00007FBE" w:rsidP="002D3865">
      <w:pPr>
        <w:rPr>
          <w:rFonts w:cstheme="minorHAnsi"/>
        </w:rPr>
      </w:pPr>
      <w:r w:rsidRPr="00837F87">
        <w:t>8.4</w:t>
      </w:r>
      <w:r w:rsidR="00D62081" w:rsidRPr="00837F87">
        <w:tab/>
      </w:r>
      <w:r w:rsidRPr="00837F87">
        <w:t>На своем собрании в марте 2024 года Комитет принял к сведению информацию о</w:t>
      </w:r>
      <w:r w:rsidR="00EE3AA5" w:rsidRPr="00837F87">
        <w:t> </w:t>
      </w:r>
      <w:r w:rsidRPr="00837F87">
        <w:t>предпринимаемых усилиях по совершенствованию функции учета. Он призвал FRMD ускорить процесс приема на работу и введения в должность двух профессиональных бухгалтеров, утвержденных в кадровом плане на 2024 год.</w:t>
      </w:r>
    </w:p>
    <w:p w14:paraId="0E8D298A" w14:textId="27D179DD" w:rsidR="00007FBE" w:rsidRPr="00837F87" w:rsidRDefault="00007FBE" w:rsidP="00DF7E7F">
      <w:pPr>
        <w:spacing w:after="120"/>
      </w:pPr>
      <w:r w:rsidRPr="00837F87">
        <w:t>8.5</w:t>
      </w:r>
      <w:r w:rsidR="00D62081" w:rsidRPr="00837F87">
        <w:tab/>
      </w:r>
      <w:r w:rsidRPr="00837F87">
        <w:t>Комитет отдельно обсудил актуарный подход к оценке обязательств, связанных с АСХИ и соответствующим фондом АСХИ. В обоих случаях он был в целом признан осмотрительным. Члены Комитета обсудили вопрос о том, следует ли фонду, с учетом его долгосрочной перспективы, разработать инвестиционную стратегию.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7EAA11A3" w14:textId="77777777" w:rsidTr="00DF7E7F">
        <w:tc>
          <w:tcPr>
            <w:tcW w:w="9061" w:type="dxa"/>
          </w:tcPr>
          <w:p w14:paraId="33E946C9" w14:textId="77777777" w:rsidR="00DF7E7F" w:rsidRPr="00837F87" w:rsidRDefault="00DF7E7F" w:rsidP="00DF7E7F">
            <w:pPr>
              <w:rPr>
                <w:rFonts w:cstheme="minorHAnsi"/>
              </w:rPr>
            </w:pPr>
            <w:bookmarkStart w:id="7" w:name="_Hlk168380825"/>
            <w:r w:rsidRPr="00837F87">
              <w:t>Рекомендация 1</w:t>
            </w:r>
          </w:p>
          <w:p w14:paraId="6994706E" w14:textId="174D631D" w:rsidR="00DF7E7F" w:rsidRPr="00837F87" w:rsidRDefault="00DF7E7F" w:rsidP="00DF7E7F">
            <w:pPr>
              <w:spacing w:after="120"/>
            </w:pPr>
            <w:r w:rsidRPr="00837F87">
              <w:t>Чтобы сократить отставание в покрытии условных обязательств по АСХИ, IMAC рекомендует руководству МСЭ следовать передовой практике, предусматривающей включение в бюджетные расходы на новых сотрудников доплаты для покрытия АСХИ в размере от 4 до 6 процентов. Это должно быть сделано как можно скорее, но не позднее января 2026 года.</w:t>
            </w:r>
          </w:p>
        </w:tc>
      </w:tr>
    </w:tbl>
    <w:bookmarkEnd w:id="7"/>
    <w:p w14:paraId="2DBD5BCA" w14:textId="01743F52" w:rsidR="00007FBE" w:rsidRPr="00837F87" w:rsidRDefault="00007FBE" w:rsidP="00DF7E7F">
      <w:pPr>
        <w:rPr>
          <w:rFonts w:cs="Calibri"/>
        </w:rPr>
      </w:pPr>
      <w:r w:rsidRPr="00837F87">
        <w:t>8.6</w:t>
      </w:r>
      <w:r w:rsidR="00DF7E7F" w:rsidRPr="00837F87">
        <w:tab/>
      </w:r>
      <w:r w:rsidRPr="00837F87">
        <w:t>В целом Комитет отмечает, что ресурсы финансового управления используются не в полной мере, что может привести к возникновению узких мест.</w:t>
      </w:r>
    </w:p>
    <w:p w14:paraId="547721A2" w14:textId="618DEFD2" w:rsidR="00007FBE" w:rsidRPr="00837F87" w:rsidRDefault="00007FBE" w:rsidP="00DF7E7F">
      <w:pPr>
        <w:spacing w:after="120"/>
      </w:pPr>
      <w:r w:rsidRPr="00837F87">
        <w:t>8.7</w:t>
      </w:r>
      <w:r w:rsidR="00DF7E7F" w:rsidRPr="00837F87">
        <w:tab/>
      </w:r>
      <w:r w:rsidRPr="00837F87">
        <w:t xml:space="preserve">Члены IMAC выразили озабоченность по поводу продолжительности процесса, необходимого для предоставления досье с результатами аудита качества внешнему аудитору, и Комитет был рад услышать от внешних аудиторов о значительных улучшениях, отмеченных в процессе доработки финансовой отчетности за 2023 год по сравнению с финансовой отчетностью за 2022 год.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17CD8B39" w14:textId="77777777" w:rsidTr="009C3DF3">
        <w:tc>
          <w:tcPr>
            <w:tcW w:w="9061" w:type="dxa"/>
          </w:tcPr>
          <w:p w14:paraId="217CA0A0" w14:textId="5A2B0388" w:rsidR="00DF7E7F" w:rsidRPr="00837F87" w:rsidRDefault="00DF7E7F" w:rsidP="009C3DF3">
            <w:pPr>
              <w:rPr>
                <w:rFonts w:cstheme="minorHAnsi"/>
              </w:rPr>
            </w:pPr>
            <w:r w:rsidRPr="00837F87">
              <w:t>Рекомендация 2</w:t>
            </w:r>
          </w:p>
          <w:p w14:paraId="452AD8D7" w14:textId="34BD6CB7" w:rsidR="00DF7E7F" w:rsidRPr="00837F87" w:rsidRDefault="00DF7E7F" w:rsidP="009C3DF3">
            <w:pPr>
              <w:spacing w:after="120"/>
            </w:pPr>
            <w:r w:rsidRPr="00837F87">
              <w:t>IMAC рекомендует МСЭ провести анализ пробелов для оценки областей, требующих совершенствования, будь то существующие процессы или наборы навыков, в целях повышения эффективности процесса закрытия финансовой отчетности.</w:t>
            </w:r>
          </w:p>
        </w:tc>
      </w:tr>
    </w:tbl>
    <w:p w14:paraId="338408BA" w14:textId="77777777" w:rsidR="00007FBE" w:rsidRPr="00837F87" w:rsidRDefault="00007FBE" w:rsidP="00007FBE">
      <w:pPr>
        <w:pStyle w:val="Heading1"/>
      </w:pPr>
      <w:r w:rsidRPr="00837F87">
        <w:rPr>
          <w:bCs/>
        </w:rPr>
        <w:lastRenderedPageBreak/>
        <w:t>9</w:t>
      </w:r>
      <w:r w:rsidRPr="00837F87">
        <w:tab/>
      </w:r>
      <w:r w:rsidRPr="00837F87">
        <w:rPr>
          <w:bCs/>
        </w:rPr>
        <w:t>Проект по помещениям штаб-квартиры</w:t>
      </w:r>
    </w:p>
    <w:p w14:paraId="6B4F841C" w14:textId="63ADE5F5" w:rsidR="00007FBE" w:rsidRPr="00837F87" w:rsidRDefault="00007FBE" w:rsidP="00007FBE">
      <w:pPr>
        <w:rPr>
          <w:rFonts w:cstheme="minorHAnsi"/>
        </w:rPr>
      </w:pPr>
      <w:r w:rsidRPr="00837F87">
        <w:t>9.1</w:t>
      </w:r>
      <w:r w:rsidR="00DF7E7F" w:rsidRPr="00837F87">
        <w:tab/>
      </w:r>
      <w:r w:rsidRPr="00837F87">
        <w:t>Обновленная информация о проекте строительства нового здания МСЭ подчеркивает необходимость своевременного принятия решений и эффективного управления для обеспечения успеха проекта.</w:t>
      </w:r>
    </w:p>
    <w:p w14:paraId="648C1D62" w14:textId="693514C3" w:rsidR="00007FBE" w:rsidRPr="00837F87" w:rsidRDefault="00007FBE" w:rsidP="00007FBE">
      <w:pPr>
        <w:rPr>
          <w:rFonts w:cstheme="minorHAnsi"/>
        </w:rPr>
      </w:pPr>
      <w:r w:rsidRPr="00837F87">
        <w:t>9.2</w:t>
      </w:r>
      <w:r w:rsidR="00DF7E7F" w:rsidRPr="00837F87">
        <w:tab/>
      </w:r>
      <w:r w:rsidRPr="00837F87">
        <w:t>IMAC подчеркнул необходимость прозрачной связи для снижения рисков и контроля расходов. Кроме того, IMAC рекомендовал провести всестороннюю оценку потенциальных обязательств и косвенных затрат, связанных со следующими этапами реализации проекта, включая риск обесценения или списания накопленных капитальных затрат по проекту.</w:t>
      </w:r>
    </w:p>
    <w:p w14:paraId="6E501223" w14:textId="77777777" w:rsidR="00007FBE" w:rsidRPr="00837F87" w:rsidRDefault="00007FBE" w:rsidP="00007FBE">
      <w:pPr>
        <w:pStyle w:val="Headingb"/>
      </w:pPr>
      <w:r w:rsidRPr="00837F87">
        <w:rPr>
          <w:bCs/>
        </w:rPr>
        <w:t>Общие и стратегические инициативы МСЭ</w:t>
      </w:r>
    </w:p>
    <w:p w14:paraId="10D4CB3E" w14:textId="77777777" w:rsidR="00007FBE" w:rsidRPr="00837F87" w:rsidRDefault="00007FBE" w:rsidP="00007FBE">
      <w:pPr>
        <w:pStyle w:val="Heading1"/>
      </w:pPr>
      <w:r w:rsidRPr="00837F87">
        <w:rPr>
          <w:bCs/>
        </w:rPr>
        <w:t>10</w:t>
      </w:r>
      <w:r w:rsidRPr="00837F87">
        <w:tab/>
      </w:r>
      <w:r w:rsidRPr="00837F87">
        <w:rPr>
          <w:bCs/>
        </w:rPr>
        <w:t>Трансформация</w:t>
      </w:r>
    </w:p>
    <w:p w14:paraId="4E85CD2F" w14:textId="2E6B1A41" w:rsidR="00007FBE" w:rsidRPr="00837F87" w:rsidRDefault="00007FBE" w:rsidP="00DF7E7F">
      <w:pPr>
        <w:rPr>
          <w:rFonts w:cstheme="minorHAnsi"/>
        </w:rPr>
      </w:pPr>
      <w:r w:rsidRPr="00837F87">
        <w:t>10.1</w:t>
      </w:r>
      <w:r w:rsidR="00DF7E7F" w:rsidRPr="00837F87">
        <w:tab/>
      </w:r>
      <w:r w:rsidRPr="00837F87">
        <w:t>IMAC продолжил конструктивно взаимодействовать со старшим руководством по реализации дорожной карты трансформации для достижения более высокой эффективности операционной деятельности. IMAC регулярно рассматривает обновленные данные о процессе трансформации и по-прежнему в значительной степени уверен в том, что приоритетные меры поддерживают цель модернизации операций МСЭ и ведут к повышению производительности в среднесрочной перспективе.</w:t>
      </w:r>
    </w:p>
    <w:p w14:paraId="7E1D5EBC" w14:textId="5D923449" w:rsidR="00007FBE" w:rsidRPr="00837F87" w:rsidRDefault="00007FBE" w:rsidP="00DF7E7F">
      <w:pPr>
        <w:rPr>
          <w:rFonts w:cstheme="minorHAnsi"/>
        </w:rPr>
      </w:pPr>
      <w:r w:rsidRPr="00837F87">
        <w:t>10.2</w:t>
      </w:r>
      <w:r w:rsidR="00DF7E7F" w:rsidRPr="00837F87">
        <w:tab/>
      </w:r>
      <w:r w:rsidRPr="00837F87">
        <w:t>Комитет вновь подтвердил свое мнение о том, что для осуществления столь масштабной инициативы по трансформации требуются специальные ресурсы соответствующего уровня, позволяющие, среди прочего, обеспечить такие важнейшие функции, как управление проектами, управление изменениями, реорганизация бизнес-процессов, технологии и внутренний контроль. IMAC по-прежнему считает, что высшему руководству следует сосредоточиться на создании защитных механизмов для дорожной карты трансформации, а ее реализацию возложить на уполномоченную группу по трансформации, которая будет тесно сотрудничать с линейным руководством МСЭ и их соответствующими группами, для того чтобы обеспечить принятие мер.</w:t>
      </w:r>
    </w:p>
    <w:p w14:paraId="47C84A42" w14:textId="490F8EC9" w:rsidR="00007FBE" w:rsidRPr="00837F87" w:rsidRDefault="00007FBE" w:rsidP="00DF7E7F">
      <w:pPr>
        <w:rPr>
          <w:rFonts w:cstheme="minorHAnsi"/>
        </w:rPr>
      </w:pPr>
      <w:r w:rsidRPr="00837F87">
        <w:t>10.3</w:t>
      </w:r>
      <w:r w:rsidR="00DF7E7F" w:rsidRPr="00837F87">
        <w:tab/>
      </w:r>
      <w:r w:rsidRPr="00837F87">
        <w:t>IMAC считает, что оперативная группа по трансформации с заранее установленными целями, обязанностями и средствами могла бы принести пользу МСЭ и после завершения текущих преобразований, поскольку она способствовала бы укреплению возможностей и потенциала в сфере трансформации в рамках всей организации.</w:t>
      </w:r>
    </w:p>
    <w:p w14:paraId="69D59878" w14:textId="7DEB342F" w:rsidR="00007FBE" w:rsidRPr="00837F87" w:rsidRDefault="00007FBE" w:rsidP="00DF7E7F">
      <w:pPr>
        <w:rPr>
          <w:rFonts w:cstheme="minorHAnsi"/>
        </w:rPr>
      </w:pPr>
      <w:r w:rsidRPr="00837F87">
        <w:t>10.4</w:t>
      </w:r>
      <w:r w:rsidR="00DF7E7F" w:rsidRPr="00837F87">
        <w:tab/>
      </w:r>
      <w:r w:rsidRPr="00837F87">
        <w:t>IMAC в целом поддерживает последовательность реализации общей дорожной карты трансформации МСЭ. Хорошо продуманная структурированная программа трансформации, состоящая из набора мер по трансформации в рамках всей организации, прекрасно подходит для осуществления необходимой модернизации и повышения уровня производительности</w:t>
      </w:r>
      <w:r w:rsidR="00DF7E7F" w:rsidRPr="00837F87">
        <w:t> </w:t>
      </w:r>
      <w:r w:rsidRPr="00837F87">
        <w:t>МСЭ.</w:t>
      </w:r>
    </w:p>
    <w:p w14:paraId="42473346" w14:textId="42204434" w:rsidR="00007FBE" w:rsidRPr="00837F87" w:rsidRDefault="00007FBE" w:rsidP="00DF7E7F">
      <w:pPr>
        <w:rPr>
          <w:rFonts w:cstheme="minorHAnsi"/>
        </w:rPr>
      </w:pPr>
      <w:r w:rsidRPr="00837F87">
        <w:t>10.5</w:t>
      </w:r>
      <w:r w:rsidR="00DF7E7F" w:rsidRPr="00837F87">
        <w:tab/>
      </w:r>
      <w:r w:rsidRPr="00837F87">
        <w:t>IMAC предложил высшему руководству обеспечить соответствие общей программы трансформации имеющимся у МСЭ возможностям и потенциалу в области преобразований с целью недопущения ошибок, обусловленных излишним оптимизмом. Осуществление инициатив должно быть строго увязано с созданием потенциала основной группы по трансформации.</w:t>
      </w:r>
    </w:p>
    <w:p w14:paraId="4086CBB0" w14:textId="77777777" w:rsidR="00007FBE" w:rsidRPr="00837F87" w:rsidRDefault="00007FBE" w:rsidP="00007FBE">
      <w:pPr>
        <w:pStyle w:val="Heading1"/>
      </w:pPr>
      <w:r w:rsidRPr="00837F87">
        <w:rPr>
          <w:bCs/>
        </w:rPr>
        <w:t>11</w:t>
      </w:r>
      <w:r w:rsidRPr="00837F87">
        <w:tab/>
      </w:r>
      <w:r w:rsidRPr="00837F87">
        <w:rPr>
          <w:bCs/>
        </w:rPr>
        <w:t>Стратегия и программы Сектора – Бюро развития электросвязи (БРЭ)</w:t>
      </w:r>
    </w:p>
    <w:p w14:paraId="0E40EED0" w14:textId="02E70A40" w:rsidR="00007FBE" w:rsidRPr="00837F87" w:rsidRDefault="00007FBE" w:rsidP="00007FBE">
      <w:pPr>
        <w:rPr>
          <w:rFonts w:cstheme="minorHAnsi"/>
        </w:rPr>
      </w:pPr>
      <w:r w:rsidRPr="00837F87">
        <w:t>11.1</w:t>
      </w:r>
      <w:r w:rsidR="00DF7E7F" w:rsidRPr="00837F87">
        <w:tab/>
      </w:r>
      <w:r w:rsidRPr="00837F87">
        <w:t xml:space="preserve">На октябрьской сессии Директор БРЭ представил всестороннее обновление стратегии, в котором были отмечены новые возможности и рассмотрены проблемы и риски. Основное внимание также уделялось вопросам контроля, предотвращения мошенничества и надзора в рамках Сектора развития. </w:t>
      </w:r>
    </w:p>
    <w:p w14:paraId="6C166D2A" w14:textId="760AD1B3" w:rsidR="00007FBE" w:rsidRPr="00837F87" w:rsidRDefault="00007FBE" w:rsidP="00007FBE">
      <w:pPr>
        <w:rPr>
          <w:rFonts w:cstheme="minorHAnsi"/>
        </w:rPr>
      </w:pPr>
      <w:r w:rsidRPr="00837F87">
        <w:lastRenderedPageBreak/>
        <w:t>11.2</w:t>
      </w:r>
      <w:r w:rsidR="00DF7E7F" w:rsidRPr="00837F87">
        <w:tab/>
      </w:r>
      <w:r w:rsidRPr="00837F87">
        <w:t>Комитет призвал БРЭ определить показатели успеха для Сектора развития и установить поддающиеся измерению показатели прогресса.</w:t>
      </w:r>
    </w:p>
    <w:p w14:paraId="3366C8AA" w14:textId="3D07D20D" w:rsidR="00007FBE" w:rsidRPr="00837F87" w:rsidRDefault="00007FBE" w:rsidP="00007FBE">
      <w:r w:rsidRPr="00837F87">
        <w:t>11.3</w:t>
      </w:r>
      <w:r w:rsidR="00DF7E7F" w:rsidRPr="00837F87">
        <w:tab/>
      </w:r>
      <w:r w:rsidRPr="00837F87">
        <w:t xml:space="preserve">Подчеркивалась значимость </w:t>
      </w:r>
      <w:proofErr w:type="spellStart"/>
      <w:r w:rsidRPr="00837F87">
        <w:t>межсекторальной</w:t>
      </w:r>
      <w:proofErr w:type="spellEnd"/>
      <w:r w:rsidRPr="00837F87">
        <w:t xml:space="preserve"> координации с другими бюро, согласования с общими целями Союза и потенциального сотрудничества с банками развития и учреждениями системы ООН.</w:t>
      </w:r>
    </w:p>
    <w:p w14:paraId="092CE486" w14:textId="4023EB54" w:rsidR="00007FBE" w:rsidRPr="00837F87" w:rsidRDefault="00007FBE" w:rsidP="00007FBE">
      <w:pPr>
        <w:rPr>
          <w:rFonts w:cstheme="minorHAnsi"/>
        </w:rPr>
      </w:pPr>
      <w:r w:rsidRPr="00837F87">
        <w:t>11.4</w:t>
      </w:r>
      <w:r w:rsidR="00DF7E7F" w:rsidRPr="00837F87">
        <w:tab/>
      </w:r>
      <w:r w:rsidRPr="00837F87">
        <w:t>Высоко оценив значительное увеличение объема технического сотрудничества, финансируемого за счет средств целевых фондов, Комитет призвал БРЭ продолжать усилия по обеспечению избирательности, надлежащего возмещения затрат и сокращению фрагментации.</w:t>
      </w:r>
    </w:p>
    <w:p w14:paraId="1A479617" w14:textId="0A3E2F5F" w:rsidR="00007FBE" w:rsidRPr="00837F87" w:rsidRDefault="00007FBE" w:rsidP="00DF7E7F">
      <w:pPr>
        <w:spacing w:after="120"/>
      </w:pPr>
      <w:r w:rsidRPr="00837F87">
        <w:t>11.5</w:t>
      </w:r>
      <w:r w:rsidR="00DF7E7F" w:rsidRPr="00837F87">
        <w:tab/>
      </w:r>
      <w:r w:rsidRPr="00837F87">
        <w:t>Комитет выразил признательность за ценные вклады представителей БРЭ в ходе собрания и принял к сведению разъяснения, представленные Директором БРЭ.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61AA123E" w14:textId="77777777" w:rsidTr="00DF7E7F">
        <w:tc>
          <w:tcPr>
            <w:tcW w:w="9061" w:type="dxa"/>
          </w:tcPr>
          <w:p w14:paraId="0EB5B5B9" w14:textId="77777777" w:rsidR="00DF7E7F" w:rsidRPr="00837F87" w:rsidRDefault="00DF7E7F" w:rsidP="00DF7E7F">
            <w:pPr>
              <w:rPr>
                <w:rFonts w:cstheme="minorHAnsi"/>
              </w:rPr>
            </w:pPr>
            <w:r w:rsidRPr="00837F87">
              <w:t>Рекомендация 3</w:t>
            </w:r>
          </w:p>
          <w:p w14:paraId="05F34BA8" w14:textId="6C092F07" w:rsidR="00DF7E7F" w:rsidRPr="00837F87" w:rsidRDefault="00DF7E7F" w:rsidP="00DF7E7F">
            <w:pPr>
              <w:spacing w:after="120"/>
            </w:pPr>
            <w:r w:rsidRPr="00837F87">
              <w:t>В целях содействия реализации стратегических задач МСЭ и обязательств по повышению эффективности и результативности IMAC рекомендует разработать реалистичный план по сближению и согласованию ставок возмещения накладных расходов по проектам технического сотрудничества и обеспечить его выполнение. При разработке плана следует руководствоваться принципом полного возмещения затрат.</w:t>
            </w:r>
          </w:p>
        </w:tc>
      </w:tr>
    </w:tbl>
    <w:p w14:paraId="556527F5" w14:textId="77777777" w:rsidR="00007FBE" w:rsidRPr="00837F87" w:rsidRDefault="00007FBE" w:rsidP="00007FBE">
      <w:pPr>
        <w:pStyle w:val="Heading1"/>
      </w:pPr>
      <w:r w:rsidRPr="00837F87">
        <w:rPr>
          <w:bCs/>
        </w:rPr>
        <w:t>12</w:t>
      </w:r>
      <w:r w:rsidRPr="00837F87">
        <w:tab/>
      </w:r>
      <w:r w:rsidRPr="00837F87">
        <w:rPr>
          <w:bCs/>
        </w:rPr>
        <w:t>Управление рисками</w:t>
      </w:r>
    </w:p>
    <w:p w14:paraId="24BABE78" w14:textId="70122312" w:rsidR="00007FBE" w:rsidRPr="00837F87" w:rsidRDefault="00007FBE" w:rsidP="00DF7E7F">
      <w:pPr>
        <w:rPr>
          <w:rFonts w:cstheme="minorHAnsi"/>
        </w:rPr>
      </w:pPr>
      <w:r w:rsidRPr="00837F87">
        <w:t>12.1</w:t>
      </w:r>
      <w:r w:rsidR="00DF7E7F" w:rsidRPr="00837F87">
        <w:tab/>
      </w:r>
      <w:r w:rsidRPr="00837F87">
        <w:t>Секретариат внедрил политику, которая объединяет деятельность по управлению рисками и обеспечению соответствия, используя модель зрелости для управления рисками, применяемую в системе ООН, для повышения эффективности усилий по управлению рисками.</w:t>
      </w:r>
    </w:p>
    <w:p w14:paraId="2B29BA9E" w14:textId="56BF1FAC" w:rsidR="00007FBE" w:rsidRPr="00837F87" w:rsidRDefault="00007FBE" w:rsidP="00DF7E7F">
      <w:pPr>
        <w:rPr>
          <w:rFonts w:cstheme="minorHAnsi"/>
        </w:rPr>
      </w:pPr>
      <w:r w:rsidRPr="00837F87">
        <w:t>12.2</w:t>
      </w:r>
      <w:r w:rsidR="00DF7E7F" w:rsidRPr="00837F87">
        <w:tab/>
      </w:r>
      <w:r w:rsidRPr="00837F87">
        <w:t>IMAC рекомендовал рассмотреть вопрос о создании специальной централизованной службы по вопросам обеспечения соответствия. Сильная и независимая служба по вопросам обеспечения соответствия на второй линии будет частью "модели трех линий" и будет способствовать повышению эффективности системы контроля. Кроме того, это, вероятно, приведет к регулярной переоценке эффективности процессов и средств контроля.</w:t>
      </w:r>
    </w:p>
    <w:p w14:paraId="7AE8FBA3" w14:textId="4DA2E62C" w:rsidR="00007FBE" w:rsidRPr="00837F87" w:rsidRDefault="00007FBE" w:rsidP="00DF7E7F">
      <w:pPr>
        <w:rPr>
          <w:rFonts w:cstheme="minorHAnsi"/>
        </w:rPr>
      </w:pPr>
      <w:r w:rsidRPr="00837F87">
        <w:t>12.3</w:t>
      </w:r>
      <w:r w:rsidR="00DF7E7F" w:rsidRPr="00837F87">
        <w:tab/>
      </w:r>
      <w:r w:rsidRPr="00837F87">
        <w:t>Комитет также сообщил, что было бы полезно создать механизм управления рисками и контроля в масштабах всего МСЭ. Такой механизм будет способствовать повышению осведомленности о рисках и контроле, а также укреплению потенциала для поддержания эффективной среды контроля. Он должен создаваться с учетом процесса трансформации, к которому приступил МСЭ. Это может быть сделано поэтапно путем обеспечения тщательного документирования, подтверждения и последующей проверки эффективности всех средств контроля подразделением внутреннего аудита. Наконец, Комитет считает, что было бы целесообразным внедрить общеорганизационную систему управления рисками (</w:t>
      </w:r>
      <w:proofErr w:type="spellStart"/>
      <w:r w:rsidRPr="00837F87">
        <w:t>ERM</w:t>
      </w:r>
      <w:proofErr w:type="spellEnd"/>
      <w:r w:rsidRPr="00837F87">
        <w:t>).</w:t>
      </w:r>
    </w:p>
    <w:p w14:paraId="570A9DEA" w14:textId="38E6E9A2" w:rsidR="00007FBE" w:rsidRPr="00837F87" w:rsidRDefault="00007FBE" w:rsidP="00DF7E7F">
      <w:r w:rsidRPr="00837F87">
        <w:t>12.4</w:t>
      </w:r>
      <w:r w:rsidR="00DF7E7F" w:rsidRPr="00837F87">
        <w:tab/>
      </w:r>
      <w:r w:rsidRPr="00837F87">
        <w:t>Ключевым элементом системы управления рисками должно быть рассмотрение рисков, связанных с интеграцией искусственного интеллекта (ИИ) в оперативные процессы МСЭ. К основным видам рисков относятся правовые, этические, оперативные, финансовые и репутационные риски.</w:t>
      </w:r>
    </w:p>
    <w:p w14:paraId="4D590408" w14:textId="77777777" w:rsidR="00007FBE" w:rsidRPr="00837F87" w:rsidRDefault="00007FBE" w:rsidP="00007FBE">
      <w:pPr>
        <w:pStyle w:val="Heading1"/>
      </w:pPr>
      <w:r w:rsidRPr="00837F87">
        <w:rPr>
          <w:bCs/>
        </w:rPr>
        <w:t>13</w:t>
      </w:r>
      <w:r w:rsidRPr="00837F87">
        <w:tab/>
      </w:r>
      <w:r w:rsidRPr="00837F87">
        <w:rPr>
          <w:bCs/>
        </w:rPr>
        <w:t>Людские ресурсы</w:t>
      </w:r>
    </w:p>
    <w:p w14:paraId="6AFC8191" w14:textId="440FA7C1" w:rsidR="00007FBE" w:rsidRPr="00837F87" w:rsidRDefault="00007FBE" w:rsidP="00DF7E7F">
      <w:pPr>
        <w:rPr>
          <w:rFonts w:cstheme="minorHAnsi"/>
        </w:rPr>
      </w:pPr>
      <w:r w:rsidRPr="00837F87">
        <w:t>13.1</w:t>
      </w:r>
      <w:r w:rsidR="00DF7E7F" w:rsidRPr="00837F87">
        <w:tab/>
      </w:r>
      <w:r w:rsidRPr="00837F87">
        <w:t>Обсуждения с HRMD были посвящены прогрессу в выполнении рекомендаций и приведению развития персонала в соответствие с потребностями организации.</w:t>
      </w:r>
    </w:p>
    <w:p w14:paraId="74038FA2" w14:textId="5D5B681A" w:rsidR="00007FBE" w:rsidRPr="00837F87" w:rsidRDefault="00007FBE" w:rsidP="00DF7E7F">
      <w:pPr>
        <w:rPr>
          <w:rFonts w:cstheme="minorHAnsi"/>
        </w:rPr>
      </w:pPr>
      <w:r w:rsidRPr="00837F87">
        <w:t>13.2</w:t>
      </w:r>
      <w:r w:rsidR="00DF7E7F" w:rsidRPr="00837F87">
        <w:tab/>
      </w:r>
      <w:r w:rsidRPr="00837F87">
        <w:t>IMAC предоставлял консультации по упорядочению процессов в области управления людскими ресурсами и совершенствованию системы информационной безопасности.</w:t>
      </w:r>
    </w:p>
    <w:p w14:paraId="47AA32B6" w14:textId="02D86E64" w:rsidR="00007FBE" w:rsidRPr="00837F87" w:rsidRDefault="00007FBE" w:rsidP="00DF7E7F">
      <w:pPr>
        <w:spacing w:after="120"/>
      </w:pPr>
      <w:r w:rsidRPr="00837F87">
        <w:lastRenderedPageBreak/>
        <w:t>13.3</w:t>
      </w:r>
      <w:r w:rsidR="00DF7E7F" w:rsidRPr="00837F87">
        <w:tab/>
      </w:r>
      <w:r w:rsidRPr="00837F87">
        <w:t>Комитет рекомендовал расширить оценку сформировавшихся в Организации наборов навыков, определить необходимые корректировки и направления развития персонала, с тем чтобы привести их в соответствие с ее будущими потребностями.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0A15B6B0" w14:textId="77777777" w:rsidTr="00DF7E7F">
        <w:tc>
          <w:tcPr>
            <w:tcW w:w="9061" w:type="dxa"/>
          </w:tcPr>
          <w:p w14:paraId="48BF7388" w14:textId="77777777" w:rsidR="00DF7E7F" w:rsidRPr="00837F87" w:rsidRDefault="00DF7E7F" w:rsidP="00DF7E7F">
            <w:pPr>
              <w:rPr>
                <w:rFonts w:cstheme="minorHAnsi"/>
              </w:rPr>
            </w:pPr>
            <w:r w:rsidRPr="00837F87">
              <w:t>Рекомендация 4</w:t>
            </w:r>
          </w:p>
          <w:p w14:paraId="578AFCEB" w14:textId="1F536844" w:rsidR="00DF7E7F" w:rsidRPr="00837F87" w:rsidRDefault="00DF7E7F" w:rsidP="00DF7E7F">
            <w:pPr>
              <w:spacing w:after="120"/>
            </w:pPr>
            <w:r w:rsidRPr="00837F87">
              <w:t>Комитет рекомендует установить двухгодичный цикл для проведения опроса о вовлеченности сотрудников, первый из которых должен быть завершен к началу осени 2024</w:t>
            </w:r>
            <w:r w:rsidR="001D3EE5" w:rsidRPr="00837F87">
              <w:t> </w:t>
            </w:r>
            <w:r w:rsidRPr="00837F87">
              <w:t>года. Первый опрос позволит получить полезную исходную информацию и будет способствовать активизации широкого участия МСЭ в подготовке, контроле и осуществлении последующих планов действий.</w:t>
            </w:r>
          </w:p>
        </w:tc>
      </w:tr>
    </w:tbl>
    <w:p w14:paraId="667503E4" w14:textId="5DD3AEE0" w:rsidR="00007FBE" w:rsidRPr="00837F87" w:rsidRDefault="00007FBE" w:rsidP="00007FBE">
      <w:pPr>
        <w:pStyle w:val="Headingb"/>
      </w:pPr>
      <w:r w:rsidRPr="00837F87">
        <w:rPr>
          <w:bCs/>
        </w:rPr>
        <w:t>Внутренняя система правосудия</w:t>
      </w:r>
    </w:p>
    <w:p w14:paraId="3223342B" w14:textId="6F5C8489" w:rsidR="00007FBE" w:rsidRPr="00837F87" w:rsidRDefault="00007FBE" w:rsidP="00007FBE">
      <w:pPr>
        <w:rPr>
          <w:rFonts w:cstheme="minorHAnsi"/>
        </w:rPr>
      </w:pPr>
      <w:r w:rsidRPr="00837F87">
        <w:t>13.4</w:t>
      </w:r>
      <w:r w:rsidR="00DF7E7F" w:rsidRPr="00837F87">
        <w:tab/>
      </w:r>
      <w:r w:rsidRPr="00837F87">
        <w:t>Комитет получил информацию о текущих всеобъемлющих усилиях по обновлению нормативно-правовой базы и мер политики, обеспечивающих функционирование внутренней системы правосудия МСЭ. Комитет рекомендовал запросить вклады от всех соответствующих сторон и провести прозрачный процесс консультаций. IMAC предоставил руководящие указания по конкретным случаям, связанным с дисциплинарным процессом.</w:t>
      </w:r>
    </w:p>
    <w:p w14:paraId="0B953682" w14:textId="77777777" w:rsidR="00007FBE" w:rsidRPr="00837F87" w:rsidRDefault="00007FBE" w:rsidP="00007FBE">
      <w:pPr>
        <w:pStyle w:val="Heading1"/>
      </w:pPr>
      <w:r w:rsidRPr="00837F87">
        <w:rPr>
          <w:bCs/>
        </w:rPr>
        <w:t>14</w:t>
      </w:r>
      <w:r w:rsidRPr="00837F87">
        <w:tab/>
      </w:r>
      <w:r w:rsidRPr="00837F87">
        <w:rPr>
          <w:bCs/>
        </w:rPr>
        <w:t>Управление по вопросам этики</w:t>
      </w:r>
    </w:p>
    <w:p w14:paraId="7658C761" w14:textId="27A35E26" w:rsidR="00007FBE" w:rsidRPr="00837F87" w:rsidRDefault="00007FBE" w:rsidP="00007FBE">
      <w:pPr>
        <w:rPr>
          <w:rFonts w:cstheme="minorHAnsi"/>
        </w:rPr>
      </w:pPr>
      <w:r w:rsidRPr="00837F87">
        <w:t>14.1</w:t>
      </w:r>
      <w:r w:rsidR="00DF7E7F" w:rsidRPr="00837F87">
        <w:tab/>
      </w:r>
      <w:r w:rsidRPr="00837F87">
        <w:t>Комитет рассмотрел регулярные ежеквартальные отчеты о деятельности, представленные Управлением по вопросам этики, и дал соответствующие руководящие указания. Комитет рекомендовал подтвердить роль и ответственность Управления по вопросам этики в связи с созданием Подразделения по надзору и реформированием внутренней системы правосудия. Это может быть сделано путем формулирования четкого мандата Управления, который мог бы использоваться в качестве альтернативы или чернового варианта при разработке устава по вопросам этики. Следует особо отметить и приветствовать вклад Управления по вопросам этики в решение вопросов, связанных с защитой от преследований и созданием системы защиты жертв сексуальной эксплуатации, сексуальных злоупотреблений и домогательств (</w:t>
      </w:r>
      <w:proofErr w:type="spellStart"/>
      <w:r w:rsidRPr="00837F87">
        <w:t>SEAH</w:t>
      </w:r>
      <w:proofErr w:type="spellEnd"/>
      <w:r w:rsidRPr="00837F87">
        <w:t>).</w:t>
      </w:r>
    </w:p>
    <w:p w14:paraId="46E5D03F" w14:textId="415FA9C7" w:rsidR="00007FBE" w:rsidRPr="00837F87" w:rsidRDefault="00007FBE" w:rsidP="00007FBE">
      <w:pPr>
        <w:rPr>
          <w:rFonts w:cstheme="minorHAnsi"/>
        </w:rPr>
      </w:pPr>
      <w:r w:rsidRPr="00837F87">
        <w:t>14.2</w:t>
      </w:r>
      <w:r w:rsidR="00DF7E7F" w:rsidRPr="00837F87">
        <w:tab/>
      </w:r>
      <w:r w:rsidRPr="00837F87">
        <w:t>Комитет продолжает следить за внедрением ежегодной обязательной подготовки сотрудников по Кодексу поведения МСЭ, кодексу этики МСЭ и услугам, предоставляемым Управлением по вопросам этики, например, по разрешению этических дилемм.</w:t>
      </w:r>
    </w:p>
    <w:p w14:paraId="7972CC09" w14:textId="77777777" w:rsidR="00007FBE" w:rsidRPr="00837F87" w:rsidRDefault="00007FBE" w:rsidP="00007FBE">
      <w:pPr>
        <w:pStyle w:val="Heading1"/>
      </w:pPr>
      <w:r w:rsidRPr="00837F87">
        <w:rPr>
          <w:bCs/>
        </w:rPr>
        <w:t>15</w:t>
      </w:r>
      <w:r w:rsidRPr="00837F87">
        <w:tab/>
      </w:r>
      <w:r w:rsidRPr="00837F87">
        <w:rPr>
          <w:bCs/>
        </w:rPr>
        <w:t>Информационные технологии</w:t>
      </w:r>
    </w:p>
    <w:p w14:paraId="440A7C97" w14:textId="3FA740FC" w:rsidR="00007FBE" w:rsidRPr="00837F87" w:rsidRDefault="00007FBE" w:rsidP="00DF7E7F">
      <w:pPr>
        <w:rPr>
          <w:rFonts w:cstheme="minorHAnsi"/>
        </w:rPr>
      </w:pPr>
      <w:r w:rsidRPr="00837F87">
        <w:t>15.1</w:t>
      </w:r>
      <w:r w:rsidR="00DF7E7F" w:rsidRPr="00837F87">
        <w:tab/>
      </w:r>
      <w:r w:rsidRPr="00837F87">
        <w:t>Комитет отметил необходимость обеспечения более тесного согласования между стратегией Департамента информационных служб (</w:t>
      </w:r>
      <w:proofErr w:type="spellStart"/>
      <w:r w:rsidRPr="00837F87">
        <w:t>ISD</w:t>
      </w:r>
      <w:proofErr w:type="spellEnd"/>
      <w:r w:rsidRPr="00837F87">
        <w:t>) и общей дорожной картой трансформации. Существуют возможности для получения дополнительных преимуществ, связанных с сокращением расходов, эффективностью процессов, масштабируемостью, безопасностью и устойчивостью, за счет разработки стратегической модели архитектуры предприятия, более широкого использования облачных услуг, внедрения системы управления общеорганизационными данными, усиления контроля безопасности и использования новых технологий, таких как искусственный интеллект (ИИ).</w:t>
      </w:r>
    </w:p>
    <w:p w14:paraId="615A887E" w14:textId="150A94E3" w:rsidR="00007FBE" w:rsidRPr="00837F87" w:rsidRDefault="00007FBE" w:rsidP="00DF7E7F">
      <w:r w:rsidRPr="00837F87">
        <w:t>15.2</w:t>
      </w:r>
      <w:r w:rsidR="00DF7E7F" w:rsidRPr="00837F87">
        <w:tab/>
      </w:r>
      <w:r w:rsidRPr="00837F87">
        <w:t>Усовершенствованная облачная архитектура может обеспечить следующие преимущества:</w:t>
      </w:r>
    </w:p>
    <w:p w14:paraId="6933293B" w14:textId="51022C53" w:rsidR="00007FBE" w:rsidRPr="00837F87" w:rsidRDefault="00007FBE" w:rsidP="00007FBE">
      <w:pPr>
        <w:pStyle w:val="enumlev1"/>
      </w:pPr>
      <w:r w:rsidRPr="00837F87">
        <w:t>•</w:t>
      </w:r>
      <w:r w:rsidRPr="00837F87">
        <w:tab/>
      </w:r>
      <w:r w:rsidR="00837F87" w:rsidRPr="00837F87">
        <w:t>м</w:t>
      </w:r>
      <w:r w:rsidRPr="00837F87">
        <w:t>обильность и доступ к услугам ИТ для бизнеса независимо от типа устройства</w:t>
      </w:r>
      <w:r w:rsidR="00837F87" w:rsidRPr="00837F87">
        <w:t>;</w:t>
      </w:r>
    </w:p>
    <w:p w14:paraId="6AC1A601" w14:textId="5B6B44DE" w:rsidR="00007FBE" w:rsidRPr="00837F87" w:rsidRDefault="00007FBE" w:rsidP="00007FBE">
      <w:pPr>
        <w:pStyle w:val="enumlev1"/>
      </w:pPr>
      <w:r w:rsidRPr="00837F87">
        <w:t>•</w:t>
      </w:r>
      <w:r w:rsidRPr="00837F87">
        <w:tab/>
      </w:r>
      <w:r w:rsidR="00837F87" w:rsidRPr="00837F87">
        <w:t>б</w:t>
      </w:r>
      <w:r w:rsidRPr="00837F87">
        <w:t>олее эффективное управление ресурсами аппаратного и программного обеспечения</w:t>
      </w:r>
      <w:r w:rsidR="00837F87" w:rsidRPr="00837F87">
        <w:t>;</w:t>
      </w:r>
    </w:p>
    <w:p w14:paraId="220A71F2" w14:textId="3D3DD4E3" w:rsidR="00007FBE" w:rsidRPr="00837F87" w:rsidRDefault="00007FBE" w:rsidP="00007FBE">
      <w:pPr>
        <w:pStyle w:val="enumlev1"/>
      </w:pPr>
      <w:r w:rsidRPr="00837F87">
        <w:t>•</w:t>
      </w:r>
      <w:r w:rsidRPr="00837F87">
        <w:tab/>
      </w:r>
      <w:r w:rsidR="00837F87" w:rsidRPr="00837F87">
        <w:t>л</w:t>
      </w:r>
      <w:r w:rsidRPr="00837F87">
        <w:t>учшие инструменты обеспечения безопасности</w:t>
      </w:r>
      <w:r w:rsidR="00837F87" w:rsidRPr="00837F87">
        <w:t>;</w:t>
      </w:r>
    </w:p>
    <w:p w14:paraId="05C214E1" w14:textId="3B6B2B65" w:rsidR="00007FBE" w:rsidRPr="00837F87" w:rsidRDefault="00007FBE" w:rsidP="00007FBE">
      <w:pPr>
        <w:pStyle w:val="enumlev1"/>
      </w:pPr>
      <w:r w:rsidRPr="00837F87">
        <w:lastRenderedPageBreak/>
        <w:t>•</w:t>
      </w:r>
      <w:r w:rsidRPr="00837F87">
        <w:tab/>
      </w:r>
      <w:r w:rsidR="00837F87" w:rsidRPr="00837F87">
        <w:t>б</w:t>
      </w:r>
      <w:r w:rsidRPr="00837F87">
        <w:t>олее высокая производительность и доступность</w:t>
      </w:r>
      <w:r w:rsidR="00837F87" w:rsidRPr="00837F87">
        <w:t>;</w:t>
      </w:r>
    </w:p>
    <w:p w14:paraId="01A7A58D" w14:textId="77975691" w:rsidR="00007FBE" w:rsidRPr="00837F87" w:rsidRDefault="00007FBE" w:rsidP="00007FBE">
      <w:pPr>
        <w:pStyle w:val="enumlev1"/>
      </w:pPr>
      <w:r w:rsidRPr="00837F87">
        <w:t>•</w:t>
      </w:r>
      <w:r w:rsidRPr="00837F87">
        <w:tab/>
      </w:r>
      <w:r w:rsidR="00837F87" w:rsidRPr="00837F87">
        <w:t>б</w:t>
      </w:r>
      <w:r w:rsidRPr="00837F87">
        <w:t xml:space="preserve">олее быстрое развертывание приложений с помощью </w:t>
      </w:r>
      <w:proofErr w:type="spellStart"/>
      <w:r w:rsidRPr="00837F87">
        <w:t>микросервисов</w:t>
      </w:r>
      <w:proofErr w:type="spellEnd"/>
      <w:r w:rsidR="00837F87" w:rsidRPr="00837F87">
        <w:t>;</w:t>
      </w:r>
    </w:p>
    <w:p w14:paraId="1786D357" w14:textId="656E6773" w:rsidR="00007FBE" w:rsidRPr="00837F87" w:rsidRDefault="00007FBE" w:rsidP="00007FBE">
      <w:pPr>
        <w:pStyle w:val="enumlev1"/>
      </w:pPr>
      <w:r w:rsidRPr="00837F87">
        <w:t>•</w:t>
      </w:r>
      <w:r w:rsidRPr="00837F87">
        <w:tab/>
      </w:r>
      <w:r w:rsidR="00837F87" w:rsidRPr="00837F87">
        <w:t>н</w:t>
      </w:r>
      <w:r w:rsidRPr="00837F87">
        <w:t>епрерывность деятельности (резервное копирование, восстановление и аварийное переключение)</w:t>
      </w:r>
      <w:r w:rsidR="00837F87" w:rsidRPr="00837F87">
        <w:t>;</w:t>
      </w:r>
    </w:p>
    <w:p w14:paraId="2A665E2A" w14:textId="6FA9E85D" w:rsidR="00007FBE" w:rsidRPr="00837F87" w:rsidRDefault="00007FBE" w:rsidP="00007FBE">
      <w:pPr>
        <w:pStyle w:val="enumlev1"/>
      </w:pPr>
      <w:r w:rsidRPr="00837F87">
        <w:t>•</w:t>
      </w:r>
      <w:r w:rsidRPr="00837F87">
        <w:tab/>
      </w:r>
      <w:r w:rsidR="00837F87" w:rsidRPr="00837F87">
        <w:t>э</w:t>
      </w:r>
      <w:r w:rsidRPr="00837F87">
        <w:t>кономия средств за счет использования вычислительных ресурсов по запросу (эластичность)</w:t>
      </w:r>
      <w:r w:rsidR="00837F87" w:rsidRPr="00837F87">
        <w:t>.</w:t>
      </w:r>
    </w:p>
    <w:p w14:paraId="34374105" w14:textId="18DF0C74" w:rsidR="00007FBE" w:rsidRPr="00837F87" w:rsidRDefault="00007FBE" w:rsidP="00007FBE">
      <w:pPr>
        <w:rPr>
          <w:rFonts w:asciiTheme="minorHAnsi" w:hAnsiTheme="minorHAnsi" w:cstheme="minorHAnsi"/>
          <w:szCs w:val="24"/>
          <w:shd w:val="clear" w:color="auto" w:fill="FFFFFF"/>
        </w:rPr>
      </w:pPr>
      <w:r w:rsidRPr="00837F87">
        <w:t>15.3</w:t>
      </w:r>
      <w:r w:rsidR="00DF7E7F" w:rsidRPr="00837F87">
        <w:tab/>
      </w:r>
      <w:r w:rsidRPr="00837F87">
        <w:t>По мере дальнейшего развития МСЭ его зависимость от данных становится еще более очевидной. IMAC рекомендовал внедрить модель управления корпоративными данными, которая позволит организации воспользоваться преимуществами имеющихся в ее распоряжении обширных данных, особенно в таких областях, как внедрение схемы классификации данных; установление этических норм в отношении работы с данными; соблюдение прав сотрудников на конфиденциальность данных; обеспечение качества данных; и повышение безопасности данных.</w:t>
      </w:r>
    </w:p>
    <w:p w14:paraId="46C63126" w14:textId="22A426B1" w:rsidR="00007FBE" w:rsidRPr="00837F87" w:rsidRDefault="00007FBE" w:rsidP="00007FBE">
      <w:pPr>
        <w:rPr>
          <w:rFonts w:asciiTheme="minorHAnsi" w:hAnsiTheme="minorHAnsi" w:cstheme="minorHAnsi"/>
          <w:szCs w:val="24"/>
          <w:shd w:val="clear" w:color="auto" w:fill="FFFFFF"/>
        </w:rPr>
      </w:pPr>
      <w:r w:rsidRPr="00837F87">
        <w:t>15.4</w:t>
      </w:r>
      <w:r w:rsidR="00DF7E7F" w:rsidRPr="00837F87">
        <w:tab/>
      </w:r>
      <w:r w:rsidRPr="00837F87">
        <w:t>IMAC отметил, что функция безопасности ИТ документально определила четкие стратегические задачи по улучшению доступности, целостности и конфиденциальности систем, приложений и информационных ресурсов МСЭ. Однако некоторые из этих задач не были реализованы на практике или не получили достаточного ресурсного обеспечения. Комитет хотел бы добиться надлежащей поддержки на высшем уровне и выделения необходимых ресурсов, разработки четких планов работы и отдельных проектов с указанием владельцев и сроков их реализации.</w:t>
      </w:r>
    </w:p>
    <w:p w14:paraId="3C585636" w14:textId="3C719FD6" w:rsidR="00007FBE" w:rsidRPr="00837F87" w:rsidRDefault="00007FBE" w:rsidP="00007FBE">
      <w:pPr>
        <w:rPr>
          <w:rFonts w:asciiTheme="minorHAnsi" w:hAnsiTheme="minorHAnsi" w:cstheme="minorHAnsi"/>
          <w:szCs w:val="24"/>
          <w:shd w:val="clear" w:color="auto" w:fill="FFFFFF"/>
        </w:rPr>
      </w:pPr>
      <w:r w:rsidRPr="00837F87">
        <w:t>15.5</w:t>
      </w:r>
      <w:r w:rsidR="00DF7E7F" w:rsidRPr="00837F87">
        <w:tab/>
      </w:r>
      <w:r w:rsidRPr="00837F87">
        <w:t>Комитет отметил, что организация не разработала "Политику в области допустимого использования ИИ", которая регулировала бы общее использование больших языковых моделей (</w:t>
      </w:r>
      <w:proofErr w:type="spellStart"/>
      <w:r w:rsidRPr="00837F87">
        <w:t>БЯМ</w:t>
      </w:r>
      <w:proofErr w:type="spellEnd"/>
      <w:r w:rsidRPr="00837F87">
        <w:t xml:space="preserve">) в МСЭ. Кроме того, IMAC также рекомендует </w:t>
      </w:r>
      <w:proofErr w:type="spellStart"/>
      <w:r w:rsidRPr="00837F87">
        <w:t>ISD</w:t>
      </w:r>
      <w:proofErr w:type="spellEnd"/>
      <w:r w:rsidRPr="00837F87">
        <w:t xml:space="preserve"> изучить и определить возможности для более широкого использования ИИ в организации.</w:t>
      </w:r>
    </w:p>
    <w:p w14:paraId="23F017DB" w14:textId="3BD16F59" w:rsidR="00007FBE" w:rsidRPr="00837F87" w:rsidRDefault="00007FBE" w:rsidP="00007FBE">
      <w:pPr>
        <w:pStyle w:val="Heading1"/>
      </w:pPr>
      <w:r w:rsidRPr="00837F87">
        <w:rPr>
          <w:bCs/>
        </w:rPr>
        <w:t>C</w:t>
      </w:r>
      <w:r w:rsidR="00DF7E7F" w:rsidRPr="00837F87">
        <w:rPr>
          <w:bCs/>
        </w:rPr>
        <w:tab/>
      </w:r>
      <w:r w:rsidRPr="00837F87">
        <w:rPr>
          <w:bCs/>
        </w:rPr>
        <w:t>Выражение признательности</w:t>
      </w:r>
    </w:p>
    <w:p w14:paraId="4CCFF5EA" w14:textId="77777777" w:rsidR="00007FBE" w:rsidRPr="00837F87" w:rsidRDefault="00007FBE" w:rsidP="00007FBE">
      <w:pPr>
        <w:rPr>
          <w:rFonts w:cstheme="minorHAnsi"/>
        </w:rPr>
      </w:pPr>
      <w:r w:rsidRPr="00837F87">
        <w:t>Комитет выражает признательность и благодарность за сотрудничество и помощь, полученные в течение отчетного периода от Генерального секретаря, заместителя Генерального секретаря, других избираемых директоров высокого уровня, руководства и персонала МСЭ, а также Внешнего аудитора и Совета. Комитет благодарит своего Исполнительного секретаря за его поддержку в течение отчетного периода.</w:t>
      </w:r>
    </w:p>
    <w:p w14:paraId="69767EBE" w14:textId="45A934A1" w:rsidR="00007FBE" w:rsidRPr="00837F87" w:rsidRDefault="00007FBE" w:rsidP="00007F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37F87">
        <w:br w:type="page"/>
      </w:r>
    </w:p>
    <w:p w14:paraId="4D573866" w14:textId="77777777" w:rsidR="00007FBE" w:rsidRPr="00837F87" w:rsidRDefault="00007FBE" w:rsidP="00007FBE">
      <w:pPr>
        <w:pStyle w:val="AnnexNo"/>
      </w:pPr>
      <w:r w:rsidRPr="00837F87">
        <w:lastRenderedPageBreak/>
        <w:t>ПРИЛОЖЕНИЕ 1</w:t>
      </w:r>
    </w:p>
    <w:p w14:paraId="261B86E2" w14:textId="77777777" w:rsidR="00007FBE" w:rsidRPr="00837F87" w:rsidRDefault="00007FBE" w:rsidP="00007FBE">
      <w:pPr>
        <w:pStyle w:val="Annextitle"/>
        <w:rPr>
          <w:bCs/>
        </w:rPr>
      </w:pPr>
      <w:r w:rsidRPr="00837F87">
        <w:rPr>
          <w:bCs/>
        </w:rPr>
        <w:t>Рекомендации IMAC 2023 года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0778FB8E" w14:textId="77777777" w:rsidTr="00DF7E7F">
        <w:tc>
          <w:tcPr>
            <w:tcW w:w="9061" w:type="dxa"/>
          </w:tcPr>
          <w:p w14:paraId="2E9561ED" w14:textId="77777777" w:rsidR="00DF7E7F" w:rsidRPr="00837F87" w:rsidRDefault="00DF7E7F" w:rsidP="00DF7E7F">
            <w:r w:rsidRPr="00837F87">
              <w:t>Рекомендация 1</w:t>
            </w:r>
          </w:p>
          <w:p w14:paraId="7AAAD9F8" w14:textId="1EEF4912" w:rsidR="00DF7E7F" w:rsidRPr="00837F87" w:rsidRDefault="00DF7E7F" w:rsidP="00DF7E7F">
            <w:pPr>
              <w:spacing w:after="120"/>
            </w:pPr>
            <w:r w:rsidRPr="00837F87">
              <w:t>IMAC рекомендует руководству МСЭ организовать регулярное представление информации о</w:t>
            </w:r>
            <w:r w:rsidR="00EE3AA5" w:rsidRPr="00837F87">
              <w:t> </w:t>
            </w:r>
            <w:r w:rsidRPr="00837F87">
              <w:t>ходе реализации Дорожной карты трансформации для достижения организационной эффективности. Это обеспечит прозрачность, подотчетность и эффективный мониторинг выполнения Дорожной карты для достижения целей организации.</w:t>
            </w:r>
          </w:p>
        </w:tc>
      </w:tr>
    </w:tbl>
    <w:p w14:paraId="1893BE67" w14:textId="77777777" w:rsidR="00DF7E7F" w:rsidRPr="00837F87" w:rsidRDefault="00DF7E7F" w:rsidP="00DF7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47CF1955" w14:textId="77777777" w:rsidTr="00DF7E7F">
        <w:tc>
          <w:tcPr>
            <w:tcW w:w="9061" w:type="dxa"/>
          </w:tcPr>
          <w:p w14:paraId="564B672D" w14:textId="77777777" w:rsidR="00DF7E7F" w:rsidRPr="00837F87" w:rsidRDefault="00DF7E7F" w:rsidP="00DF7E7F">
            <w:r w:rsidRPr="00837F87">
              <w:t>Рекомендация 3</w:t>
            </w:r>
          </w:p>
          <w:p w14:paraId="1C035B37" w14:textId="25C202F7" w:rsidR="00DF7E7F" w:rsidRPr="00837F87" w:rsidRDefault="00DF7E7F" w:rsidP="00DF7E7F">
            <w:pPr>
              <w:spacing w:after="120"/>
            </w:pPr>
            <w:r w:rsidRPr="00837F87">
              <w:t>IMAC рекомендует руководству МСЭ принять комплексные меры для обеспечения прозрачного управления изменениями в соответствии с реализацией Дорожной карты трансформации для достижения организационной эффективности. Это включает эффективные стратегии коммуникации для мобилизации всей организации и формирования у всех работников чувства сопричастности, способствуя тем самым их вовлеченности и приверженности на протяжении всего процесса.</w:t>
            </w:r>
          </w:p>
        </w:tc>
      </w:tr>
    </w:tbl>
    <w:p w14:paraId="41F073EB" w14:textId="77777777" w:rsidR="00DF7E7F" w:rsidRPr="00837F87" w:rsidRDefault="00DF7E7F" w:rsidP="00DF7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1E8D0DA2" w14:textId="77777777" w:rsidTr="00DF7E7F">
        <w:tc>
          <w:tcPr>
            <w:tcW w:w="9061" w:type="dxa"/>
          </w:tcPr>
          <w:p w14:paraId="6095E1EC" w14:textId="77777777" w:rsidR="00DF7E7F" w:rsidRPr="00837F87" w:rsidRDefault="00DF7E7F" w:rsidP="00DF7E7F">
            <w:r w:rsidRPr="00837F87">
              <w:t>Рекомендация 4</w:t>
            </w:r>
          </w:p>
          <w:p w14:paraId="709EFE42" w14:textId="7108F851" w:rsidR="00DF7E7F" w:rsidRPr="00837F87" w:rsidRDefault="00DF7E7F" w:rsidP="00DF7E7F">
            <w:pPr>
              <w:spacing w:after="120"/>
            </w:pPr>
            <w:r w:rsidRPr="00837F87">
              <w:t>С учетом Дорожной карты трансформации IMAC рекомендует руководству МСЭ обновить свое Заявление о готовности к принятию рисков, сделав акцент на формировании более инновационной и экспериментальной культуры.</w:t>
            </w:r>
          </w:p>
        </w:tc>
      </w:tr>
    </w:tbl>
    <w:p w14:paraId="5C4AEF8D" w14:textId="77777777" w:rsidR="00DF7E7F" w:rsidRPr="00837F87" w:rsidRDefault="00DF7E7F" w:rsidP="00DF7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09EEDE9B" w14:textId="77777777" w:rsidTr="00DF7E7F">
        <w:tc>
          <w:tcPr>
            <w:tcW w:w="9061" w:type="dxa"/>
          </w:tcPr>
          <w:p w14:paraId="40954953" w14:textId="77777777" w:rsidR="00DF7E7F" w:rsidRPr="00837F87" w:rsidRDefault="00DF7E7F" w:rsidP="00DF7E7F">
            <w:r w:rsidRPr="00837F87">
              <w:t>Рекомендация 5</w:t>
            </w:r>
          </w:p>
          <w:p w14:paraId="58C7F42A" w14:textId="3A2ACAA5" w:rsidR="00DF7E7F" w:rsidRPr="00837F87" w:rsidRDefault="00DF7E7F" w:rsidP="00DF7E7F">
            <w:pPr>
              <w:spacing w:after="120"/>
            </w:pPr>
            <w:r w:rsidRPr="00837F87">
              <w:t>В целях повышения объема и предсказуемости доходов по линии возмещения затрат IMAC рекомендует руководству МСЭ провести целевое обновление своих методик возмещения затрат с поэтапным планом продвижения к полному возмещению.</w:t>
            </w:r>
          </w:p>
        </w:tc>
      </w:tr>
    </w:tbl>
    <w:p w14:paraId="21004A2F" w14:textId="67832E55" w:rsidR="00007FBE" w:rsidRPr="00837F87" w:rsidRDefault="00007FBE" w:rsidP="00DF7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7FD04D04" w14:textId="77777777" w:rsidTr="00DF7E7F">
        <w:tc>
          <w:tcPr>
            <w:tcW w:w="9061" w:type="dxa"/>
          </w:tcPr>
          <w:p w14:paraId="67A4557F" w14:textId="77777777" w:rsidR="00DF7E7F" w:rsidRPr="00837F87" w:rsidRDefault="00DF7E7F" w:rsidP="00DF7E7F">
            <w:r w:rsidRPr="00837F87">
              <w:t>Рекомендация 6</w:t>
            </w:r>
          </w:p>
          <w:p w14:paraId="54E211C3" w14:textId="2670DD47" w:rsidR="00DF7E7F" w:rsidRPr="00837F87" w:rsidRDefault="00DF7E7F" w:rsidP="00DF7E7F">
            <w:pPr>
              <w:spacing w:after="120"/>
            </w:pPr>
            <w:r w:rsidRPr="00837F87">
              <w:t>IMAC рекомендует руководству МСЭ подготовить и внедрить планы действий, которые обеспечат восстановление объема возмещения затрат до уровня, предшествовавшего пандемии COVID-19.</w:t>
            </w:r>
          </w:p>
        </w:tc>
      </w:tr>
    </w:tbl>
    <w:p w14:paraId="43B0E619" w14:textId="18A08187" w:rsidR="00007FBE" w:rsidRPr="00837F87" w:rsidRDefault="00007FBE" w:rsidP="00DF7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396F48FC" w14:textId="77777777" w:rsidTr="00DF7E7F">
        <w:tc>
          <w:tcPr>
            <w:tcW w:w="9061" w:type="dxa"/>
          </w:tcPr>
          <w:p w14:paraId="26209D79" w14:textId="77777777" w:rsidR="00DF7E7F" w:rsidRPr="00837F87" w:rsidRDefault="00DF7E7F" w:rsidP="00DF7E7F">
            <w:r w:rsidRPr="00837F87">
              <w:t>Рекомендация 7</w:t>
            </w:r>
          </w:p>
          <w:p w14:paraId="004A3210" w14:textId="4C45F4D6" w:rsidR="00DF7E7F" w:rsidRPr="00837F87" w:rsidRDefault="00DF7E7F" w:rsidP="00DF7E7F">
            <w:pPr>
              <w:spacing w:after="120"/>
            </w:pPr>
            <w:r w:rsidRPr="00837F87">
              <w:t>IMAC рекомендует представить проект строительства штаб-квартиры МСЭ для оценки независимым сторонним экспертом. Эта оценка должна охватывать различные сценарии дальнейших действий, чтобы содействовать принятию обоснованных решений.</w:t>
            </w:r>
          </w:p>
        </w:tc>
      </w:tr>
    </w:tbl>
    <w:p w14:paraId="28475F45" w14:textId="77777777" w:rsidR="00DF7E7F" w:rsidRPr="00837F87" w:rsidRDefault="00DF7E7F" w:rsidP="00DF7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3E5A765A" w14:textId="77777777" w:rsidTr="00DF7E7F">
        <w:tc>
          <w:tcPr>
            <w:tcW w:w="9061" w:type="dxa"/>
          </w:tcPr>
          <w:p w14:paraId="0FC12ADC" w14:textId="77777777" w:rsidR="00DF7E7F" w:rsidRPr="00837F87" w:rsidRDefault="00DF7E7F" w:rsidP="00DF7E7F">
            <w:pPr>
              <w:keepNext/>
            </w:pPr>
            <w:r w:rsidRPr="00837F87">
              <w:lastRenderedPageBreak/>
              <w:t>Рекомендация 10</w:t>
            </w:r>
          </w:p>
          <w:p w14:paraId="7FCEDF53" w14:textId="0095EEAD" w:rsidR="00DF7E7F" w:rsidRPr="00837F87" w:rsidRDefault="00DF7E7F" w:rsidP="00DF7E7F">
            <w:pPr>
              <w:spacing w:after="120"/>
            </w:pPr>
            <w:r w:rsidRPr="00837F87">
              <w:t>В целях снижения рисков, связанных со старением рабочей силы МСЭ, IMAC рекомендует призвать Государства – Члены МСЭ оказывать соответствующую финансовую и материальную поддержку программе "Молодые специалисты" (</w:t>
            </w:r>
            <w:proofErr w:type="spellStart"/>
            <w:r w:rsidRPr="00837F87">
              <w:t>YPP</w:t>
            </w:r>
            <w:proofErr w:type="spellEnd"/>
            <w:r w:rsidRPr="00837F87">
              <w:t>) и другим инициативам по профессиональному росту молодых специалистов.</w:t>
            </w:r>
          </w:p>
        </w:tc>
      </w:tr>
    </w:tbl>
    <w:p w14:paraId="13C0B5C9" w14:textId="77777777" w:rsidR="00DF7E7F" w:rsidRPr="00837F87" w:rsidRDefault="00DF7E7F" w:rsidP="00DF7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33E394F8" w14:textId="77777777" w:rsidTr="00DF7E7F">
        <w:tc>
          <w:tcPr>
            <w:tcW w:w="9061" w:type="dxa"/>
          </w:tcPr>
          <w:p w14:paraId="502EC38D" w14:textId="77777777" w:rsidR="00DF7E7F" w:rsidRPr="00837F87" w:rsidRDefault="00DF7E7F" w:rsidP="00DF7E7F">
            <w:r w:rsidRPr="00837F87">
              <w:t>Рекомендация 11</w:t>
            </w:r>
          </w:p>
          <w:p w14:paraId="0818A0F5" w14:textId="2D10E8D7" w:rsidR="00DF7E7F" w:rsidRPr="00837F87" w:rsidRDefault="00DF7E7F" w:rsidP="00DF7E7F">
            <w:pPr>
              <w:spacing w:after="120"/>
            </w:pPr>
            <w:r w:rsidRPr="00837F87">
              <w:t>IMAC рекомендует создать систему управления ИТ для обеспечения четкости мандата на принятие решений, процесса управления спросом, подотчетности за согласованные и принятые меры, а также стимулов для выполнения.</w:t>
            </w:r>
          </w:p>
        </w:tc>
      </w:tr>
    </w:tbl>
    <w:p w14:paraId="2B4FD834" w14:textId="77777777" w:rsidR="00DF7E7F" w:rsidRPr="00837F87" w:rsidRDefault="00DF7E7F" w:rsidP="00DF7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0D4CFFB6" w14:textId="77777777" w:rsidTr="00DF7E7F">
        <w:tc>
          <w:tcPr>
            <w:tcW w:w="9061" w:type="dxa"/>
          </w:tcPr>
          <w:p w14:paraId="7B2A106F" w14:textId="77777777" w:rsidR="00DF7E7F" w:rsidRPr="00837F87" w:rsidRDefault="00DF7E7F" w:rsidP="00DF7E7F">
            <w:r w:rsidRPr="00837F87">
              <w:t>Рекомендация 12</w:t>
            </w:r>
          </w:p>
          <w:p w14:paraId="4086C554" w14:textId="7CEF60ED" w:rsidR="00DF7E7F" w:rsidRPr="00837F87" w:rsidRDefault="00DF7E7F" w:rsidP="00DF7E7F">
            <w:pPr>
              <w:spacing w:after="120"/>
            </w:pPr>
            <w:r w:rsidRPr="00837F87">
              <w:t>IMAC рекомендует руководству МСЭ провести инвентаризацию и сверку лицензий на ИТ, а</w:t>
            </w:r>
            <w:r w:rsidR="00EE3AA5" w:rsidRPr="00837F87">
              <w:t> </w:t>
            </w:r>
            <w:r w:rsidRPr="00837F87">
              <w:t>затем осуществить рационализацию лицензий, с тем чтобы выявить потенциальные возможности экономии средств.</w:t>
            </w:r>
          </w:p>
        </w:tc>
      </w:tr>
    </w:tbl>
    <w:p w14:paraId="19E4B4C0" w14:textId="77777777" w:rsidR="00DF7E7F" w:rsidRPr="00837F87" w:rsidRDefault="00DF7E7F" w:rsidP="00DF7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7E7F" w:rsidRPr="00837F87" w14:paraId="4275CB7B" w14:textId="77777777" w:rsidTr="00DF7E7F">
        <w:tc>
          <w:tcPr>
            <w:tcW w:w="9061" w:type="dxa"/>
          </w:tcPr>
          <w:p w14:paraId="08A3F581" w14:textId="77777777" w:rsidR="00DF7E7F" w:rsidRPr="00837F87" w:rsidRDefault="00DF7E7F" w:rsidP="00DF7E7F">
            <w:r w:rsidRPr="00837F87">
              <w:t>Рекомендация 13</w:t>
            </w:r>
          </w:p>
          <w:p w14:paraId="00406BD7" w14:textId="150E1C4C" w:rsidR="00DF7E7F" w:rsidRPr="00837F87" w:rsidRDefault="00DF7E7F" w:rsidP="00DF7E7F">
            <w:pPr>
              <w:spacing w:after="120"/>
            </w:pPr>
            <w:r w:rsidRPr="00837F87">
              <w:t>IMAC настоятельно рекомендует руководству МСЭ создать комплексную структуру управления данными по принципу "сверху вниз", включающую политику и процедуры хранения данных, для сохранности данных прошлых периодов и обеспечения готовности данных.</w:t>
            </w:r>
          </w:p>
        </w:tc>
      </w:tr>
    </w:tbl>
    <w:p w14:paraId="0754E06E" w14:textId="62541A24" w:rsidR="00796BD3" w:rsidRPr="00837F87" w:rsidRDefault="00007FBE" w:rsidP="00007FBE">
      <w:pPr>
        <w:spacing w:before="720"/>
        <w:jc w:val="center"/>
      </w:pPr>
      <w:r w:rsidRPr="00837F87">
        <w:t>______________</w:t>
      </w:r>
    </w:p>
    <w:sectPr w:rsidR="00796BD3" w:rsidRPr="00837F87" w:rsidSect="00796BD3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EA46" w14:textId="77777777" w:rsidR="003C62CC" w:rsidRDefault="003C62CC">
      <w:r>
        <w:separator/>
      </w:r>
    </w:p>
  </w:endnote>
  <w:endnote w:type="continuationSeparator" w:id="0">
    <w:p w14:paraId="5B06B4BE" w14:textId="77777777" w:rsidR="003C62CC" w:rsidRDefault="003C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7944B99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5F93CD36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2D3865">
            <w:rPr>
              <w:bCs/>
            </w:rPr>
            <w:t>22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bookmarkStart w:id="13" w:name="_Hlk168057878"/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7D23E00C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2D3865">
            <w:rPr>
              <w:bCs/>
            </w:rPr>
            <w:t>22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  <w:bookmarkEnd w:id="13"/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8ABD" w14:textId="77777777" w:rsidR="003C62CC" w:rsidRDefault="003C62CC">
      <w:r>
        <w:t>____________________</w:t>
      </w:r>
    </w:p>
  </w:footnote>
  <w:footnote w:type="continuationSeparator" w:id="0">
    <w:p w14:paraId="57DCFF35" w14:textId="77777777" w:rsidR="003C62CC" w:rsidRDefault="003C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bookmarkStart w:id="9" w:name="_Hlk168057733"/>
          <w:bookmarkStart w:id="10" w:name="_Hlk168057734"/>
          <w:bookmarkStart w:id="11" w:name="_Hlk168057772"/>
          <w:bookmarkStart w:id="12" w:name="_Hlk168057773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596D6C8A" w14:textId="77777777" w:rsidR="00796BD3" w:rsidRDefault="00796BD3" w:rsidP="000E3E8D">
    <w:pPr>
      <w:pStyle w:val="Header"/>
      <w:spacing w:before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07FBE"/>
    <w:rsid w:val="0002183E"/>
    <w:rsid w:val="000569B4"/>
    <w:rsid w:val="00080E82"/>
    <w:rsid w:val="000B2DE7"/>
    <w:rsid w:val="000E3E8D"/>
    <w:rsid w:val="000E568E"/>
    <w:rsid w:val="0014734F"/>
    <w:rsid w:val="0015710D"/>
    <w:rsid w:val="00163A32"/>
    <w:rsid w:val="00165D06"/>
    <w:rsid w:val="00192B41"/>
    <w:rsid w:val="001B7B09"/>
    <w:rsid w:val="001C044C"/>
    <w:rsid w:val="001D3EE5"/>
    <w:rsid w:val="001E6719"/>
    <w:rsid w:val="001E7F50"/>
    <w:rsid w:val="00225368"/>
    <w:rsid w:val="00227FF0"/>
    <w:rsid w:val="00291EB6"/>
    <w:rsid w:val="002A5CBF"/>
    <w:rsid w:val="002D2F57"/>
    <w:rsid w:val="002D3865"/>
    <w:rsid w:val="002D48C5"/>
    <w:rsid w:val="0033025A"/>
    <w:rsid w:val="003C62CC"/>
    <w:rsid w:val="003F099E"/>
    <w:rsid w:val="003F235E"/>
    <w:rsid w:val="004023E0"/>
    <w:rsid w:val="00403DD8"/>
    <w:rsid w:val="00442515"/>
    <w:rsid w:val="0045686C"/>
    <w:rsid w:val="004646ED"/>
    <w:rsid w:val="004918C4"/>
    <w:rsid w:val="00497703"/>
    <w:rsid w:val="004A0374"/>
    <w:rsid w:val="004A45B5"/>
    <w:rsid w:val="004D0129"/>
    <w:rsid w:val="004E7720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37F87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16A11"/>
    <w:rsid w:val="00B41837"/>
    <w:rsid w:val="00B63EF2"/>
    <w:rsid w:val="00BA7D89"/>
    <w:rsid w:val="00BC0D39"/>
    <w:rsid w:val="00BC7BC0"/>
    <w:rsid w:val="00BD57B7"/>
    <w:rsid w:val="00BE63E2"/>
    <w:rsid w:val="00C85ABF"/>
    <w:rsid w:val="00CD2009"/>
    <w:rsid w:val="00CF629C"/>
    <w:rsid w:val="00D62081"/>
    <w:rsid w:val="00D92EEA"/>
    <w:rsid w:val="00DA5D4E"/>
    <w:rsid w:val="00DF7E7F"/>
    <w:rsid w:val="00E176BA"/>
    <w:rsid w:val="00E423EC"/>
    <w:rsid w:val="00E55121"/>
    <w:rsid w:val="00E87A27"/>
    <w:rsid w:val="00EB4FCB"/>
    <w:rsid w:val="00EC6BC5"/>
    <w:rsid w:val="00EE3AA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A5CB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D386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Normalnumbered">
    <w:name w:val="Normal (numbered)"/>
    <w:rsid w:val="00007FBE"/>
    <w:pPr>
      <w:pBdr>
        <w:top w:val="nil"/>
        <w:left w:val="nil"/>
        <w:bottom w:val="nil"/>
        <w:right w:val="nil"/>
        <w:between w:val="nil"/>
        <w:bar w:val="nil"/>
      </w:pBdr>
      <w:spacing w:before="180" w:after="120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62-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62-R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27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29</TotalTime>
  <Pages>11</Pages>
  <Words>3306</Words>
  <Characters>23467</Characters>
  <Application>Microsoft Office Word</Application>
  <DocSecurity>0</DocSecurity>
  <Lines>195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26720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Antipina, Nadezda</cp:lastModifiedBy>
  <cp:revision>6</cp:revision>
  <cp:lastPrinted>2006-03-28T16:12:00Z</cp:lastPrinted>
  <dcterms:created xsi:type="dcterms:W3CDTF">2024-06-04T05:59:00Z</dcterms:created>
  <dcterms:modified xsi:type="dcterms:W3CDTF">2024-06-04T06:35:00Z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