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A94D6A" w14:paraId="3DD1E60E" w14:textId="77777777" w:rsidTr="00E31DCE">
        <w:trPr>
          <w:cantSplit/>
          <w:trHeight w:val="23"/>
        </w:trPr>
        <w:tc>
          <w:tcPr>
            <w:tcW w:w="3969" w:type="dxa"/>
            <w:vMerge w:val="restart"/>
            <w:tcMar>
              <w:left w:w="0" w:type="dxa"/>
            </w:tcMar>
          </w:tcPr>
          <w:p w14:paraId="7E284D32" w14:textId="044293D7" w:rsidR="00796BD3" w:rsidRPr="00A94D6A" w:rsidRDefault="0033025A"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A94D6A">
              <w:rPr>
                <w:b/>
                <w:lang w:val="ru-RU"/>
              </w:rPr>
              <w:t>Пункт повестки дня:</w:t>
            </w:r>
            <w:r w:rsidR="00BB4D9D" w:rsidRPr="00A94D6A">
              <w:rPr>
                <w:b/>
                <w:lang w:val="ru-RU"/>
              </w:rPr>
              <w:t xml:space="preserve"> </w:t>
            </w:r>
            <w:r w:rsidR="00BB4D9D" w:rsidRPr="00A94D6A">
              <w:rPr>
                <w:b/>
                <w:bCs/>
                <w:lang w:val="ru-RU"/>
              </w:rPr>
              <w:t>ADM 1</w:t>
            </w:r>
          </w:p>
        </w:tc>
        <w:tc>
          <w:tcPr>
            <w:tcW w:w="5245" w:type="dxa"/>
          </w:tcPr>
          <w:p w14:paraId="6B2677E1" w14:textId="5286096E" w:rsidR="00796BD3" w:rsidRPr="00A94D6A" w:rsidRDefault="0033025A" w:rsidP="00E31DCE">
            <w:pPr>
              <w:tabs>
                <w:tab w:val="left" w:pos="851"/>
              </w:tabs>
              <w:spacing w:before="0" w:line="240" w:lineRule="atLeast"/>
              <w:jc w:val="right"/>
              <w:rPr>
                <w:b/>
                <w:lang w:val="ru-RU"/>
              </w:rPr>
            </w:pPr>
            <w:r w:rsidRPr="00A94D6A">
              <w:rPr>
                <w:b/>
                <w:lang w:val="ru-RU"/>
              </w:rPr>
              <w:t xml:space="preserve">Документ </w:t>
            </w:r>
            <w:r w:rsidR="00796BD3" w:rsidRPr="00A94D6A">
              <w:rPr>
                <w:b/>
                <w:lang w:val="ru-RU"/>
              </w:rPr>
              <w:t>C2</w:t>
            </w:r>
            <w:r w:rsidR="00660449" w:rsidRPr="00A94D6A">
              <w:rPr>
                <w:b/>
                <w:lang w:val="ru-RU"/>
              </w:rPr>
              <w:t>4</w:t>
            </w:r>
            <w:r w:rsidR="00796BD3" w:rsidRPr="00A94D6A">
              <w:rPr>
                <w:b/>
                <w:lang w:val="ru-RU"/>
              </w:rPr>
              <w:t>/</w:t>
            </w:r>
            <w:r w:rsidR="00BB4D9D" w:rsidRPr="00A94D6A">
              <w:rPr>
                <w:b/>
                <w:lang w:val="ru-RU"/>
              </w:rPr>
              <w:t>19</w:t>
            </w:r>
            <w:r w:rsidR="00796BD3" w:rsidRPr="00A94D6A">
              <w:rPr>
                <w:b/>
                <w:lang w:val="ru-RU"/>
              </w:rPr>
              <w:t>-R</w:t>
            </w:r>
          </w:p>
        </w:tc>
      </w:tr>
      <w:tr w:rsidR="00796BD3" w:rsidRPr="00A94D6A" w14:paraId="50B6C952" w14:textId="77777777" w:rsidTr="00E31DCE">
        <w:trPr>
          <w:cantSplit/>
        </w:trPr>
        <w:tc>
          <w:tcPr>
            <w:tcW w:w="3969" w:type="dxa"/>
            <w:vMerge/>
          </w:tcPr>
          <w:p w14:paraId="38736F8B" w14:textId="77777777" w:rsidR="00796BD3" w:rsidRPr="00A94D6A" w:rsidRDefault="00796BD3" w:rsidP="00E31DCE">
            <w:pPr>
              <w:tabs>
                <w:tab w:val="left" w:pos="851"/>
              </w:tabs>
              <w:spacing w:line="240" w:lineRule="atLeast"/>
              <w:rPr>
                <w:b/>
                <w:lang w:val="ru-RU"/>
              </w:rPr>
            </w:pPr>
            <w:bookmarkStart w:id="3" w:name="ddate" w:colFirst="1" w:colLast="1"/>
            <w:bookmarkEnd w:id="0"/>
            <w:bookmarkEnd w:id="1"/>
          </w:p>
        </w:tc>
        <w:tc>
          <w:tcPr>
            <w:tcW w:w="5245" w:type="dxa"/>
          </w:tcPr>
          <w:p w14:paraId="3F8AF3C6" w14:textId="04273E45" w:rsidR="00796BD3" w:rsidRPr="00A94D6A" w:rsidRDefault="00BB4D9D" w:rsidP="00E31DCE">
            <w:pPr>
              <w:tabs>
                <w:tab w:val="left" w:pos="851"/>
              </w:tabs>
              <w:spacing w:before="0"/>
              <w:jc w:val="right"/>
              <w:rPr>
                <w:b/>
                <w:lang w:val="ru-RU"/>
              </w:rPr>
            </w:pPr>
            <w:r w:rsidRPr="00A94D6A">
              <w:rPr>
                <w:b/>
                <w:bCs/>
                <w:lang w:val="ru-RU"/>
              </w:rPr>
              <w:t>9 апреля 2024 года</w:t>
            </w:r>
          </w:p>
        </w:tc>
      </w:tr>
      <w:tr w:rsidR="00796BD3" w:rsidRPr="00A94D6A" w14:paraId="2461BA1F" w14:textId="77777777" w:rsidTr="00E31DCE">
        <w:trPr>
          <w:cantSplit/>
          <w:trHeight w:val="23"/>
        </w:trPr>
        <w:tc>
          <w:tcPr>
            <w:tcW w:w="3969" w:type="dxa"/>
            <w:vMerge/>
          </w:tcPr>
          <w:p w14:paraId="0F563931" w14:textId="77777777" w:rsidR="00796BD3" w:rsidRPr="00A94D6A" w:rsidRDefault="00796BD3" w:rsidP="00E31DCE">
            <w:pPr>
              <w:tabs>
                <w:tab w:val="left" w:pos="851"/>
              </w:tabs>
              <w:spacing w:line="240" w:lineRule="atLeast"/>
              <w:rPr>
                <w:b/>
                <w:lang w:val="ru-RU"/>
              </w:rPr>
            </w:pPr>
            <w:bookmarkStart w:id="4" w:name="dorlang" w:colFirst="1" w:colLast="1"/>
            <w:bookmarkEnd w:id="3"/>
          </w:p>
        </w:tc>
        <w:tc>
          <w:tcPr>
            <w:tcW w:w="5245" w:type="dxa"/>
          </w:tcPr>
          <w:p w14:paraId="79DCBD93" w14:textId="77777777" w:rsidR="00796BD3" w:rsidRPr="00A94D6A" w:rsidRDefault="0033025A" w:rsidP="00E31DCE">
            <w:pPr>
              <w:tabs>
                <w:tab w:val="left" w:pos="851"/>
              </w:tabs>
              <w:spacing w:before="0" w:line="240" w:lineRule="atLeast"/>
              <w:jc w:val="right"/>
              <w:rPr>
                <w:b/>
                <w:lang w:val="ru-RU"/>
              </w:rPr>
            </w:pPr>
            <w:r w:rsidRPr="00A94D6A">
              <w:rPr>
                <w:b/>
                <w:lang w:val="ru-RU"/>
              </w:rPr>
              <w:t>Оригинал: английский</w:t>
            </w:r>
          </w:p>
        </w:tc>
      </w:tr>
      <w:tr w:rsidR="00796BD3" w:rsidRPr="00A94D6A" w14:paraId="31386429" w14:textId="77777777" w:rsidTr="00E31DCE">
        <w:trPr>
          <w:cantSplit/>
          <w:trHeight w:val="23"/>
        </w:trPr>
        <w:tc>
          <w:tcPr>
            <w:tcW w:w="3969" w:type="dxa"/>
          </w:tcPr>
          <w:p w14:paraId="542E0BB4" w14:textId="77777777" w:rsidR="00796BD3" w:rsidRPr="00A94D6A" w:rsidRDefault="00796BD3" w:rsidP="00E31DCE">
            <w:pPr>
              <w:tabs>
                <w:tab w:val="left" w:pos="851"/>
              </w:tabs>
              <w:spacing w:line="240" w:lineRule="atLeast"/>
              <w:rPr>
                <w:b/>
                <w:lang w:val="ru-RU"/>
              </w:rPr>
            </w:pPr>
          </w:p>
        </w:tc>
        <w:tc>
          <w:tcPr>
            <w:tcW w:w="5245" w:type="dxa"/>
          </w:tcPr>
          <w:p w14:paraId="0583ED6F" w14:textId="77777777" w:rsidR="00796BD3" w:rsidRPr="00A94D6A" w:rsidRDefault="00796BD3" w:rsidP="00E31DCE">
            <w:pPr>
              <w:tabs>
                <w:tab w:val="left" w:pos="851"/>
              </w:tabs>
              <w:spacing w:before="0" w:line="240" w:lineRule="atLeast"/>
              <w:jc w:val="right"/>
              <w:rPr>
                <w:b/>
                <w:lang w:val="ru-RU"/>
              </w:rPr>
            </w:pPr>
          </w:p>
        </w:tc>
      </w:tr>
      <w:tr w:rsidR="00796BD3" w:rsidRPr="00A94D6A" w14:paraId="25D5285C" w14:textId="77777777" w:rsidTr="00E31DCE">
        <w:trPr>
          <w:cantSplit/>
        </w:trPr>
        <w:tc>
          <w:tcPr>
            <w:tcW w:w="9214" w:type="dxa"/>
            <w:gridSpan w:val="2"/>
            <w:tcMar>
              <w:left w:w="0" w:type="dxa"/>
            </w:tcMar>
          </w:tcPr>
          <w:p w14:paraId="5B675282" w14:textId="77777777" w:rsidR="00796BD3" w:rsidRPr="00A94D6A" w:rsidRDefault="0033025A" w:rsidP="00672F8A">
            <w:pPr>
              <w:pStyle w:val="Source"/>
              <w:jc w:val="left"/>
              <w:rPr>
                <w:sz w:val="32"/>
                <w:szCs w:val="32"/>
                <w:lang w:val="ru-RU"/>
              </w:rPr>
            </w:pPr>
            <w:bookmarkStart w:id="5" w:name="dsource" w:colFirst="0" w:colLast="0"/>
            <w:bookmarkEnd w:id="4"/>
            <w:r w:rsidRPr="00A94D6A">
              <w:rPr>
                <w:rFonts w:cstheme="minorHAnsi"/>
                <w:sz w:val="32"/>
                <w:szCs w:val="32"/>
                <w:lang w:val="ru-RU"/>
              </w:rPr>
              <w:t>Отчет Генерального секретаря</w:t>
            </w:r>
          </w:p>
        </w:tc>
      </w:tr>
      <w:tr w:rsidR="00796BD3" w:rsidRPr="00846AD5" w14:paraId="4EE3C8AA" w14:textId="77777777" w:rsidTr="00E31DCE">
        <w:trPr>
          <w:cantSplit/>
        </w:trPr>
        <w:tc>
          <w:tcPr>
            <w:tcW w:w="9214" w:type="dxa"/>
            <w:gridSpan w:val="2"/>
            <w:tcMar>
              <w:left w:w="0" w:type="dxa"/>
            </w:tcMar>
          </w:tcPr>
          <w:p w14:paraId="7D7A10CF" w14:textId="017F2432" w:rsidR="00796BD3" w:rsidRPr="00A94D6A" w:rsidRDefault="00BB4D9D" w:rsidP="00E31DCE">
            <w:pPr>
              <w:pStyle w:val="Subtitle"/>
              <w:framePr w:hSpace="0" w:wrap="auto" w:hAnchor="text" w:xAlign="left" w:yAlign="inline"/>
              <w:rPr>
                <w:sz w:val="32"/>
                <w:szCs w:val="32"/>
                <w:lang w:val="ru-RU"/>
              </w:rPr>
            </w:pPr>
            <w:bookmarkStart w:id="6" w:name="dtitle1" w:colFirst="0" w:colLast="0"/>
            <w:bookmarkEnd w:id="5"/>
            <w:r w:rsidRPr="00A94D6A">
              <w:rPr>
                <w:rFonts w:cstheme="minorHAnsi"/>
                <w:sz w:val="32"/>
                <w:szCs w:val="32"/>
                <w:lang w:val="ru-RU"/>
              </w:rPr>
              <w:t>РАСПРЕДЕЛЕНИЕ СРЕДСТВ, СЭКОНОМЛЕННЫХ ПРИ ИСПОЛНЕНИИ БЮДЖЕТА НА 2023 ГОД И В РАМКАХ ОБОРОТНОГО ВЫСТАВОЧНОГО ФОНДА</w:t>
            </w:r>
          </w:p>
        </w:tc>
      </w:tr>
      <w:tr w:rsidR="00796BD3" w:rsidRPr="00846AD5" w14:paraId="32EDD01F" w14:textId="77777777" w:rsidTr="00E31DCE">
        <w:trPr>
          <w:cantSplit/>
        </w:trPr>
        <w:tc>
          <w:tcPr>
            <w:tcW w:w="9214" w:type="dxa"/>
            <w:gridSpan w:val="2"/>
            <w:tcBorders>
              <w:top w:val="single" w:sz="4" w:space="0" w:color="auto"/>
              <w:bottom w:val="single" w:sz="4" w:space="0" w:color="auto"/>
            </w:tcBorders>
            <w:tcMar>
              <w:left w:w="0" w:type="dxa"/>
            </w:tcMar>
          </w:tcPr>
          <w:p w14:paraId="1395F827" w14:textId="7B7DF1B1" w:rsidR="00796BD3" w:rsidRPr="00A94D6A" w:rsidRDefault="0033025A" w:rsidP="00E31DCE">
            <w:pPr>
              <w:spacing w:before="160"/>
              <w:rPr>
                <w:b/>
                <w:bCs/>
                <w:sz w:val="24"/>
                <w:szCs w:val="24"/>
                <w:lang w:val="ru-RU"/>
              </w:rPr>
            </w:pPr>
            <w:r w:rsidRPr="00A94D6A">
              <w:rPr>
                <w:b/>
                <w:bCs/>
                <w:sz w:val="24"/>
                <w:szCs w:val="24"/>
                <w:lang w:val="ru-RU"/>
              </w:rPr>
              <w:t xml:space="preserve">Назначение </w:t>
            </w:r>
          </w:p>
          <w:p w14:paraId="7B5DB433" w14:textId="76AB32D9" w:rsidR="00796BD3" w:rsidRPr="00A94D6A" w:rsidRDefault="00BB4D9D" w:rsidP="00E31DCE">
            <w:pPr>
              <w:rPr>
                <w:lang w:val="ru-RU"/>
              </w:rPr>
            </w:pPr>
            <w:r w:rsidRPr="00A94D6A">
              <w:rPr>
                <w:lang w:val="ru-RU"/>
              </w:rPr>
              <w:t>Цель настоящего документа состоит в том, чтобы просить Совет разрешить использование средств, сэкономленных в связи с исполнением бюджета на 2023 год, для финансирования некоторых видов деятельности, которые не покрываются регулярным бюджетом Союза. В документе также рассматривается использование остатков средств Оборотного выставочного фонда (ОВФ) на реализацию проектов в области развития.</w:t>
            </w:r>
          </w:p>
          <w:p w14:paraId="54D70608" w14:textId="77777777" w:rsidR="00796BD3" w:rsidRPr="00A94D6A" w:rsidRDefault="0033025A" w:rsidP="00E31DCE">
            <w:pPr>
              <w:spacing w:before="160"/>
              <w:rPr>
                <w:b/>
                <w:bCs/>
                <w:sz w:val="24"/>
                <w:szCs w:val="24"/>
                <w:lang w:val="ru-RU"/>
              </w:rPr>
            </w:pPr>
            <w:r w:rsidRPr="00A94D6A">
              <w:rPr>
                <w:b/>
                <w:bCs/>
                <w:sz w:val="24"/>
                <w:szCs w:val="24"/>
                <w:lang w:val="ru-RU"/>
              </w:rPr>
              <w:t>Необходимые действия Совета</w:t>
            </w:r>
          </w:p>
          <w:p w14:paraId="580F4456" w14:textId="40941BCD" w:rsidR="00796BD3" w:rsidRPr="00A94D6A" w:rsidRDefault="00BB4D9D" w:rsidP="00E31DCE">
            <w:pPr>
              <w:rPr>
                <w:lang w:val="ru-RU"/>
              </w:rPr>
            </w:pPr>
            <w:r w:rsidRPr="00A94D6A">
              <w:rPr>
                <w:lang w:val="ru-RU"/>
              </w:rPr>
              <w:t xml:space="preserve">Совету предлагается утвердить проект Резолюции, содержащийся в </w:t>
            </w:r>
            <w:r w:rsidR="00846AD5">
              <w:fldChar w:fldCharType="begin"/>
            </w:r>
            <w:r w:rsidR="00846AD5">
              <w:instrText>HYPERLINK</w:instrText>
            </w:r>
            <w:r w:rsidR="00846AD5" w:rsidRPr="00846AD5">
              <w:rPr>
                <w:lang w:val="ru-RU"/>
              </w:rPr>
              <w:instrText xml:space="preserve"> \</w:instrText>
            </w:r>
            <w:r w:rsidR="00846AD5">
              <w:instrText>l</w:instrText>
            </w:r>
            <w:r w:rsidR="00846AD5" w:rsidRPr="00846AD5">
              <w:rPr>
                <w:lang w:val="ru-RU"/>
              </w:rPr>
              <w:instrText xml:space="preserve"> "</w:instrText>
            </w:r>
            <w:r w:rsidR="00846AD5">
              <w:instrText>Annex</w:instrText>
            </w:r>
            <w:r w:rsidR="00846AD5" w:rsidRPr="00846AD5">
              <w:rPr>
                <w:lang w:val="ru-RU"/>
              </w:rPr>
              <w:instrText>"</w:instrText>
            </w:r>
            <w:r w:rsidR="00846AD5">
              <w:fldChar w:fldCharType="separate"/>
            </w:r>
            <w:r w:rsidRPr="00A94D6A">
              <w:rPr>
                <w:rStyle w:val="Hyperlink"/>
                <w:lang w:val="ru-RU"/>
              </w:rPr>
              <w:t>Приложении</w:t>
            </w:r>
            <w:r w:rsidR="00846AD5">
              <w:rPr>
                <w:rStyle w:val="Hyperlink"/>
                <w:lang w:val="ru-RU"/>
              </w:rPr>
              <w:fldChar w:fldCharType="end"/>
            </w:r>
            <w:r w:rsidRPr="00A94D6A">
              <w:rPr>
                <w:lang w:val="ru-RU"/>
              </w:rPr>
              <w:t xml:space="preserve"> к настоящему документу.</w:t>
            </w:r>
          </w:p>
          <w:p w14:paraId="5CBD7281" w14:textId="77777777" w:rsidR="00796BD3" w:rsidRPr="00A94D6A" w:rsidRDefault="0033025A" w:rsidP="00E31DCE">
            <w:pPr>
              <w:spacing w:before="160"/>
              <w:rPr>
                <w:b/>
                <w:bCs/>
                <w:sz w:val="24"/>
                <w:szCs w:val="24"/>
                <w:lang w:val="ru-RU"/>
              </w:rPr>
            </w:pPr>
            <w:r w:rsidRPr="00A94D6A">
              <w:rPr>
                <w:b/>
                <w:bCs/>
                <w:sz w:val="24"/>
                <w:szCs w:val="24"/>
                <w:lang w:val="ru-RU"/>
              </w:rPr>
              <w:t>Соответствующая увязка со Стратегическим планом</w:t>
            </w:r>
          </w:p>
          <w:p w14:paraId="6ADEA1D7" w14:textId="18DDCD60" w:rsidR="00796BD3" w:rsidRPr="00A94D6A" w:rsidRDefault="00BB4D9D" w:rsidP="00E31DCE">
            <w:pPr>
              <w:rPr>
                <w:lang w:val="ru-RU"/>
              </w:rPr>
            </w:pPr>
            <w:r w:rsidRPr="00A94D6A">
              <w:rPr>
                <w:lang w:val="ru-RU"/>
              </w:rPr>
              <w:t>Этот документ соответствует Стратегическому плану на 2024−2027 годы.</w:t>
            </w:r>
          </w:p>
          <w:p w14:paraId="79F3B348" w14:textId="2DDE61B6" w:rsidR="00796BD3" w:rsidRPr="00A94D6A" w:rsidRDefault="0033025A" w:rsidP="00E31DCE">
            <w:pPr>
              <w:spacing w:before="160"/>
              <w:rPr>
                <w:b/>
                <w:bCs/>
                <w:sz w:val="24"/>
                <w:szCs w:val="24"/>
                <w:lang w:val="ru-RU"/>
              </w:rPr>
            </w:pPr>
            <w:r w:rsidRPr="00A94D6A">
              <w:rPr>
                <w:b/>
                <w:bCs/>
                <w:sz w:val="24"/>
                <w:szCs w:val="24"/>
                <w:lang w:val="ru-RU"/>
              </w:rPr>
              <w:t>Финансовые последствия</w:t>
            </w:r>
          </w:p>
          <w:p w14:paraId="78F889D3" w14:textId="19AFA932" w:rsidR="00BB4D9D" w:rsidRPr="00A94D6A" w:rsidRDefault="00BB4D9D" w:rsidP="00E31DCE">
            <w:pPr>
              <w:spacing w:before="160"/>
              <w:rPr>
                <w:sz w:val="20"/>
                <w:szCs w:val="18"/>
                <w:lang w:val="ru-RU"/>
              </w:rPr>
            </w:pPr>
            <w:r w:rsidRPr="00A94D6A">
              <w:rPr>
                <w:lang w:val="ru-RU"/>
              </w:rPr>
              <w:t xml:space="preserve">Выделение </w:t>
            </w:r>
            <w:r w:rsidRPr="00A94D6A">
              <w:rPr>
                <w:b/>
                <w:bCs/>
                <w:lang w:val="ru-RU"/>
              </w:rPr>
              <w:t>3157 тыс. швейцарских франков</w:t>
            </w:r>
            <w:r w:rsidRPr="00A94D6A">
              <w:rPr>
                <w:lang w:val="ru-RU"/>
              </w:rPr>
              <w:t>,</w:t>
            </w:r>
            <w:r w:rsidRPr="00A94D6A">
              <w:rPr>
                <w:b/>
                <w:bCs/>
                <w:lang w:val="ru-RU"/>
              </w:rPr>
              <w:t xml:space="preserve"> </w:t>
            </w:r>
            <w:r w:rsidRPr="00A94D6A">
              <w:rPr>
                <w:lang w:val="ru-RU"/>
              </w:rPr>
              <w:t>сэкономленных при</w:t>
            </w:r>
            <w:r w:rsidRPr="00A94D6A">
              <w:rPr>
                <w:b/>
                <w:bCs/>
                <w:lang w:val="ru-RU"/>
              </w:rPr>
              <w:t xml:space="preserve"> </w:t>
            </w:r>
            <w:r w:rsidRPr="00A94D6A">
              <w:rPr>
                <w:lang w:val="ru-RU"/>
              </w:rPr>
              <w:t xml:space="preserve">исполнении бюджета на 2023 год, на финансирование деятельности, не покрываемой регулярным бюджетом. Перевод </w:t>
            </w:r>
            <w:r w:rsidRPr="00A94D6A">
              <w:rPr>
                <w:b/>
                <w:bCs/>
                <w:lang w:val="ru-RU"/>
              </w:rPr>
              <w:t>465 тыс. швейцарских франков</w:t>
            </w:r>
            <w:r w:rsidRPr="00A94D6A">
              <w:rPr>
                <w:lang w:val="ru-RU"/>
              </w:rPr>
              <w:t xml:space="preserve"> из ОВФ во ФРИКТ.</w:t>
            </w:r>
          </w:p>
          <w:p w14:paraId="1531CCDE" w14:textId="47573E29" w:rsidR="00796BD3" w:rsidRPr="00A94D6A" w:rsidRDefault="00796BD3" w:rsidP="00E31DCE">
            <w:pPr>
              <w:spacing w:before="160"/>
              <w:rPr>
                <w:caps/>
                <w:sz w:val="20"/>
                <w:szCs w:val="18"/>
                <w:lang w:val="ru-RU"/>
              </w:rPr>
            </w:pPr>
            <w:r w:rsidRPr="00A94D6A">
              <w:rPr>
                <w:sz w:val="20"/>
                <w:szCs w:val="18"/>
                <w:lang w:val="ru-RU"/>
              </w:rPr>
              <w:t>__________________</w:t>
            </w:r>
          </w:p>
          <w:p w14:paraId="328D0FEE" w14:textId="77777777" w:rsidR="00796BD3" w:rsidRPr="00A94D6A" w:rsidRDefault="0033025A" w:rsidP="00E31DCE">
            <w:pPr>
              <w:spacing w:before="160"/>
              <w:rPr>
                <w:b/>
                <w:bCs/>
                <w:sz w:val="26"/>
                <w:szCs w:val="26"/>
                <w:lang w:val="ru-RU"/>
              </w:rPr>
            </w:pPr>
            <w:r w:rsidRPr="00A94D6A">
              <w:rPr>
                <w:b/>
                <w:bCs/>
                <w:sz w:val="24"/>
                <w:szCs w:val="24"/>
                <w:lang w:val="ru-RU"/>
              </w:rPr>
              <w:t>Справочные материалы</w:t>
            </w:r>
          </w:p>
          <w:p w14:paraId="68A8E889" w14:textId="0110EDD3" w:rsidR="00796BD3" w:rsidRPr="00A94D6A" w:rsidRDefault="00BB4D9D" w:rsidP="00E31DCE">
            <w:pPr>
              <w:spacing w:after="160"/>
              <w:rPr>
                <w:lang w:val="ru-RU"/>
              </w:rPr>
            </w:pPr>
            <w:r w:rsidRPr="00A94D6A">
              <w:rPr>
                <w:szCs w:val="22"/>
                <w:lang w:val="ru-RU"/>
              </w:rPr>
              <w:t xml:space="preserve">Решение 5 (Пересм. Бухарест, 2022 г.); </w:t>
            </w:r>
            <w:r w:rsidR="00846AD5">
              <w:fldChar w:fldCharType="begin"/>
            </w:r>
            <w:r w:rsidR="00846AD5">
              <w:instrText>HYPERLINK</w:instrText>
            </w:r>
            <w:r w:rsidR="00846AD5" w:rsidRPr="00846AD5">
              <w:rPr>
                <w:lang w:val="ru-RU"/>
              </w:rPr>
              <w:instrText xml:space="preserve"> "</w:instrText>
            </w:r>
            <w:r w:rsidR="00846AD5">
              <w:instrText>https</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en</w:instrText>
            </w:r>
            <w:r w:rsidR="00846AD5" w:rsidRPr="00846AD5">
              <w:rPr>
                <w:lang w:val="ru-RU"/>
              </w:rPr>
              <w:instrText>/</w:instrText>
            </w:r>
            <w:r w:rsidR="00846AD5">
              <w:instrText>council</w:instrText>
            </w:r>
            <w:r w:rsidR="00846AD5" w:rsidRPr="00846AD5">
              <w:rPr>
                <w:lang w:val="ru-RU"/>
              </w:rPr>
              <w:instrText>/</w:instrText>
            </w:r>
            <w:r w:rsidR="00846AD5">
              <w:instrText>Documents</w:instrText>
            </w:r>
            <w:r w:rsidR="00846AD5" w:rsidRPr="00846AD5">
              <w:rPr>
                <w:lang w:val="ru-RU"/>
              </w:rPr>
              <w:instrText>/</w:instrText>
            </w:r>
            <w:r w:rsidR="00846AD5">
              <w:instrText>basic</w:instrText>
            </w:r>
            <w:r w:rsidR="00846AD5" w:rsidRPr="00846AD5">
              <w:rPr>
                <w:lang w:val="ru-RU"/>
              </w:rPr>
              <w:instrText>-</w:instrText>
            </w:r>
            <w:r w:rsidR="00846AD5">
              <w:instrText>texts</w:instrText>
            </w:r>
            <w:r w:rsidR="00846AD5" w:rsidRPr="00846AD5">
              <w:rPr>
                <w:lang w:val="ru-RU"/>
              </w:rPr>
              <w:instrText>/</w:instrText>
            </w:r>
            <w:r w:rsidR="00846AD5">
              <w:instrText>RES</w:instrText>
            </w:r>
            <w:r w:rsidR="00846AD5" w:rsidRPr="00846AD5">
              <w:rPr>
                <w:lang w:val="ru-RU"/>
              </w:rPr>
              <w:instrText>-011-</w:instrText>
            </w:r>
            <w:r w:rsidR="00846AD5">
              <w:instrText>R</w:instrText>
            </w:r>
            <w:r w:rsidR="00846AD5" w:rsidRPr="00846AD5">
              <w:rPr>
                <w:lang w:val="ru-RU"/>
              </w:rPr>
              <w:instrText>.</w:instrText>
            </w:r>
            <w:r w:rsidR="00846AD5">
              <w:instrText>pdf</w:instrText>
            </w:r>
            <w:r w:rsidR="00846AD5" w:rsidRPr="00846AD5">
              <w:rPr>
                <w:lang w:val="ru-RU"/>
              </w:rPr>
              <w:instrText>"</w:instrText>
            </w:r>
            <w:r w:rsidR="00846AD5">
              <w:fldChar w:fldCharType="separate"/>
            </w:r>
            <w:r w:rsidRPr="00A94D6A">
              <w:rPr>
                <w:rStyle w:val="Hyperlink"/>
                <w:i/>
                <w:iCs/>
                <w:szCs w:val="22"/>
                <w:lang w:val="ru-RU"/>
              </w:rPr>
              <w:t>Резолюция 11 (Аннулирована,</w:t>
            </w:r>
            <w:r w:rsidRPr="00A94D6A">
              <w:rPr>
                <w:rStyle w:val="Hyperlink"/>
                <w:szCs w:val="22"/>
                <w:lang w:val="ru-RU"/>
              </w:rPr>
              <w:t xml:space="preserve"> </w:t>
            </w:r>
            <w:r w:rsidRPr="00A94D6A">
              <w:rPr>
                <w:rStyle w:val="Hyperlink"/>
                <w:i/>
                <w:iCs/>
                <w:szCs w:val="22"/>
                <w:lang w:val="ru-RU"/>
              </w:rPr>
              <w:t xml:space="preserve">Бухарест, 2022 г.) </w:t>
            </w:r>
            <w:r w:rsidRPr="00A94D6A">
              <w:rPr>
                <w:rStyle w:val="Hyperlink"/>
                <w:i/>
                <w:iCs/>
                <w:color w:val="auto"/>
                <w:szCs w:val="22"/>
                <w:u w:val="none"/>
                <w:lang w:val="ru-RU"/>
              </w:rPr>
              <w:t>Полномочной конференции</w:t>
            </w:r>
            <w:r w:rsidR="00846AD5">
              <w:rPr>
                <w:rStyle w:val="Hyperlink"/>
                <w:i/>
                <w:iCs/>
                <w:color w:val="auto"/>
                <w:szCs w:val="22"/>
                <w:u w:val="none"/>
                <w:lang w:val="ru-RU"/>
              </w:rPr>
              <w:fldChar w:fldCharType="end"/>
            </w:r>
            <w:r w:rsidRPr="00A94D6A">
              <w:rPr>
                <w:i/>
                <w:iCs/>
                <w:szCs w:val="22"/>
                <w:lang w:val="ru-RU"/>
              </w:rPr>
              <w:t>;</w:t>
            </w:r>
            <w:r w:rsidRPr="00A94D6A">
              <w:rPr>
                <w:szCs w:val="22"/>
                <w:lang w:val="ru-RU"/>
              </w:rPr>
              <w:t xml:space="preserve"> </w:t>
            </w:r>
            <w:r w:rsidRPr="00A94D6A">
              <w:rPr>
                <w:i/>
                <w:iCs/>
                <w:szCs w:val="22"/>
                <w:lang w:val="ru-RU"/>
              </w:rPr>
              <w:t xml:space="preserve">Резолюции </w:t>
            </w:r>
            <w:r w:rsidR="00846AD5">
              <w:fldChar w:fldCharType="begin"/>
            </w:r>
            <w:r w:rsidR="00846AD5">
              <w:instrText>HYPERLINK</w:instrText>
            </w:r>
            <w:r w:rsidR="00846AD5" w:rsidRPr="00846AD5">
              <w:rPr>
                <w:lang w:val="ru-RU"/>
              </w:rPr>
              <w:instrText xml:space="preserve"> "</w:instrText>
            </w:r>
            <w:r w:rsidR="00846AD5">
              <w:instrText>http</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council</w:instrText>
            </w:r>
            <w:r w:rsidR="00846AD5" w:rsidRPr="00846AD5">
              <w:rPr>
                <w:lang w:val="ru-RU"/>
              </w:rPr>
              <w:instrText>/</w:instrText>
            </w:r>
            <w:r w:rsidR="00846AD5">
              <w:instrText>index</w:instrText>
            </w:r>
            <w:r w:rsidR="00846AD5" w:rsidRPr="00846AD5">
              <w:rPr>
                <w:lang w:val="ru-RU"/>
              </w:rPr>
              <w:instrText>97/1997/131/131.</w:instrText>
            </w:r>
            <w:r w:rsidR="00846AD5">
              <w:instrText>html</w:instrText>
            </w:r>
            <w:r w:rsidR="00846AD5" w:rsidRPr="00846AD5">
              <w:rPr>
                <w:lang w:val="ru-RU"/>
              </w:rPr>
              <w:instrText>"</w:instrText>
            </w:r>
            <w:r w:rsidR="00846AD5">
              <w:fldChar w:fldCharType="separate"/>
            </w:r>
            <w:r w:rsidRPr="00A94D6A">
              <w:rPr>
                <w:rStyle w:val="Hyperlink"/>
                <w:i/>
                <w:iCs/>
                <w:szCs w:val="22"/>
                <w:lang w:val="ru-RU"/>
              </w:rPr>
              <w:t>1111</w:t>
            </w:r>
            <w:r w:rsidR="00846AD5">
              <w:rPr>
                <w:rStyle w:val="Hyperlink"/>
                <w:i/>
                <w:iCs/>
                <w:szCs w:val="22"/>
                <w:lang w:val="ru-RU"/>
              </w:rPr>
              <w:fldChar w:fldCharType="end"/>
            </w:r>
            <w:r w:rsidRPr="00A94D6A">
              <w:rPr>
                <w:i/>
                <w:iCs/>
                <w:szCs w:val="22"/>
                <w:lang w:val="ru-RU"/>
              </w:rPr>
              <w:t xml:space="preserve"> и </w:t>
            </w:r>
            <w:r w:rsidR="00846AD5">
              <w:fldChar w:fldCharType="begin"/>
            </w:r>
            <w:r w:rsidR="00846AD5">
              <w:instrText>HYPERLINK</w:instrText>
            </w:r>
            <w:r w:rsidR="00846AD5" w:rsidRPr="00846AD5">
              <w:rPr>
                <w:lang w:val="ru-RU"/>
              </w:rPr>
              <w:instrText xml:space="preserve"> "</w:instrText>
            </w:r>
            <w:r w:rsidR="00846AD5">
              <w:instrText>http</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md</w:instrText>
            </w:r>
            <w:r w:rsidR="00846AD5" w:rsidRPr="00846AD5">
              <w:rPr>
                <w:lang w:val="ru-RU"/>
              </w:rPr>
              <w:instrText>/</w:instrText>
            </w:r>
            <w:r w:rsidR="00846AD5">
              <w:instrText>S</w:instrText>
            </w:r>
            <w:r w:rsidR="00846AD5" w:rsidRPr="00846AD5">
              <w:rPr>
                <w:lang w:val="ru-RU"/>
              </w:rPr>
              <w:instrText>11-</w:instrText>
            </w:r>
            <w:r w:rsidR="00846AD5">
              <w:instrText>CL</w:instrText>
            </w:r>
            <w:r w:rsidR="00846AD5" w:rsidRPr="00846AD5">
              <w:rPr>
                <w:lang w:val="ru-RU"/>
              </w:rPr>
              <w:instrText>-</w:instrText>
            </w:r>
            <w:r w:rsidR="00846AD5">
              <w:instrText>C</w:instrText>
            </w:r>
            <w:r w:rsidR="00846AD5" w:rsidRPr="00846AD5">
              <w:rPr>
                <w:lang w:val="ru-RU"/>
              </w:rPr>
              <w:instrText>-0106/</w:instrText>
            </w:r>
            <w:r w:rsidR="00846AD5">
              <w:instrText>en</w:instrText>
            </w:r>
            <w:r w:rsidR="00846AD5" w:rsidRPr="00846AD5">
              <w:rPr>
                <w:lang w:val="ru-RU"/>
              </w:rPr>
              <w:instrText>" \</w:instrText>
            </w:r>
            <w:r w:rsidR="00846AD5">
              <w:instrText>h</w:instrText>
            </w:r>
            <w:r w:rsidR="00846AD5">
              <w:fldChar w:fldCharType="separate"/>
            </w:r>
            <w:r w:rsidRPr="00A94D6A">
              <w:rPr>
                <w:rStyle w:val="Hyperlink"/>
                <w:rFonts w:asciiTheme="minorHAnsi" w:hAnsiTheme="minorHAnsi" w:cstheme="minorBidi"/>
                <w:i/>
                <w:iCs/>
                <w:szCs w:val="22"/>
                <w:lang w:val="ru-RU"/>
              </w:rPr>
              <w:t>1338</w:t>
            </w:r>
            <w:r w:rsidR="00846AD5">
              <w:rPr>
                <w:rStyle w:val="Hyperlink"/>
                <w:rFonts w:asciiTheme="minorHAnsi" w:hAnsiTheme="minorHAnsi" w:cstheme="minorBidi"/>
                <w:i/>
                <w:iCs/>
                <w:szCs w:val="22"/>
                <w:lang w:val="ru-RU"/>
              </w:rPr>
              <w:fldChar w:fldCharType="end"/>
            </w:r>
            <w:r w:rsidRPr="00A94D6A">
              <w:rPr>
                <w:rStyle w:val="Hyperlink"/>
                <w:rFonts w:asciiTheme="minorHAnsi" w:hAnsiTheme="minorHAnsi" w:cstheme="minorBidi"/>
                <w:i/>
                <w:iCs/>
                <w:szCs w:val="22"/>
                <w:lang w:val="ru-RU"/>
              </w:rPr>
              <w:t xml:space="preserve"> </w:t>
            </w:r>
            <w:r w:rsidRPr="00A94D6A">
              <w:rPr>
                <w:i/>
                <w:iCs/>
                <w:szCs w:val="22"/>
                <w:lang w:val="ru-RU"/>
              </w:rPr>
              <w:t>Совета;</w:t>
            </w:r>
            <w:r w:rsidRPr="00A94D6A">
              <w:rPr>
                <w:szCs w:val="22"/>
                <w:lang w:val="ru-RU"/>
              </w:rPr>
              <w:t xml:space="preserve"> </w:t>
            </w:r>
            <w:r w:rsidRPr="00A94D6A">
              <w:rPr>
                <w:i/>
                <w:iCs/>
                <w:szCs w:val="22"/>
                <w:lang w:val="ru-RU"/>
              </w:rPr>
              <w:t xml:space="preserve">Документы </w:t>
            </w:r>
            <w:r w:rsidR="00846AD5">
              <w:fldChar w:fldCharType="begin"/>
            </w:r>
            <w:r w:rsidR="00846AD5">
              <w:instrText>HYPERLINK</w:instrText>
            </w:r>
            <w:r w:rsidR="00846AD5" w:rsidRPr="00846AD5">
              <w:rPr>
                <w:lang w:val="ru-RU"/>
              </w:rPr>
              <w:instrText xml:space="preserve"> "</w:instrText>
            </w:r>
            <w:r w:rsidR="00846AD5">
              <w:instrText>https</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md</w:instrText>
            </w:r>
            <w:r w:rsidR="00846AD5" w:rsidRPr="00846AD5">
              <w:rPr>
                <w:lang w:val="ru-RU"/>
              </w:rPr>
              <w:instrText>/</w:instrText>
            </w:r>
            <w:r w:rsidR="00846AD5">
              <w:instrText>S</w:instrText>
            </w:r>
            <w:r w:rsidR="00846AD5" w:rsidRPr="00846AD5">
              <w:rPr>
                <w:lang w:val="ru-RU"/>
              </w:rPr>
              <w:instrText>24-</w:instrText>
            </w:r>
            <w:r w:rsidR="00846AD5">
              <w:instrText>CL</w:instrText>
            </w:r>
            <w:r w:rsidR="00846AD5" w:rsidRPr="00846AD5">
              <w:rPr>
                <w:lang w:val="ru-RU"/>
              </w:rPr>
              <w:instrText>-</w:instrText>
            </w:r>
            <w:r w:rsidR="00846AD5">
              <w:instrText>C</w:instrText>
            </w:r>
            <w:r w:rsidR="00846AD5" w:rsidRPr="00846AD5">
              <w:rPr>
                <w:lang w:val="ru-RU"/>
              </w:rPr>
              <w:instrText>-0034/</w:instrText>
            </w:r>
            <w:r w:rsidR="00846AD5">
              <w:instrText>en</w:instrText>
            </w:r>
            <w:r w:rsidR="00846AD5" w:rsidRPr="00846AD5">
              <w:rPr>
                <w:lang w:val="ru-RU"/>
              </w:rPr>
              <w:instrText>" \</w:instrText>
            </w:r>
            <w:r w:rsidR="00846AD5">
              <w:instrText>h</w:instrText>
            </w:r>
            <w:r w:rsidR="00846AD5">
              <w:fldChar w:fldCharType="separate"/>
            </w:r>
            <w:r w:rsidRPr="00A94D6A">
              <w:rPr>
                <w:rStyle w:val="Hyperlink"/>
                <w:rFonts w:asciiTheme="minorHAnsi" w:hAnsiTheme="minorHAnsi" w:cstheme="minorBidi"/>
                <w:i/>
                <w:iCs/>
                <w:szCs w:val="22"/>
                <w:lang w:val="ru-RU"/>
              </w:rPr>
              <w:t>C24/34</w:t>
            </w:r>
            <w:r w:rsidR="00846AD5">
              <w:rPr>
                <w:rStyle w:val="Hyperlink"/>
                <w:rFonts w:asciiTheme="minorHAnsi" w:hAnsiTheme="minorHAnsi" w:cstheme="minorBidi"/>
                <w:i/>
                <w:iCs/>
                <w:szCs w:val="22"/>
                <w:lang w:val="ru-RU"/>
              </w:rPr>
              <w:fldChar w:fldCharType="end"/>
            </w:r>
            <w:r w:rsidRPr="00A94D6A">
              <w:rPr>
                <w:i/>
                <w:iCs/>
                <w:szCs w:val="22"/>
                <w:lang w:val="ru-RU"/>
              </w:rPr>
              <w:t>;</w:t>
            </w:r>
            <w:r w:rsidRPr="00A94D6A">
              <w:rPr>
                <w:szCs w:val="22"/>
                <w:lang w:val="ru-RU"/>
              </w:rPr>
              <w:t xml:space="preserve"> </w:t>
            </w:r>
            <w:r w:rsidR="00846AD5">
              <w:fldChar w:fldCharType="begin"/>
            </w:r>
            <w:r w:rsidR="00846AD5">
              <w:instrText>HYPERLINK</w:instrText>
            </w:r>
            <w:r w:rsidR="00846AD5" w:rsidRPr="00846AD5">
              <w:rPr>
                <w:lang w:val="ru-RU"/>
              </w:rPr>
              <w:instrText xml:space="preserve"> "</w:instrText>
            </w:r>
            <w:r w:rsidR="00846AD5">
              <w:instrText>https</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md</w:instrText>
            </w:r>
            <w:r w:rsidR="00846AD5" w:rsidRPr="00846AD5">
              <w:rPr>
                <w:lang w:val="ru-RU"/>
              </w:rPr>
              <w:instrText>/</w:instrText>
            </w:r>
            <w:r w:rsidR="00846AD5">
              <w:instrText>S</w:instrText>
            </w:r>
            <w:r w:rsidR="00846AD5" w:rsidRPr="00846AD5">
              <w:rPr>
                <w:lang w:val="ru-RU"/>
              </w:rPr>
              <w:instrText>23-</w:instrText>
            </w:r>
            <w:r w:rsidR="00846AD5">
              <w:instrText>CL</w:instrText>
            </w:r>
            <w:r w:rsidR="00846AD5" w:rsidRPr="00846AD5">
              <w:rPr>
                <w:lang w:val="ru-RU"/>
              </w:rPr>
              <w:instrText>-</w:instrText>
            </w:r>
            <w:r w:rsidR="00846AD5">
              <w:instrText>C</w:instrText>
            </w:r>
            <w:r w:rsidR="00846AD5" w:rsidRPr="00846AD5">
              <w:rPr>
                <w:lang w:val="ru-RU"/>
              </w:rPr>
              <w:instrText>-0116/</w:instrText>
            </w:r>
            <w:r w:rsidR="00846AD5">
              <w:instrText>en</w:instrText>
            </w:r>
            <w:r w:rsidR="00846AD5" w:rsidRPr="00846AD5">
              <w:rPr>
                <w:lang w:val="ru-RU"/>
              </w:rPr>
              <w:instrText>"</w:instrText>
            </w:r>
            <w:r w:rsidR="00846AD5">
              <w:fldChar w:fldCharType="separate"/>
            </w:r>
            <w:r w:rsidRPr="00A94D6A">
              <w:rPr>
                <w:rStyle w:val="Hyperlink"/>
                <w:rFonts w:asciiTheme="minorHAnsi" w:hAnsiTheme="minorHAnsi" w:cstheme="minorBidi"/>
                <w:i/>
                <w:iCs/>
                <w:szCs w:val="22"/>
                <w:lang w:val="ru-RU"/>
              </w:rPr>
              <w:t>C23/116</w:t>
            </w:r>
            <w:r w:rsidR="00846AD5">
              <w:rPr>
                <w:rStyle w:val="Hyperlink"/>
                <w:rFonts w:asciiTheme="minorHAnsi" w:hAnsiTheme="minorHAnsi" w:cstheme="minorBidi"/>
                <w:i/>
                <w:iCs/>
                <w:szCs w:val="22"/>
                <w:lang w:val="ru-RU"/>
              </w:rPr>
              <w:fldChar w:fldCharType="end"/>
            </w:r>
            <w:r w:rsidRPr="00A94D6A">
              <w:rPr>
                <w:i/>
                <w:iCs/>
                <w:szCs w:val="22"/>
                <w:lang w:val="ru-RU"/>
              </w:rPr>
              <w:t>;</w:t>
            </w:r>
            <w:r w:rsidRPr="00A94D6A">
              <w:rPr>
                <w:szCs w:val="22"/>
                <w:lang w:val="ru-RU"/>
              </w:rPr>
              <w:t xml:space="preserve"> </w:t>
            </w:r>
            <w:r w:rsidR="00846AD5">
              <w:fldChar w:fldCharType="begin"/>
            </w:r>
            <w:r w:rsidR="00846AD5">
              <w:instrText>HYPERLINK</w:instrText>
            </w:r>
            <w:r w:rsidR="00846AD5" w:rsidRPr="00846AD5">
              <w:rPr>
                <w:lang w:val="ru-RU"/>
              </w:rPr>
              <w:instrText xml:space="preserve"> "</w:instrText>
            </w:r>
            <w:r w:rsidR="00846AD5">
              <w:instrText>https</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md</w:instrText>
            </w:r>
            <w:r w:rsidR="00846AD5" w:rsidRPr="00846AD5">
              <w:rPr>
                <w:lang w:val="ru-RU"/>
              </w:rPr>
              <w:instrText>/</w:instrText>
            </w:r>
            <w:r w:rsidR="00846AD5">
              <w:instrText>S</w:instrText>
            </w:r>
            <w:r w:rsidR="00846AD5" w:rsidRPr="00846AD5">
              <w:rPr>
                <w:lang w:val="ru-RU"/>
              </w:rPr>
              <w:instrText>24-</w:instrText>
            </w:r>
            <w:r w:rsidR="00846AD5">
              <w:instrText>CL</w:instrText>
            </w:r>
            <w:r w:rsidR="00846AD5" w:rsidRPr="00846AD5">
              <w:rPr>
                <w:lang w:val="ru-RU"/>
              </w:rPr>
              <w:instrText>-</w:instrText>
            </w:r>
            <w:r w:rsidR="00846AD5">
              <w:instrText>INF</w:instrText>
            </w:r>
            <w:r w:rsidR="00846AD5" w:rsidRPr="00846AD5">
              <w:rPr>
                <w:lang w:val="ru-RU"/>
              </w:rPr>
              <w:instrText>-0002/</w:instrText>
            </w:r>
            <w:r w:rsidR="00846AD5">
              <w:instrText>en</w:instrText>
            </w:r>
            <w:r w:rsidR="00846AD5" w:rsidRPr="00846AD5">
              <w:rPr>
                <w:lang w:val="ru-RU"/>
              </w:rPr>
              <w:instrText>"</w:instrText>
            </w:r>
            <w:r w:rsidR="00846AD5">
              <w:fldChar w:fldCharType="separate"/>
            </w:r>
            <w:r w:rsidRPr="00A94D6A">
              <w:rPr>
                <w:rStyle w:val="Hyperlink"/>
                <w:rFonts w:asciiTheme="minorHAnsi" w:hAnsiTheme="minorHAnsi" w:cstheme="minorBidi"/>
                <w:i/>
                <w:iCs/>
                <w:szCs w:val="22"/>
                <w:lang w:val="ru-RU"/>
              </w:rPr>
              <w:t>C24/INF/2</w:t>
            </w:r>
            <w:r w:rsidR="00846AD5">
              <w:rPr>
                <w:rStyle w:val="Hyperlink"/>
                <w:rFonts w:asciiTheme="minorHAnsi" w:hAnsiTheme="minorHAnsi" w:cstheme="minorBidi"/>
                <w:i/>
                <w:iCs/>
                <w:szCs w:val="22"/>
                <w:lang w:val="ru-RU"/>
              </w:rPr>
              <w:fldChar w:fldCharType="end"/>
            </w:r>
            <w:r w:rsidRPr="00A94D6A">
              <w:rPr>
                <w:i/>
                <w:iCs/>
                <w:szCs w:val="22"/>
                <w:lang w:val="ru-RU"/>
              </w:rPr>
              <w:t xml:space="preserve">, </w:t>
            </w:r>
            <w:r w:rsidR="00846AD5">
              <w:fldChar w:fldCharType="begin"/>
            </w:r>
            <w:r w:rsidR="00846AD5">
              <w:instrText>HYPERLINK</w:instrText>
            </w:r>
            <w:r w:rsidR="00846AD5" w:rsidRPr="00846AD5">
              <w:rPr>
                <w:lang w:val="ru-RU"/>
              </w:rPr>
              <w:instrText xml:space="preserve"> "</w:instrText>
            </w:r>
            <w:r w:rsidR="00846AD5">
              <w:instrText>https</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md</w:instrText>
            </w:r>
            <w:r w:rsidR="00846AD5" w:rsidRPr="00846AD5">
              <w:rPr>
                <w:lang w:val="ru-RU"/>
              </w:rPr>
              <w:instrText>/</w:instrText>
            </w:r>
            <w:r w:rsidR="00846AD5">
              <w:instrText>S</w:instrText>
            </w:r>
            <w:r w:rsidR="00846AD5" w:rsidRPr="00846AD5">
              <w:rPr>
                <w:lang w:val="ru-RU"/>
              </w:rPr>
              <w:instrText>24-</w:instrText>
            </w:r>
            <w:r w:rsidR="00846AD5">
              <w:instrText>CL</w:instrText>
            </w:r>
            <w:r w:rsidR="00846AD5" w:rsidRPr="00846AD5">
              <w:rPr>
                <w:lang w:val="ru-RU"/>
              </w:rPr>
              <w:instrText>-</w:instrText>
            </w:r>
            <w:r w:rsidR="00846AD5">
              <w:instrText>C</w:instrText>
            </w:r>
            <w:r w:rsidR="00846AD5" w:rsidRPr="00846AD5">
              <w:rPr>
                <w:lang w:val="ru-RU"/>
              </w:rPr>
              <w:instrText>-0052/</w:instrText>
            </w:r>
            <w:r w:rsidR="00846AD5">
              <w:instrText>en</w:instrText>
            </w:r>
            <w:r w:rsidR="00846AD5" w:rsidRPr="00846AD5">
              <w:rPr>
                <w:lang w:val="ru-RU"/>
              </w:rPr>
              <w:instrText>"</w:instrText>
            </w:r>
            <w:r w:rsidR="00846AD5">
              <w:fldChar w:fldCharType="separate"/>
            </w:r>
            <w:r w:rsidRPr="00A94D6A">
              <w:rPr>
                <w:rStyle w:val="Hyperlink"/>
                <w:rFonts w:asciiTheme="minorHAnsi" w:hAnsiTheme="minorHAnsi" w:cstheme="minorBidi"/>
                <w:i/>
                <w:iCs/>
                <w:szCs w:val="22"/>
                <w:lang w:val="ru-RU"/>
              </w:rPr>
              <w:t>C24/52</w:t>
            </w:r>
            <w:r w:rsidR="00846AD5">
              <w:rPr>
                <w:rStyle w:val="Hyperlink"/>
                <w:rFonts w:asciiTheme="minorHAnsi" w:hAnsiTheme="minorHAnsi" w:cstheme="minorBidi"/>
                <w:i/>
                <w:iCs/>
                <w:szCs w:val="22"/>
                <w:lang w:val="ru-RU"/>
              </w:rPr>
              <w:fldChar w:fldCharType="end"/>
            </w:r>
            <w:r w:rsidRPr="00A94D6A">
              <w:rPr>
                <w:i/>
                <w:iCs/>
                <w:szCs w:val="22"/>
                <w:lang w:val="ru-RU"/>
              </w:rPr>
              <w:t xml:space="preserve">, </w:t>
            </w:r>
            <w:r w:rsidR="00846AD5">
              <w:fldChar w:fldCharType="begin"/>
            </w:r>
            <w:r w:rsidR="00846AD5">
              <w:instrText>HYPERLINK</w:instrText>
            </w:r>
            <w:r w:rsidR="00846AD5" w:rsidRPr="00846AD5">
              <w:rPr>
                <w:lang w:val="ru-RU"/>
              </w:rPr>
              <w:instrText xml:space="preserve"> "</w:instrText>
            </w:r>
            <w:r w:rsidR="00846AD5">
              <w:instrText>https</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md</w:instrText>
            </w:r>
            <w:r w:rsidR="00846AD5" w:rsidRPr="00846AD5">
              <w:rPr>
                <w:lang w:val="ru-RU"/>
              </w:rPr>
              <w:instrText>/</w:instrText>
            </w:r>
            <w:r w:rsidR="00846AD5">
              <w:instrText>S</w:instrText>
            </w:r>
            <w:r w:rsidR="00846AD5" w:rsidRPr="00846AD5">
              <w:rPr>
                <w:lang w:val="ru-RU"/>
              </w:rPr>
              <w:instrText>24-</w:instrText>
            </w:r>
            <w:r w:rsidR="00846AD5">
              <w:instrText>CL</w:instrText>
            </w:r>
            <w:r w:rsidR="00846AD5" w:rsidRPr="00846AD5">
              <w:rPr>
                <w:lang w:val="ru-RU"/>
              </w:rPr>
              <w:instrText>-</w:instrText>
            </w:r>
            <w:r w:rsidR="00846AD5">
              <w:instrText>C</w:instrText>
            </w:r>
            <w:r w:rsidR="00846AD5" w:rsidRPr="00846AD5">
              <w:rPr>
                <w:lang w:val="ru-RU"/>
              </w:rPr>
              <w:instrText>-0053/</w:instrText>
            </w:r>
            <w:r w:rsidR="00846AD5">
              <w:instrText>en</w:instrText>
            </w:r>
            <w:r w:rsidR="00846AD5" w:rsidRPr="00846AD5">
              <w:rPr>
                <w:lang w:val="ru-RU"/>
              </w:rPr>
              <w:instrText>"</w:instrText>
            </w:r>
            <w:r w:rsidR="00846AD5">
              <w:fldChar w:fldCharType="separate"/>
            </w:r>
            <w:r w:rsidRPr="00A94D6A">
              <w:rPr>
                <w:rStyle w:val="Hyperlink"/>
                <w:rFonts w:asciiTheme="minorHAnsi" w:hAnsiTheme="minorHAnsi" w:cstheme="minorBidi"/>
                <w:i/>
                <w:iCs/>
                <w:szCs w:val="22"/>
                <w:lang w:val="ru-RU"/>
              </w:rPr>
              <w:t>C24/53</w:t>
            </w:r>
            <w:r w:rsidR="00846AD5">
              <w:rPr>
                <w:rStyle w:val="Hyperlink"/>
                <w:rFonts w:asciiTheme="minorHAnsi" w:hAnsiTheme="minorHAnsi" w:cstheme="minorBidi"/>
                <w:i/>
                <w:iCs/>
                <w:szCs w:val="22"/>
                <w:lang w:val="ru-RU"/>
              </w:rPr>
              <w:fldChar w:fldCharType="end"/>
            </w:r>
            <w:r w:rsidRPr="00A94D6A">
              <w:rPr>
                <w:i/>
                <w:iCs/>
                <w:szCs w:val="22"/>
                <w:lang w:val="ru-RU"/>
              </w:rPr>
              <w:t xml:space="preserve"> и </w:t>
            </w:r>
            <w:r w:rsidR="00846AD5">
              <w:fldChar w:fldCharType="begin"/>
            </w:r>
            <w:r w:rsidR="00846AD5">
              <w:instrText>HYPERLINK</w:instrText>
            </w:r>
            <w:r w:rsidR="00846AD5" w:rsidRPr="00846AD5">
              <w:rPr>
                <w:lang w:val="ru-RU"/>
              </w:rPr>
              <w:instrText xml:space="preserve"> "</w:instrText>
            </w:r>
            <w:r w:rsidR="00846AD5">
              <w:instrText>https</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md</w:instrText>
            </w:r>
            <w:r w:rsidR="00846AD5" w:rsidRPr="00846AD5">
              <w:rPr>
                <w:lang w:val="ru-RU"/>
              </w:rPr>
              <w:instrText>/</w:instrText>
            </w:r>
            <w:r w:rsidR="00846AD5">
              <w:instrText>S</w:instrText>
            </w:r>
            <w:r w:rsidR="00846AD5" w:rsidRPr="00846AD5">
              <w:rPr>
                <w:lang w:val="ru-RU"/>
              </w:rPr>
              <w:instrText>24-</w:instrText>
            </w:r>
            <w:r w:rsidR="00846AD5">
              <w:instrText>CL</w:instrText>
            </w:r>
            <w:r w:rsidR="00846AD5" w:rsidRPr="00846AD5">
              <w:rPr>
                <w:lang w:val="ru-RU"/>
              </w:rPr>
              <w:instrText>-</w:instrText>
            </w:r>
            <w:r w:rsidR="00846AD5">
              <w:instrText>C</w:instrText>
            </w:r>
            <w:r w:rsidR="00846AD5" w:rsidRPr="00846AD5">
              <w:rPr>
                <w:lang w:val="ru-RU"/>
              </w:rPr>
              <w:instrText>-0063/</w:instrText>
            </w:r>
            <w:r w:rsidR="00846AD5">
              <w:instrText>en</w:instrText>
            </w:r>
            <w:r w:rsidR="00846AD5" w:rsidRPr="00846AD5">
              <w:rPr>
                <w:lang w:val="ru-RU"/>
              </w:rPr>
              <w:instrText>"</w:instrText>
            </w:r>
            <w:r w:rsidR="00846AD5">
              <w:fldChar w:fldCharType="separate"/>
            </w:r>
            <w:r w:rsidRPr="00A94D6A">
              <w:rPr>
                <w:rStyle w:val="Hyperlink"/>
                <w:i/>
                <w:iCs/>
                <w:szCs w:val="22"/>
                <w:lang w:val="ru-RU"/>
              </w:rPr>
              <w:t>C24/63</w:t>
            </w:r>
            <w:r w:rsidR="00846AD5">
              <w:rPr>
                <w:rStyle w:val="Hyperlink"/>
                <w:i/>
                <w:iCs/>
                <w:szCs w:val="22"/>
                <w:lang w:val="ru-RU"/>
              </w:rPr>
              <w:fldChar w:fldCharType="end"/>
            </w:r>
            <w:r w:rsidRPr="00A94D6A">
              <w:rPr>
                <w:i/>
                <w:iCs/>
                <w:szCs w:val="22"/>
                <w:lang w:val="ru-RU"/>
              </w:rPr>
              <w:t xml:space="preserve"> Совета</w:t>
            </w:r>
          </w:p>
        </w:tc>
      </w:tr>
      <w:bookmarkEnd w:id="2"/>
      <w:bookmarkEnd w:id="6"/>
    </w:tbl>
    <w:p w14:paraId="685614DE" w14:textId="77777777" w:rsidR="00796BD3" w:rsidRPr="00A94D6A" w:rsidRDefault="00796BD3" w:rsidP="00796BD3">
      <w:pPr>
        <w:rPr>
          <w:lang w:val="ru-RU"/>
        </w:rPr>
      </w:pPr>
    </w:p>
    <w:p w14:paraId="496B8029" w14:textId="77777777" w:rsidR="00165D06" w:rsidRPr="00A94D6A" w:rsidRDefault="00165D06">
      <w:pPr>
        <w:tabs>
          <w:tab w:val="clear" w:pos="794"/>
          <w:tab w:val="clear" w:pos="1191"/>
          <w:tab w:val="clear" w:pos="1588"/>
          <w:tab w:val="clear" w:pos="1985"/>
        </w:tabs>
        <w:overflowPunct/>
        <w:autoSpaceDE/>
        <w:autoSpaceDN/>
        <w:adjustRightInd/>
        <w:spacing w:before="0"/>
        <w:textAlignment w:val="auto"/>
        <w:rPr>
          <w:lang w:val="ru-RU"/>
        </w:rPr>
      </w:pPr>
      <w:r w:rsidRPr="00A94D6A">
        <w:rPr>
          <w:lang w:val="ru-RU"/>
        </w:rPr>
        <w:br w:type="page"/>
      </w:r>
    </w:p>
    <w:p w14:paraId="639B8F14" w14:textId="77777777" w:rsidR="00BB4D9D" w:rsidRPr="00A94D6A" w:rsidRDefault="00BB4D9D" w:rsidP="008D02BC">
      <w:pPr>
        <w:pStyle w:val="Heading1"/>
        <w:rPr>
          <w:rFonts w:asciiTheme="minorHAnsi" w:eastAsia="SimSun" w:hAnsiTheme="minorHAnsi" w:cstheme="minorHAnsi"/>
          <w:szCs w:val="24"/>
          <w:lang w:val="ru-RU"/>
        </w:rPr>
      </w:pPr>
      <w:r w:rsidRPr="00A94D6A">
        <w:rPr>
          <w:lang w:val="ru-RU"/>
        </w:rPr>
        <w:lastRenderedPageBreak/>
        <w:t>1</w:t>
      </w:r>
      <w:r w:rsidRPr="00A94D6A">
        <w:rPr>
          <w:lang w:val="ru-RU"/>
        </w:rPr>
        <w:tab/>
        <w:t>Введение</w:t>
      </w:r>
    </w:p>
    <w:p w14:paraId="61CCCCED" w14:textId="69466EA4" w:rsidR="00BB4D9D" w:rsidRPr="00A94D6A" w:rsidRDefault="00BB4D9D" w:rsidP="008D02BC">
      <w:pPr>
        <w:rPr>
          <w:rFonts w:asciiTheme="minorHAnsi" w:eastAsia="SimSun" w:hAnsiTheme="minorHAnsi" w:cstheme="minorHAnsi"/>
          <w:szCs w:val="24"/>
          <w:lang w:val="ru-RU"/>
        </w:rPr>
      </w:pPr>
      <w:r w:rsidRPr="00A94D6A">
        <w:rPr>
          <w:lang w:val="ru-RU"/>
        </w:rPr>
        <w:t>В ходе исполнения бюджета на 2023 год, в результате эффективного управления ресурсами, руководству не потребовалось использовать 1734 тыс. швейцарских франков, которые было разрешено использовать для сбалансирования бюджета на 2023 год в соответствии с Резолюцией 1405. Кроме того, на конец бюджетного года было сформировано положительное сальдо в размере 1</w:t>
      </w:r>
      <w:r w:rsidR="008D02BC" w:rsidRPr="00A94D6A">
        <w:rPr>
          <w:lang w:val="ru-RU"/>
        </w:rPr>
        <w:t> </w:t>
      </w:r>
      <w:r w:rsidRPr="00A94D6A">
        <w:rPr>
          <w:lang w:val="ru-RU"/>
        </w:rPr>
        <w:t>423</w:t>
      </w:r>
      <w:r w:rsidR="008D02BC" w:rsidRPr="00A94D6A">
        <w:rPr>
          <w:lang w:val="ru-RU"/>
        </w:rPr>
        <w:t> </w:t>
      </w:r>
      <w:r w:rsidRPr="00A94D6A">
        <w:rPr>
          <w:lang w:val="ru-RU"/>
        </w:rPr>
        <w:t xml:space="preserve">584,81 швейцарского франка. Таким образом, для финансирования некоторых видов деятельности, которые не покрываются из регулярного бюджета, остается сумма в размере </w:t>
      </w:r>
      <w:r w:rsidRPr="00A94D6A">
        <w:rPr>
          <w:b/>
          <w:bCs/>
          <w:lang w:val="ru-RU"/>
        </w:rPr>
        <w:t>3</w:t>
      </w:r>
      <w:r w:rsidR="008D02BC" w:rsidRPr="00A94D6A">
        <w:rPr>
          <w:b/>
          <w:bCs/>
          <w:lang w:val="ru-RU"/>
        </w:rPr>
        <w:t> </w:t>
      </w:r>
      <w:r w:rsidRPr="00A94D6A">
        <w:rPr>
          <w:b/>
          <w:bCs/>
          <w:lang w:val="ru-RU"/>
        </w:rPr>
        <w:t>157</w:t>
      </w:r>
      <w:r w:rsidR="008D02BC" w:rsidRPr="00A94D6A">
        <w:rPr>
          <w:b/>
          <w:bCs/>
          <w:lang w:val="ru-RU"/>
        </w:rPr>
        <w:t> </w:t>
      </w:r>
      <w:r w:rsidRPr="00A94D6A">
        <w:rPr>
          <w:b/>
          <w:bCs/>
          <w:lang w:val="ru-RU"/>
        </w:rPr>
        <w:t>584,81 швейцарского франка</w:t>
      </w:r>
      <w:r w:rsidRPr="00A94D6A">
        <w:rPr>
          <w:lang w:val="ru-RU"/>
        </w:rPr>
        <w:t>.</w:t>
      </w:r>
    </w:p>
    <w:p w14:paraId="08DE9810" w14:textId="40F19F35" w:rsidR="00BB4D9D" w:rsidRPr="00A94D6A" w:rsidRDefault="00BB4D9D" w:rsidP="008D02BC">
      <w:pPr>
        <w:rPr>
          <w:rFonts w:asciiTheme="minorHAnsi" w:eastAsia="SimSun" w:hAnsiTheme="minorHAnsi" w:cstheme="minorHAnsi"/>
          <w:szCs w:val="24"/>
          <w:lang w:val="ru-RU"/>
        </w:rPr>
      </w:pPr>
      <w:r w:rsidRPr="00A94D6A">
        <w:rPr>
          <w:lang w:val="ru-RU"/>
        </w:rPr>
        <w:t>Кроме того, остаток средств ОВФ составляет 465</w:t>
      </w:r>
      <w:r w:rsidR="008D02BC" w:rsidRPr="00A94D6A">
        <w:rPr>
          <w:lang w:val="ru-RU"/>
        </w:rPr>
        <w:t> </w:t>
      </w:r>
      <w:r w:rsidRPr="00A94D6A">
        <w:rPr>
          <w:lang w:val="ru-RU"/>
        </w:rPr>
        <w:t>110,56 швейцарского франка.</w:t>
      </w:r>
    </w:p>
    <w:p w14:paraId="5E7C49DE" w14:textId="77777777" w:rsidR="00BB4D9D" w:rsidRPr="00A94D6A" w:rsidRDefault="00BB4D9D" w:rsidP="008D02BC">
      <w:pPr>
        <w:pStyle w:val="Heading1"/>
        <w:rPr>
          <w:rFonts w:asciiTheme="minorHAnsi" w:eastAsia="SimSun" w:hAnsiTheme="minorHAnsi" w:cstheme="minorHAnsi"/>
          <w:szCs w:val="24"/>
          <w:lang w:val="ru-RU"/>
        </w:rPr>
      </w:pPr>
      <w:r w:rsidRPr="00A94D6A">
        <w:rPr>
          <w:lang w:val="ru-RU"/>
        </w:rPr>
        <w:t>2</w:t>
      </w:r>
      <w:r w:rsidRPr="00A94D6A">
        <w:rPr>
          <w:lang w:val="ru-RU"/>
        </w:rPr>
        <w:tab/>
        <w:t>Выделение средств на финансирование работы после ВКР-23</w:t>
      </w:r>
    </w:p>
    <w:p w14:paraId="612AC25B" w14:textId="77777777" w:rsidR="00BB4D9D" w:rsidRPr="00A94D6A" w:rsidRDefault="00BB4D9D" w:rsidP="008D02BC">
      <w:pPr>
        <w:rPr>
          <w:rFonts w:asciiTheme="minorHAnsi" w:eastAsia="SimSun" w:hAnsiTheme="minorHAnsi" w:cstheme="minorBidi"/>
          <w:lang w:val="ru-RU"/>
        </w:rPr>
      </w:pPr>
      <w:r w:rsidRPr="00A94D6A">
        <w:rPr>
          <w:lang w:val="ru-RU"/>
        </w:rPr>
        <w:t xml:space="preserve">ВКР-23 приняла Решения и Резолюции со значительными финансовыми последствиями на сумму около 12,5 млн швейцарских франков на четырехлетний период (2024−2027 гг.). Бюро радиосвязи провело подробную оценку минимальной суммы, которая потребуется для выполнения необходимых решений ВКР-23 в 2024 году, как показано в Документе </w:t>
      </w:r>
      <w:r w:rsidR="00846AD5">
        <w:fldChar w:fldCharType="begin"/>
      </w:r>
      <w:r w:rsidR="00846AD5">
        <w:instrText>HYPERLINK</w:instrText>
      </w:r>
      <w:r w:rsidR="00846AD5" w:rsidRPr="00846AD5">
        <w:rPr>
          <w:lang w:val="ru-RU"/>
        </w:rPr>
        <w:instrText xml:space="preserve"> "</w:instrText>
      </w:r>
      <w:r w:rsidR="00846AD5">
        <w:instrText>https</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md</w:instrText>
      </w:r>
      <w:r w:rsidR="00846AD5" w:rsidRPr="00846AD5">
        <w:rPr>
          <w:lang w:val="ru-RU"/>
        </w:rPr>
        <w:instrText>/</w:instrText>
      </w:r>
      <w:r w:rsidR="00846AD5">
        <w:instrText>S</w:instrText>
      </w:r>
      <w:r w:rsidR="00846AD5" w:rsidRPr="00846AD5">
        <w:rPr>
          <w:lang w:val="ru-RU"/>
        </w:rPr>
        <w:instrText>24-</w:instrText>
      </w:r>
      <w:r w:rsidR="00846AD5">
        <w:instrText>CL</w:instrText>
      </w:r>
      <w:r w:rsidR="00846AD5" w:rsidRPr="00846AD5">
        <w:rPr>
          <w:lang w:val="ru-RU"/>
        </w:rPr>
        <w:instrText>-</w:instrText>
      </w:r>
      <w:r w:rsidR="00846AD5">
        <w:instrText>C</w:instrText>
      </w:r>
      <w:r w:rsidR="00846AD5" w:rsidRPr="00846AD5">
        <w:rPr>
          <w:lang w:val="ru-RU"/>
        </w:rPr>
        <w:instrText>-0063/</w:instrText>
      </w:r>
      <w:r w:rsidR="00846AD5">
        <w:instrText>en</w:instrText>
      </w:r>
      <w:r w:rsidR="00846AD5" w:rsidRPr="00846AD5">
        <w:rPr>
          <w:lang w:val="ru-RU"/>
        </w:rPr>
        <w:instrText>"</w:instrText>
      </w:r>
      <w:r w:rsidR="00846AD5">
        <w:fldChar w:fldCharType="separate"/>
      </w:r>
      <w:r w:rsidRPr="00A94D6A">
        <w:rPr>
          <w:rStyle w:val="Hyperlink"/>
          <w:rFonts w:asciiTheme="minorHAnsi" w:eastAsia="SimSun" w:hAnsiTheme="minorHAnsi" w:cstheme="minorBidi"/>
          <w:lang w:val="ru-RU"/>
        </w:rPr>
        <w:t>C24/63</w:t>
      </w:r>
      <w:r w:rsidR="00846AD5">
        <w:rPr>
          <w:rStyle w:val="Hyperlink"/>
          <w:rFonts w:asciiTheme="minorHAnsi" w:eastAsia="SimSun" w:hAnsiTheme="minorHAnsi" w:cstheme="minorBidi"/>
          <w:lang w:val="ru-RU"/>
        </w:rPr>
        <w:fldChar w:fldCharType="end"/>
      </w:r>
      <w:r w:rsidRPr="00A94D6A">
        <w:rPr>
          <w:lang w:val="ru-RU"/>
        </w:rPr>
        <w:t xml:space="preserve">. Этот абсолютный минимум составляет 3330 тыс. швейцарских франков. В качестве первоначального вклада в этот минимальный объем предлагается выделить на выполнение решений ВКР-23 полную сумму сэкономленных за 2023 год средств, т. е. </w:t>
      </w:r>
      <w:r w:rsidRPr="00A94D6A">
        <w:rPr>
          <w:b/>
          <w:bCs/>
          <w:lang w:val="ru-RU"/>
        </w:rPr>
        <w:t xml:space="preserve">1423 тыс. </w:t>
      </w:r>
      <w:r w:rsidRPr="0027180C">
        <w:rPr>
          <w:b/>
          <w:bCs/>
          <w:lang w:val="ru-RU"/>
        </w:rPr>
        <w:t>швейцарских франков</w:t>
      </w:r>
      <w:r w:rsidRPr="00A94D6A">
        <w:rPr>
          <w:lang w:val="ru-RU"/>
        </w:rPr>
        <w:t>. Руководство хотело бы предложить Государствам-Членам вносить добровольные взносы в поддержку выполнения решений ВКР-23.</w:t>
      </w:r>
    </w:p>
    <w:p w14:paraId="406F0ECD" w14:textId="77777777" w:rsidR="00BB4D9D" w:rsidRPr="00A94D6A" w:rsidRDefault="00BB4D9D" w:rsidP="008D02BC">
      <w:pPr>
        <w:pStyle w:val="Heading1"/>
        <w:rPr>
          <w:rFonts w:asciiTheme="minorHAnsi" w:eastAsia="SimSun" w:hAnsiTheme="minorHAnsi" w:cstheme="minorHAnsi"/>
          <w:szCs w:val="24"/>
          <w:lang w:val="ru-RU"/>
        </w:rPr>
      </w:pPr>
      <w:r w:rsidRPr="00A94D6A">
        <w:rPr>
          <w:lang w:val="ru-RU"/>
        </w:rPr>
        <w:t>3</w:t>
      </w:r>
      <w:r w:rsidRPr="00A94D6A">
        <w:rPr>
          <w:lang w:val="ru-RU"/>
        </w:rPr>
        <w:tab/>
        <w:t>Выделение средств на процесс и дорожную карту трансформации МСЭ, дорожную карту совершенствования веб-сайта МСЭ, Программу "Молодые специалисты" (YPP) и подготовку к ВФПЭ-26</w:t>
      </w:r>
    </w:p>
    <w:p w14:paraId="7F979DF8" w14:textId="5654A1B1" w:rsidR="00BB4D9D" w:rsidRPr="00A94D6A" w:rsidRDefault="00BB4D9D" w:rsidP="008D02BC">
      <w:pPr>
        <w:rPr>
          <w:rFonts w:asciiTheme="minorHAnsi" w:eastAsia="SimSun" w:hAnsiTheme="minorHAnsi" w:cstheme="minorBidi"/>
          <w:lang w:val="ru-RU"/>
        </w:rPr>
      </w:pPr>
      <w:r w:rsidRPr="00A94D6A">
        <w:rPr>
          <w:lang w:val="ru-RU"/>
        </w:rPr>
        <w:t>a)</w:t>
      </w:r>
      <w:r w:rsidRPr="00A94D6A">
        <w:rPr>
          <w:lang w:val="ru-RU"/>
        </w:rPr>
        <w:tab/>
        <w:t xml:space="preserve">Необходимость изменений в области организационной эффективности МСЭ подчеркивалась в Стратегическом плане МСЭ на 2024–2027 годы и Решении 5 Полномочной конференции. Под организационной эффективностью понимается повышение качества работы Секретариата МСЭ и, таким образом, совершенствование услуг, предоставляемых МСЭ своим Членам и другим заинтересованным сторонам. Структура процесса трансформации и дорожная карта включает четыре основных компонента: 1) люди и культура; 2) оптимизация ресурсов: 3) системы, процессы и инструменты; и 4) управление. Для реализации этого процесса, подробно представленного в Документе </w:t>
      </w:r>
      <w:r w:rsidR="00846AD5">
        <w:fldChar w:fldCharType="begin"/>
      </w:r>
      <w:r w:rsidR="00846AD5">
        <w:instrText>HYPERLINK</w:instrText>
      </w:r>
      <w:r w:rsidR="00846AD5" w:rsidRPr="00846AD5">
        <w:rPr>
          <w:lang w:val="ru-RU"/>
        </w:rPr>
        <w:instrText xml:space="preserve"> "</w:instrText>
      </w:r>
      <w:r w:rsidR="00846AD5">
        <w:instrText>https</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md</w:instrText>
      </w:r>
      <w:r w:rsidR="00846AD5" w:rsidRPr="00846AD5">
        <w:rPr>
          <w:lang w:val="ru-RU"/>
        </w:rPr>
        <w:instrText>/</w:instrText>
      </w:r>
      <w:r w:rsidR="00846AD5">
        <w:instrText>S</w:instrText>
      </w:r>
      <w:r w:rsidR="00846AD5" w:rsidRPr="00846AD5">
        <w:rPr>
          <w:lang w:val="ru-RU"/>
        </w:rPr>
        <w:instrText>24-</w:instrText>
      </w:r>
      <w:r w:rsidR="00846AD5">
        <w:instrText>CL</w:instrText>
      </w:r>
      <w:r w:rsidR="00846AD5" w:rsidRPr="00846AD5">
        <w:rPr>
          <w:lang w:val="ru-RU"/>
        </w:rPr>
        <w:instrText>-</w:instrText>
      </w:r>
      <w:r w:rsidR="00846AD5">
        <w:instrText>C</w:instrText>
      </w:r>
      <w:r w:rsidR="00846AD5" w:rsidRPr="00846AD5">
        <w:rPr>
          <w:lang w:val="ru-RU"/>
        </w:rPr>
        <w:instrText>-0052/</w:instrText>
      </w:r>
      <w:r w:rsidR="00846AD5">
        <w:instrText>en</w:instrText>
      </w:r>
      <w:r w:rsidR="00846AD5" w:rsidRPr="00846AD5">
        <w:rPr>
          <w:lang w:val="ru-RU"/>
        </w:rPr>
        <w:instrText>"</w:instrText>
      </w:r>
      <w:r w:rsidR="00846AD5">
        <w:fldChar w:fldCharType="separate"/>
      </w:r>
      <w:r w:rsidRPr="00A94D6A">
        <w:rPr>
          <w:rStyle w:val="Hyperlink"/>
          <w:rFonts w:asciiTheme="minorHAnsi" w:eastAsia="SimSun" w:hAnsiTheme="minorHAnsi" w:cstheme="minorBidi"/>
          <w:lang w:val="ru-RU"/>
        </w:rPr>
        <w:t>C24/52</w:t>
      </w:r>
      <w:r w:rsidR="00846AD5">
        <w:rPr>
          <w:rStyle w:val="Hyperlink"/>
          <w:rFonts w:asciiTheme="minorHAnsi" w:eastAsia="SimSun" w:hAnsiTheme="minorHAnsi" w:cstheme="minorBidi"/>
          <w:lang w:val="ru-RU"/>
        </w:rPr>
        <w:fldChar w:fldCharType="end"/>
      </w:r>
      <w:r w:rsidRPr="00A94D6A">
        <w:rPr>
          <w:lang w:val="ru-RU"/>
        </w:rPr>
        <w:t>, потребуются людские и финансовые ресурсы.</w:t>
      </w:r>
    </w:p>
    <w:p w14:paraId="76942894" w14:textId="55476074" w:rsidR="00BB4D9D" w:rsidRPr="00A94D6A" w:rsidRDefault="00BB4D9D" w:rsidP="008D02BC">
      <w:pPr>
        <w:rPr>
          <w:rFonts w:asciiTheme="minorHAnsi" w:eastAsia="SimSun" w:hAnsiTheme="minorHAnsi" w:cstheme="minorBidi"/>
          <w:lang w:val="ru-RU"/>
        </w:rPr>
      </w:pPr>
      <w:r w:rsidRPr="00A94D6A">
        <w:rPr>
          <w:lang w:val="ru-RU"/>
        </w:rPr>
        <w:t>b)</w:t>
      </w:r>
      <w:r w:rsidRPr="00A94D6A">
        <w:rPr>
          <w:lang w:val="ru-RU"/>
        </w:rPr>
        <w:tab/>
        <w:t xml:space="preserve">Процесс трансформации включает дорожную карту совершенствования поиска на веб-сайте МСЭ и гармонизации веб-сайта МСЭ, с тем чтобы разработать современный, адаптированный для мобильных устройств, защищенный и многоязычный веб-сайт, характеризующийся единой информационной архитектурой и четко определенной таксономией. Цель состоит в том, чтобы обеспечить возможности надежного поиска, удобную навигацию, а также единообразие фирменного оформления и обмена сообщениями. Задача состоит в том, чтобы обеспечить дизайн, в котором приоритетное внимание уделяется пользовательскому опыту и его улучшение. Более подробная информация содержится в Документе </w:t>
      </w:r>
      <w:r w:rsidR="00846AD5">
        <w:fldChar w:fldCharType="begin"/>
      </w:r>
      <w:r w:rsidR="00846AD5">
        <w:instrText>HYPERLINK</w:instrText>
      </w:r>
      <w:r w:rsidR="00846AD5" w:rsidRPr="00846AD5">
        <w:rPr>
          <w:lang w:val="ru-RU"/>
        </w:rPr>
        <w:instrText xml:space="preserve"> "</w:instrText>
      </w:r>
      <w:r w:rsidR="00846AD5">
        <w:instrText>https</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md</w:instrText>
      </w:r>
      <w:r w:rsidR="00846AD5" w:rsidRPr="00846AD5">
        <w:rPr>
          <w:lang w:val="ru-RU"/>
        </w:rPr>
        <w:instrText>/</w:instrText>
      </w:r>
      <w:r w:rsidR="00846AD5">
        <w:instrText>S</w:instrText>
      </w:r>
      <w:r w:rsidR="00846AD5" w:rsidRPr="00846AD5">
        <w:rPr>
          <w:lang w:val="ru-RU"/>
        </w:rPr>
        <w:instrText>24-</w:instrText>
      </w:r>
      <w:r w:rsidR="00846AD5">
        <w:instrText>CL</w:instrText>
      </w:r>
      <w:r w:rsidR="00846AD5" w:rsidRPr="00846AD5">
        <w:rPr>
          <w:lang w:val="ru-RU"/>
        </w:rPr>
        <w:instrText>-</w:instrText>
      </w:r>
      <w:r w:rsidR="00846AD5">
        <w:instrText>C</w:instrText>
      </w:r>
      <w:r w:rsidR="00846AD5" w:rsidRPr="00846AD5">
        <w:rPr>
          <w:lang w:val="ru-RU"/>
        </w:rPr>
        <w:instrText>-0053/</w:instrText>
      </w:r>
      <w:r w:rsidR="00846AD5">
        <w:instrText>en</w:instrText>
      </w:r>
      <w:r w:rsidR="00846AD5" w:rsidRPr="00846AD5">
        <w:rPr>
          <w:lang w:val="ru-RU"/>
        </w:rPr>
        <w:instrText>"</w:instrText>
      </w:r>
      <w:r w:rsidR="00846AD5">
        <w:fldChar w:fldCharType="separate"/>
      </w:r>
      <w:r w:rsidRPr="00A94D6A">
        <w:rPr>
          <w:rStyle w:val="Hyperlink"/>
          <w:rFonts w:asciiTheme="minorHAnsi" w:eastAsia="SimSun" w:hAnsiTheme="minorHAnsi" w:cstheme="minorBidi"/>
          <w:lang w:val="ru-RU"/>
        </w:rPr>
        <w:t>C24/53</w:t>
      </w:r>
      <w:r w:rsidR="00846AD5">
        <w:rPr>
          <w:rStyle w:val="Hyperlink"/>
          <w:rFonts w:asciiTheme="minorHAnsi" w:eastAsia="SimSun" w:hAnsiTheme="minorHAnsi" w:cstheme="minorBidi"/>
          <w:lang w:val="ru-RU"/>
        </w:rPr>
        <w:fldChar w:fldCharType="end"/>
      </w:r>
      <w:r w:rsidRPr="00A94D6A">
        <w:rPr>
          <w:lang w:val="ru-RU"/>
        </w:rPr>
        <w:t>.</w:t>
      </w:r>
    </w:p>
    <w:p w14:paraId="2CE5AEC7" w14:textId="77777777" w:rsidR="00BB4D9D" w:rsidRPr="00A94D6A" w:rsidRDefault="00BB4D9D" w:rsidP="008D02BC">
      <w:pPr>
        <w:rPr>
          <w:rFonts w:eastAsia="Calibri" w:cs="Calibri"/>
          <w:color w:val="000000" w:themeColor="text1"/>
          <w:lang w:val="ru-RU"/>
        </w:rPr>
      </w:pPr>
      <w:r w:rsidRPr="00A94D6A">
        <w:rPr>
          <w:lang w:val="ru-RU"/>
        </w:rPr>
        <w:t>Сметный бюджет на реализацию проекта в рамках дорожной карты трансформации и бюджета составляет 600 тыс. швейцарских франков.</w:t>
      </w:r>
    </w:p>
    <w:p w14:paraId="026EC943" w14:textId="5F2D8F40" w:rsidR="00BB4D9D" w:rsidRPr="00A94D6A" w:rsidRDefault="00BB4D9D" w:rsidP="008D02BC">
      <w:pPr>
        <w:rPr>
          <w:rFonts w:asciiTheme="minorHAnsi" w:eastAsia="SimSun" w:hAnsiTheme="minorHAnsi" w:cstheme="minorBidi"/>
          <w:lang w:val="ru-RU"/>
        </w:rPr>
      </w:pPr>
      <w:r w:rsidRPr="00A94D6A">
        <w:rPr>
          <w:lang w:val="ru-RU"/>
        </w:rPr>
        <w:t>c)</w:t>
      </w:r>
      <w:r w:rsidRPr="00A94D6A">
        <w:rPr>
          <w:lang w:val="ru-RU"/>
        </w:rPr>
        <w:tab/>
        <w:t>В Резолюции 198 (Пересм. Бухарест, 2022 г.) Полномочной конференции о расширении прав и возможностей молодежи посредством электросвязи/‎информационно-</w:t>
      </w:r>
      <w:r w:rsidRPr="00A94D6A">
        <w:rPr>
          <w:lang w:val="ru-RU"/>
        </w:rPr>
        <w:lastRenderedPageBreak/>
        <w:t xml:space="preserve">коммуникационных технологий содержится поручение Генеральному секретарю продолжать обеспечивать включение молодежной проблематики в рабочие программы, методы управления и деятельность МСЭ по развитию людских ресурсов. С помощью этого выделения предлагается ввести дополнительную должность в рамках YPP на следующий двухгодичный период с предполагаемым бюджетом в размере 300 тыс. швейцарских франков. Более подробная информация содержится в Документе </w:t>
      </w:r>
      <w:r w:rsidR="00846AD5">
        <w:fldChar w:fldCharType="begin"/>
      </w:r>
      <w:r w:rsidR="00846AD5">
        <w:instrText>HYPERLINK</w:instrText>
      </w:r>
      <w:r w:rsidR="00846AD5" w:rsidRPr="00846AD5">
        <w:rPr>
          <w:lang w:val="ru-RU"/>
        </w:rPr>
        <w:instrText xml:space="preserve"> "</w:instrText>
      </w:r>
      <w:r w:rsidR="00846AD5">
        <w:instrText>https</w:instrText>
      </w:r>
      <w:r w:rsidR="00846AD5" w:rsidRPr="00846AD5">
        <w:rPr>
          <w:lang w:val="ru-RU"/>
        </w:rPr>
        <w:instrText>://</w:instrText>
      </w:r>
      <w:r w:rsidR="00846AD5">
        <w:instrText>www</w:instrText>
      </w:r>
      <w:r w:rsidR="00846AD5" w:rsidRPr="00846AD5">
        <w:rPr>
          <w:lang w:val="ru-RU"/>
        </w:rPr>
        <w:instrText>.</w:instrText>
      </w:r>
      <w:r w:rsidR="00846AD5">
        <w:instrText>itu</w:instrText>
      </w:r>
      <w:r w:rsidR="00846AD5" w:rsidRPr="00846AD5">
        <w:rPr>
          <w:lang w:val="ru-RU"/>
        </w:rPr>
        <w:instrText>.</w:instrText>
      </w:r>
      <w:r w:rsidR="00846AD5">
        <w:instrText>int</w:instrText>
      </w:r>
      <w:r w:rsidR="00846AD5" w:rsidRPr="00846AD5">
        <w:rPr>
          <w:lang w:val="ru-RU"/>
        </w:rPr>
        <w:instrText>/</w:instrText>
      </w:r>
      <w:r w:rsidR="00846AD5">
        <w:instrText>md</w:instrText>
      </w:r>
      <w:r w:rsidR="00846AD5" w:rsidRPr="00846AD5">
        <w:rPr>
          <w:lang w:val="ru-RU"/>
        </w:rPr>
        <w:instrText>/</w:instrText>
      </w:r>
      <w:r w:rsidR="00846AD5">
        <w:instrText>S</w:instrText>
      </w:r>
      <w:r w:rsidR="00846AD5" w:rsidRPr="00846AD5">
        <w:rPr>
          <w:lang w:val="ru-RU"/>
        </w:rPr>
        <w:instrText>24-</w:instrText>
      </w:r>
      <w:r w:rsidR="00846AD5">
        <w:instrText>CL</w:instrText>
      </w:r>
      <w:r w:rsidR="00846AD5" w:rsidRPr="00846AD5">
        <w:rPr>
          <w:lang w:val="ru-RU"/>
        </w:rPr>
        <w:instrText>-</w:instrText>
      </w:r>
      <w:r w:rsidR="00846AD5">
        <w:instrText>C</w:instrText>
      </w:r>
      <w:r w:rsidR="00846AD5" w:rsidRPr="00846AD5">
        <w:rPr>
          <w:lang w:val="ru-RU"/>
        </w:rPr>
        <w:instrText>-0031/</w:instrText>
      </w:r>
      <w:r w:rsidR="00846AD5">
        <w:instrText>en</w:instrText>
      </w:r>
      <w:r w:rsidR="00846AD5" w:rsidRPr="00846AD5">
        <w:rPr>
          <w:lang w:val="ru-RU"/>
        </w:rPr>
        <w:instrText>"</w:instrText>
      </w:r>
      <w:r w:rsidR="00846AD5">
        <w:fldChar w:fldCharType="separate"/>
      </w:r>
      <w:r w:rsidRPr="00A94D6A">
        <w:rPr>
          <w:rStyle w:val="Hyperlink"/>
          <w:rFonts w:asciiTheme="minorHAnsi" w:eastAsia="SimSun" w:hAnsiTheme="minorHAnsi" w:cstheme="minorBidi"/>
          <w:lang w:val="ru-RU"/>
        </w:rPr>
        <w:t>C24/31</w:t>
      </w:r>
      <w:r w:rsidR="00846AD5">
        <w:rPr>
          <w:rStyle w:val="Hyperlink"/>
          <w:rFonts w:asciiTheme="minorHAnsi" w:eastAsia="SimSun" w:hAnsiTheme="minorHAnsi" w:cstheme="minorBidi"/>
          <w:lang w:val="ru-RU"/>
        </w:rPr>
        <w:fldChar w:fldCharType="end"/>
      </w:r>
      <w:r w:rsidRPr="00A94D6A">
        <w:rPr>
          <w:lang w:val="ru-RU"/>
        </w:rPr>
        <w:t>.</w:t>
      </w:r>
    </w:p>
    <w:p w14:paraId="6F2BAEF5" w14:textId="18643D68" w:rsidR="00BB4D9D" w:rsidRPr="00A94D6A" w:rsidRDefault="00BB4D9D" w:rsidP="008D02BC">
      <w:pPr>
        <w:rPr>
          <w:rFonts w:asciiTheme="minorHAnsi" w:eastAsia="SimSun" w:hAnsiTheme="minorHAnsi" w:cstheme="minorBidi"/>
          <w:lang w:val="ru-RU"/>
        </w:rPr>
      </w:pPr>
      <w:r w:rsidRPr="00A94D6A">
        <w:rPr>
          <w:lang w:val="ru-RU"/>
        </w:rPr>
        <w:t>d)</w:t>
      </w:r>
      <w:r w:rsidRPr="00A94D6A">
        <w:rPr>
          <w:lang w:val="ru-RU"/>
        </w:rPr>
        <w:tab/>
        <w:t>Полномочная конференция (Бухарест, 2022 г.) поручила Совету запланировать проведение Всемирного форума по политике в области электросвязи/ИКТ (ВФПЭ) на 2026 год. Секретариат должен наилучшим образом подготовиться к мероприятию 2026 года.</w:t>
      </w:r>
    </w:p>
    <w:p w14:paraId="79E3DFDE" w14:textId="1F8D6C60" w:rsidR="00BB4D9D" w:rsidRPr="00A94D6A" w:rsidRDefault="00BB4D9D" w:rsidP="008D02BC">
      <w:pPr>
        <w:rPr>
          <w:rFonts w:asciiTheme="minorHAnsi" w:eastAsia="SimSun" w:hAnsiTheme="minorHAnsi" w:cstheme="minorBidi"/>
          <w:lang w:val="ru-RU"/>
        </w:rPr>
      </w:pPr>
      <w:r w:rsidRPr="00A94D6A">
        <w:rPr>
          <w:lang w:val="ru-RU"/>
        </w:rPr>
        <w:t>В соответствии с прошлой практикой, для достижения этой цели, существенное значение будет иметь поддержка в форме контрактов SSA. Затраты на эту поддержку оцениваются в 80</w:t>
      </w:r>
      <w:r w:rsidR="008D02BC" w:rsidRPr="00A94D6A">
        <w:rPr>
          <w:lang w:val="ru-RU"/>
        </w:rPr>
        <w:t> </w:t>
      </w:r>
      <w:r w:rsidRPr="00A94D6A">
        <w:rPr>
          <w:lang w:val="ru-RU"/>
        </w:rPr>
        <w:t>000</w:t>
      </w:r>
      <w:r w:rsidR="008D02BC" w:rsidRPr="00A94D6A">
        <w:rPr>
          <w:lang w:val="ru-RU"/>
        </w:rPr>
        <w:t> </w:t>
      </w:r>
      <w:r w:rsidRPr="00A94D6A">
        <w:rPr>
          <w:lang w:val="ru-RU"/>
        </w:rPr>
        <w:t>швейцарских франков.</w:t>
      </w:r>
    </w:p>
    <w:p w14:paraId="361049F3" w14:textId="77777777" w:rsidR="00BB4D9D" w:rsidRPr="00A94D6A" w:rsidRDefault="00BB4D9D" w:rsidP="008D02BC">
      <w:pPr>
        <w:rPr>
          <w:rFonts w:asciiTheme="minorHAnsi" w:eastAsia="SimSun" w:hAnsiTheme="minorHAnsi" w:cstheme="minorHAnsi"/>
          <w:szCs w:val="24"/>
          <w:lang w:val="ru-RU"/>
        </w:rPr>
      </w:pPr>
      <w:r w:rsidRPr="00A94D6A">
        <w:rPr>
          <w:lang w:val="ru-RU"/>
        </w:rPr>
        <w:t xml:space="preserve">Для обеспечения финансовой поддержки выполнения пунктов a), b), c) и d), выше, предлагается выделить </w:t>
      </w:r>
      <w:r w:rsidRPr="00A94D6A">
        <w:rPr>
          <w:b/>
          <w:bCs/>
          <w:lang w:val="ru-RU"/>
        </w:rPr>
        <w:t>1734 тыс. швейцарских франков</w:t>
      </w:r>
      <w:r w:rsidRPr="00A94D6A">
        <w:rPr>
          <w:lang w:val="ru-RU"/>
        </w:rPr>
        <w:t xml:space="preserve"> из сэкономленных в предыдущие годы средств, которые не были использованы для сбалансирования исполнения бюджета на 2023 год.</w:t>
      </w:r>
    </w:p>
    <w:p w14:paraId="29F1C453" w14:textId="77777777" w:rsidR="00BB4D9D" w:rsidRPr="00A94D6A" w:rsidRDefault="00BB4D9D" w:rsidP="008D02BC">
      <w:pPr>
        <w:pStyle w:val="Heading1"/>
        <w:rPr>
          <w:rFonts w:asciiTheme="minorHAnsi" w:eastAsia="SimSun" w:hAnsiTheme="minorHAnsi" w:cstheme="minorHAnsi"/>
          <w:szCs w:val="24"/>
          <w:lang w:val="ru-RU"/>
        </w:rPr>
      </w:pPr>
      <w:r w:rsidRPr="00A94D6A">
        <w:rPr>
          <w:lang w:val="ru-RU"/>
        </w:rPr>
        <w:t>4</w:t>
      </w:r>
      <w:r w:rsidRPr="00A94D6A">
        <w:rPr>
          <w:lang w:val="ru-RU"/>
        </w:rPr>
        <w:tab/>
        <w:t>Фонд развития информационно-коммуникационных технологий (ФРИКТ)</w:t>
      </w:r>
    </w:p>
    <w:p w14:paraId="3B055DD9" w14:textId="77777777" w:rsidR="00BB4D9D" w:rsidRPr="00A94D6A" w:rsidRDefault="00BB4D9D" w:rsidP="008D02BC">
      <w:pPr>
        <w:rPr>
          <w:rFonts w:asciiTheme="minorHAnsi" w:eastAsia="SimSun" w:hAnsiTheme="minorHAnsi" w:cstheme="minorHAnsi"/>
          <w:szCs w:val="24"/>
          <w:lang w:val="ru-RU"/>
        </w:rPr>
      </w:pPr>
      <w:r w:rsidRPr="00A94D6A">
        <w:rPr>
          <w:lang w:val="ru-RU"/>
        </w:rPr>
        <w:t>Что касается региональных инициатив, созданный в 1997 году Фонд развития информационно-коммуникационных технологий (</w:t>
      </w:r>
      <w:hyperlink r:id="rId7" w:history="1">
        <w:r w:rsidRPr="00A94D6A">
          <w:rPr>
            <w:rStyle w:val="Hyperlink"/>
            <w:lang w:val="ru-RU"/>
          </w:rPr>
          <w:t>ФРИКТ</w:t>
        </w:r>
      </w:hyperlink>
      <w:r w:rsidRPr="00A94D6A">
        <w:rPr>
          <w:lang w:val="ru-RU"/>
        </w:rPr>
        <w:t>) поддерживает реализацию проектов на основе партнерств с участием многих заинтересованных сторон, заключаемых между Государствами – Членами МСЭ, Членами Секторов, структурами государственного и частного секторов, многосторонними организациями, фондами, финансовыми учреждениями и организациями в области развития.</w:t>
      </w:r>
      <w:bookmarkStart w:id="7" w:name="dnote"/>
      <w:bookmarkEnd w:id="7"/>
    </w:p>
    <w:p w14:paraId="57EE226D" w14:textId="77777777" w:rsidR="00BB4D9D" w:rsidRPr="00A94D6A" w:rsidRDefault="00BB4D9D" w:rsidP="008D02BC">
      <w:pPr>
        <w:rPr>
          <w:rFonts w:asciiTheme="minorHAnsi" w:eastAsia="SimSun" w:hAnsiTheme="minorHAnsi" w:cstheme="minorHAnsi"/>
          <w:bCs/>
          <w:szCs w:val="24"/>
          <w:lang w:val="ru-RU"/>
        </w:rPr>
      </w:pPr>
      <w:bookmarkStart w:id="8" w:name="_Hlk65835106"/>
      <w:r w:rsidRPr="00A94D6A">
        <w:rPr>
          <w:lang w:val="ru-RU"/>
        </w:rPr>
        <w:t>Резолюция 11 Полномочной конференции о мероприятиях ITU Telecom была аннулирована на Полномочной конференции 2022 года (Бухарест, 2022 г.). ПК-22 также поручила Совету на его очередной сессии перевести остаток средств Оборотного выставочного фонда в Фонд развития ИКТ и поручить Генеральному секретарю и Директорам Бюро продолжать разработку инициатив, направленных на поощрение, расширение участия МСП и всех остальных заинтересованных сторон в крупных мероприятиях и форумах МСЭ, а также на содействие такому участию.</w:t>
      </w:r>
      <w:bookmarkStart w:id="9" w:name="_Hlk129942447"/>
      <w:bookmarkEnd w:id="8"/>
      <w:bookmarkEnd w:id="9"/>
    </w:p>
    <w:p w14:paraId="65AB8C35" w14:textId="1FCB0932" w:rsidR="00BB4D9D" w:rsidRPr="00A94D6A" w:rsidRDefault="00BB4D9D" w:rsidP="008D02BC">
      <w:pPr>
        <w:rPr>
          <w:rFonts w:asciiTheme="minorHAnsi" w:eastAsia="SimSun" w:hAnsiTheme="minorHAnsi" w:cstheme="minorBidi"/>
          <w:lang w:val="ru-RU"/>
        </w:rPr>
      </w:pPr>
      <w:r w:rsidRPr="00A94D6A">
        <w:rPr>
          <w:lang w:val="ru-RU"/>
        </w:rPr>
        <w:t xml:space="preserve">Ввиду этого Совету предлагается </w:t>
      </w:r>
      <w:r w:rsidRPr="00A94D6A">
        <w:rPr>
          <w:b/>
          <w:bCs/>
          <w:lang w:val="ru-RU"/>
        </w:rPr>
        <w:t>утвердить</w:t>
      </w:r>
      <w:r w:rsidRPr="00A94D6A">
        <w:rPr>
          <w:lang w:val="ru-RU"/>
        </w:rPr>
        <w:t xml:space="preserve"> перевод</w:t>
      </w:r>
      <w:r w:rsidRPr="00A94D6A">
        <w:rPr>
          <w:b/>
          <w:bCs/>
          <w:lang w:val="ru-RU"/>
        </w:rPr>
        <w:t xml:space="preserve"> 465 тыс. швейцарских франков</w:t>
      </w:r>
      <w:r w:rsidRPr="00A94D6A">
        <w:rPr>
          <w:lang w:val="ru-RU"/>
        </w:rPr>
        <w:t xml:space="preserve"> из ОВФ на счет движения капитала ФРИКТ. После этого перевода остаток средств во ФРИКТ составит</w:t>
      </w:r>
      <w:r w:rsidRPr="00A94D6A">
        <w:rPr>
          <w:b/>
          <w:bCs/>
          <w:lang w:val="ru-RU"/>
        </w:rPr>
        <w:t xml:space="preserve"> 5317</w:t>
      </w:r>
      <w:r w:rsidR="008D02BC" w:rsidRPr="00A94D6A">
        <w:rPr>
          <w:b/>
          <w:bCs/>
          <w:lang w:val="ru-RU"/>
        </w:rPr>
        <w:t> </w:t>
      </w:r>
      <w:r w:rsidRPr="00A94D6A">
        <w:rPr>
          <w:b/>
          <w:bCs/>
          <w:lang w:val="ru-RU"/>
        </w:rPr>
        <w:t>тыс. швейцарских франков</w:t>
      </w:r>
      <w:r w:rsidRPr="00A94D6A">
        <w:rPr>
          <w:lang w:val="ru-RU"/>
        </w:rPr>
        <w:t>. Более подробная информация содержится в Документе</w:t>
      </w:r>
      <w:r w:rsidR="008D02BC" w:rsidRPr="00A94D6A">
        <w:rPr>
          <w:lang w:val="ru-RU"/>
        </w:rPr>
        <w:t> </w:t>
      </w:r>
      <w:hyperlink r:id="rId8" w:history="1">
        <w:r w:rsidRPr="00A94D6A">
          <w:rPr>
            <w:rStyle w:val="Hyperlink"/>
            <w:rFonts w:asciiTheme="minorHAnsi" w:eastAsia="SimSun" w:hAnsiTheme="minorHAnsi" w:cstheme="minorBidi"/>
            <w:lang w:val="ru-RU"/>
          </w:rPr>
          <w:t>C24/34</w:t>
        </w:r>
      </w:hyperlink>
      <w:r w:rsidRPr="00A94D6A">
        <w:rPr>
          <w:lang w:val="ru-RU"/>
        </w:rPr>
        <w:t>.</w:t>
      </w:r>
    </w:p>
    <w:p w14:paraId="012EBA94" w14:textId="77777777" w:rsidR="00BB4D9D" w:rsidRPr="00A94D6A" w:rsidRDefault="00BB4D9D" w:rsidP="008D02BC">
      <w:pPr>
        <w:rPr>
          <w:lang w:val="ru-RU"/>
        </w:rPr>
      </w:pPr>
      <w:r w:rsidRPr="00A94D6A">
        <w:rPr>
          <w:lang w:val="ru-RU"/>
        </w:rPr>
        <w:t>Остаток средств в ОВФ должен использоваться для создания резерва для погашения всех финансовых обязательств ITU Telecom.</w:t>
      </w:r>
    </w:p>
    <w:p w14:paraId="0E466F60" w14:textId="3F2B5F9C" w:rsidR="008D02BC" w:rsidRPr="00A94D6A" w:rsidRDefault="008D02BC">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lang w:val="ru-RU"/>
        </w:rPr>
      </w:pPr>
      <w:r w:rsidRPr="00A94D6A">
        <w:rPr>
          <w:rFonts w:asciiTheme="minorHAnsi" w:eastAsia="SimSun" w:hAnsiTheme="minorHAnsi" w:cstheme="minorHAnsi"/>
          <w:szCs w:val="24"/>
          <w:lang w:val="ru-RU"/>
        </w:rPr>
        <w:br w:type="page"/>
      </w:r>
    </w:p>
    <w:p w14:paraId="78B873C3" w14:textId="77777777" w:rsidR="00BB4D9D" w:rsidRPr="00A94D6A" w:rsidRDefault="00BB4D9D" w:rsidP="005260E2">
      <w:pPr>
        <w:pStyle w:val="Heading1"/>
        <w:spacing w:after="120"/>
        <w:rPr>
          <w:lang w:val="ru-RU"/>
        </w:rPr>
      </w:pPr>
      <w:r w:rsidRPr="00A94D6A">
        <w:rPr>
          <w:lang w:val="ru-RU"/>
        </w:rPr>
        <w:lastRenderedPageBreak/>
        <w:t>5</w:t>
      </w:r>
      <w:r w:rsidRPr="00A94D6A">
        <w:rPr>
          <w:lang w:val="ru-RU"/>
        </w:rPr>
        <w:tab/>
        <w:t xml:space="preserve">Краткое </w:t>
      </w:r>
      <w:proofErr w:type="spellStart"/>
      <w:r w:rsidRPr="005260E2">
        <w:t>изложение</w:t>
      </w:r>
      <w:proofErr w:type="spellEnd"/>
      <w:r w:rsidRPr="00A94D6A">
        <w:rPr>
          <w:lang w:val="ru-RU"/>
        </w:rPr>
        <w:t xml:space="preserve"> предложения</w:t>
      </w:r>
    </w:p>
    <w:tbl>
      <w:tblPr>
        <w:tblW w:w="5000" w:type="pct"/>
        <w:tblLook w:val="04A0" w:firstRow="1" w:lastRow="0" w:firstColumn="1" w:lastColumn="0" w:noHBand="0" w:noVBand="1"/>
      </w:tblPr>
      <w:tblGrid>
        <w:gridCol w:w="7062"/>
        <w:gridCol w:w="1999"/>
      </w:tblGrid>
      <w:tr w:rsidR="00BB4D9D" w:rsidRPr="00A94D6A" w14:paraId="2F1056F4" w14:textId="77777777" w:rsidTr="008D02BC">
        <w:trPr>
          <w:trHeight w:val="320"/>
        </w:trPr>
        <w:tc>
          <w:tcPr>
            <w:tcW w:w="3897" w:type="pct"/>
            <w:tcBorders>
              <w:top w:val="single" w:sz="4" w:space="0" w:color="auto"/>
              <w:left w:val="single" w:sz="4" w:space="0" w:color="auto"/>
              <w:bottom w:val="single" w:sz="4" w:space="0" w:color="auto"/>
              <w:right w:val="single" w:sz="4" w:space="0" w:color="auto"/>
            </w:tcBorders>
            <w:shd w:val="clear" w:color="auto" w:fill="C0E6F5"/>
            <w:noWrap/>
            <w:vAlign w:val="bottom"/>
            <w:hideMark/>
          </w:tcPr>
          <w:p w14:paraId="00EABF68" w14:textId="77777777" w:rsidR="00BB4D9D" w:rsidRPr="00A94D6A" w:rsidRDefault="00BB4D9D" w:rsidP="00CA75B4">
            <w:pPr>
              <w:overflowPunct/>
              <w:autoSpaceDE/>
              <w:autoSpaceDN/>
              <w:adjustRightInd/>
              <w:spacing w:before="0"/>
              <w:textAlignment w:val="auto"/>
              <w:rPr>
                <w:rFonts w:asciiTheme="minorHAnsi" w:hAnsiTheme="minorHAnsi" w:cstheme="minorHAnsi"/>
                <w:b/>
                <w:bCs/>
                <w:color w:val="000000"/>
                <w:sz w:val="20"/>
                <w:lang w:val="ru-RU"/>
              </w:rPr>
            </w:pPr>
            <w:r w:rsidRPr="00A94D6A">
              <w:rPr>
                <w:b/>
                <w:bCs/>
                <w:sz w:val="20"/>
                <w:lang w:val="ru-RU"/>
              </w:rPr>
              <w:t>Планируемое распределение ресурсов</w:t>
            </w:r>
          </w:p>
        </w:tc>
        <w:tc>
          <w:tcPr>
            <w:tcW w:w="1103" w:type="pct"/>
            <w:tcBorders>
              <w:top w:val="single" w:sz="4" w:space="0" w:color="auto"/>
              <w:left w:val="nil"/>
              <w:bottom w:val="single" w:sz="4" w:space="0" w:color="auto"/>
              <w:right w:val="single" w:sz="4" w:space="0" w:color="auto"/>
            </w:tcBorders>
            <w:shd w:val="clear" w:color="auto" w:fill="C0E6F5"/>
            <w:noWrap/>
            <w:vAlign w:val="bottom"/>
            <w:hideMark/>
          </w:tcPr>
          <w:p w14:paraId="48BDA92F" w14:textId="77777777" w:rsidR="00BB4D9D" w:rsidRPr="00A94D6A" w:rsidRDefault="00BB4D9D" w:rsidP="00CA75B4">
            <w:pPr>
              <w:overflowPunct/>
              <w:autoSpaceDE/>
              <w:autoSpaceDN/>
              <w:adjustRightInd/>
              <w:spacing w:before="0"/>
              <w:jc w:val="right"/>
              <w:textAlignment w:val="auto"/>
              <w:rPr>
                <w:rFonts w:asciiTheme="minorHAnsi" w:hAnsiTheme="minorHAnsi" w:cstheme="minorHAnsi"/>
                <w:b/>
                <w:bCs/>
                <w:color w:val="000000"/>
                <w:sz w:val="20"/>
                <w:lang w:val="ru-RU"/>
              </w:rPr>
            </w:pPr>
            <w:r w:rsidRPr="00A94D6A">
              <w:rPr>
                <w:b/>
                <w:bCs/>
                <w:sz w:val="20"/>
                <w:lang w:val="ru-RU"/>
              </w:rPr>
              <w:t>Тыс. шв. фр.</w:t>
            </w:r>
          </w:p>
        </w:tc>
      </w:tr>
      <w:tr w:rsidR="00BB4D9D" w:rsidRPr="00A94D6A" w14:paraId="050F49BA" w14:textId="77777777" w:rsidTr="008D02BC">
        <w:trPr>
          <w:trHeight w:val="340"/>
        </w:trPr>
        <w:tc>
          <w:tcPr>
            <w:tcW w:w="3897" w:type="pct"/>
            <w:tcBorders>
              <w:top w:val="nil"/>
              <w:left w:val="single" w:sz="4" w:space="0" w:color="auto"/>
              <w:bottom w:val="single" w:sz="4" w:space="0" w:color="auto"/>
              <w:right w:val="single" w:sz="4" w:space="0" w:color="auto"/>
            </w:tcBorders>
            <w:shd w:val="clear" w:color="auto" w:fill="C1F0C8"/>
            <w:vAlign w:val="bottom"/>
            <w:hideMark/>
          </w:tcPr>
          <w:p w14:paraId="20E49CA5" w14:textId="77777777" w:rsidR="00BB4D9D" w:rsidRPr="00A94D6A" w:rsidRDefault="00BB4D9D" w:rsidP="00CA75B4">
            <w:pPr>
              <w:overflowPunct/>
              <w:autoSpaceDE/>
              <w:autoSpaceDN/>
              <w:adjustRightInd/>
              <w:spacing w:before="0"/>
              <w:textAlignment w:val="auto"/>
              <w:rPr>
                <w:rFonts w:asciiTheme="minorHAnsi" w:hAnsiTheme="minorHAnsi" w:cstheme="minorHAnsi"/>
                <w:color w:val="000000"/>
                <w:sz w:val="20"/>
                <w:lang w:val="ru-RU"/>
              </w:rPr>
            </w:pPr>
            <w:r w:rsidRPr="00A94D6A">
              <w:rPr>
                <w:sz w:val="20"/>
                <w:lang w:val="ru-RU"/>
              </w:rPr>
              <w:t>Выделение средств на работу после ВКР-23</w:t>
            </w:r>
          </w:p>
        </w:tc>
        <w:tc>
          <w:tcPr>
            <w:tcW w:w="1103" w:type="pct"/>
            <w:tcBorders>
              <w:top w:val="nil"/>
              <w:left w:val="nil"/>
              <w:bottom w:val="single" w:sz="4" w:space="0" w:color="auto"/>
              <w:right w:val="single" w:sz="4" w:space="0" w:color="auto"/>
            </w:tcBorders>
            <w:shd w:val="clear" w:color="auto" w:fill="C1F0C8"/>
            <w:noWrap/>
            <w:vAlign w:val="bottom"/>
            <w:hideMark/>
          </w:tcPr>
          <w:p w14:paraId="7D5A1CC9" w14:textId="14BE0914" w:rsidR="00BB4D9D" w:rsidRPr="00A94D6A" w:rsidRDefault="00BB4D9D" w:rsidP="00CA75B4">
            <w:pPr>
              <w:overflowPunct/>
              <w:autoSpaceDE/>
              <w:autoSpaceDN/>
              <w:adjustRightInd/>
              <w:spacing w:before="0"/>
              <w:jc w:val="right"/>
              <w:textAlignment w:val="auto"/>
              <w:rPr>
                <w:rFonts w:asciiTheme="minorHAnsi" w:hAnsiTheme="minorHAnsi" w:cstheme="minorHAnsi"/>
                <w:color w:val="000000"/>
                <w:sz w:val="20"/>
                <w:lang w:val="ru-RU"/>
              </w:rPr>
            </w:pPr>
            <w:r w:rsidRPr="00A94D6A">
              <w:rPr>
                <w:sz w:val="20"/>
                <w:lang w:val="ru-RU"/>
              </w:rPr>
              <w:t>1</w:t>
            </w:r>
            <w:r w:rsidR="008D02BC" w:rsidRPr="00A94D6A">
              <w:rPr>
                <w:sz w:val="20"/>
                <w:lang w:val="ru-RU"/>
              </w:rPr>
              <w:t> </w:t>
            </w:r>
            <w:r w:rsidRPr="00A94D6A">
              <w:rPr>
                <w:sz w:val="20"/>
                <w:lang w:val="ru-RU"/>
              </w:rPr>
              <w:t>423</w:t>
            </w:r>
          </w:p>
        </w:tc>
      </w:tr>
      <w:tr w:rsidR="00BB4D9D" w:rsidRPr="00A94D6A" w14:paraId="3A89618D" w14:textId="77777777" w:rsidTr="008D02BC">
        <w:trPr>
          <w:trHeight w:val="429"/>
        </w:trPr>
        <w:tc>
          <w:tcPr>
            <w:tcW w:w="3897" w:type="pct"/>
            <w:tcBorders>
              <w:top w:val="nil"/>
              <w:left w:val="single" w:sz="4" w:space="0" w:color="auto"/>
              <w:bottom w:val="single" w:sz="4" w:space="0" w:color="auto"/>
              <w:right w:val="single" w:sz="4" w:space="0" w:color="auto"/>
            </w:tcBorders>
            <w:shd w:val="clear" w:color="auto" w:fill="DAEEF3" w:themeFill="accent5" w:themeFillTint="33"/>
            <w:vAlign w:val="bottom"/>
            <w:hideMark/>
          </w:tcPr>
          <w:p w14:paraId="368C1E0B" w14:textId="77777777" w:rsidR="00BB4D9D" w:rsidRPr="00A94D6A" w:rsidRDefault="00BB4D9D" w:rsidP="00CA75B4">
            <w:pPr>
              <w:overflowPunct/>
              <w:autoSpaceDE/>
              <w:autoSpaceDN/>
              <w:adjustRightInd/>
              <w:spacing w:before="0"/>
              <w:textAlignment w:val="auto"/>
              <w:rPr>
                <w:rFonts w:asciiTheme="minorHAnsi" w:hAnsiTheme="minorHAnsi" w:cstheme="minorHAnsi"/>
                <w:color w:val="000000"/>
                <w:sz w:val="20"/>
                <w:lang w:val="ru-RU"/>
              </w:rPr>
            </w:pPr>
            <w:r w:rsidRPr="00A94D6A">
              <w:rPr>
                <w:sz w:val="20"/>
                <w:lang w:val="ru-RU"/>
              </w:rPr>
              <w:t>Выделение средств на реализацию дорожной карты трансформации МСЭ и дорожной карты совершенствования веб-сайта</w:t>
            </w:r>
          </w:p>
        </w:tc>
        <w:tc>
          <w:tcPr>
            <w:tcW w:w="1103" w:type="pct"/>
            <w:tcBorders>
              <w:top w:val="nil"/>
              <w:left w:val="nil"/>
              <w:bottom w:val="single" w:sz="4" w:space="0" w:color="auto"/>
              <w:right w:val="single" w:sz="4" w:space="0" w:color="auto"/>
            </w:tcBorders>
            <w:shd w:val="clear" w:color="auto" w:fill="DAEEF3" w:themeFill="accent5" w:themeFillTint="33"/>
            <w:noWrap/>
            <w:vAlign w:val="bottom"/>
            <w:hideMark/>
          </w:tcPr>
          <w:p w14:paraId="38694BB0" w14:textId="5CC1E012" w:rsidR="00BB4D9D" w:rsidRPr="00A94D6A" w:rsidRDefault="00BB4D9D" w:rsidP="00CA75B4">
            <w:pPr>
              <w:overflowPunct/>
              <w:autoSpaceDE/>
              <w:autoSpaceDN/>
              <w:adjustRightInd/>
              <w:spacing w:before="0"/>
              <w:jc w:val="right"/>
              <w:textAlignment w:val="auto"/>
              <w:rPr>
                <w:rFonts w:asciiTheme="minorHAnsi" w:hAnsiTheme="minorHAnsi" w:cstheme="minorHAnsi"/>
                <w:color w:val="000000"/>
                <w:sz w:val="20"/>
                <w:lang w:val="ru-RU"/>
              </w:rPr>
            </w:pPr>
            <w:r w:rsidRPr="00A94D6A">
              <w:rPr>
                <w:sz w:val="20"/>
                <w:lang w:val="ru-RU"/>
              </w:rPr>
              <w:t>1</w:t>
            </w:r>
            <w:r w:rsidR="008D02BC" w:rsidRPr="00A94D6A">
              <w:rPr>
                <w:sz w:val="20"/>
                <w:lang w:val="ru-RU"/>
              </w:rPr>
              <w:t> </w:t>
            </w:r>
            <w:r w:rsidRPr="00A94D6A">
              <w:rPr>
                <w:sz w:val="20"/>
                <w:lang w:val="ru-RU"/>
              </w:rPr>
              <w:t>354</w:t>
            </w:r>
          </w:p>
        </w:tc>
      </w:tr>
      <w:tr w:rsidR="00BB4D9D" w:rsidRPr="00A94D6A" w14:paraId="42D3F0A1" w14:textId="77777777" w:rsidTr="008D02BC">
        <w:trPr>
          <w:trHeight w:val="389"/>
        </w:trPr>
        <w:tc>
          <w:tcPr>
            <w:tcW w:w="3897" w:type="pct"/>
            <w:tcBorders>
              <w:top w:val="nil"/>
              <w:left w:val="single" w:sz="4" w:space="0" w:color="auto"/>
              <w:bottom w:val="single" w:sz="4" w:space="0" w:color="auto"/>
              <w:right w:val="single" w:sz="4" w:space="0" w:color="auto"/>
            </w:tcBorders>
            <w:shd w:val="clear" w:color="auto" w:fill="DAEEF3" w:themeFill="accent5" w:themeFillTint="33"/>
            <w:vAlign w:val="bottom"/>
          </w:tcPr>
          <w:p w14:paraId="4370240E" w14:textId="77777777" w:rsidR="00BB4D9D" w:rsidRPr="00A94D6A" w:rsidRDefault="00BB4D9D" w:rsidP="00CA75B4">
            <w:pPr>
              <w:overflowPunct/>
              <w:autoSpaceDE/>
              <w:autoSpaceDN/>
              <w:adjustRightInd/>
              <w:spacing w:before="0"/>
              <w:textAlignment w:val="auto"/>
              <w:rPr>
                <w:rFonts w:asciiTheme="minorHAnsi" w:hAnsiTheme="minorHAnsi" w:cstheme="minorHAnsi"/>
                <w:color w:val="000000" w:themeColor="text1"/>
                <w:sz w:val="20"/>
                <w:lang w:val="ru-RU"/>
              </w:rPr>
            </w:pPr>
            <w:r w:rsidRPr="00A94D6A">
              <w:rPr>
                <w:sz w:val="20"/>
                <w:lang w:val="ru-RU"/>
              </w:rPr>
              <w:t>Выделение средств на Программу "Молодые специалисты" (YPP)</w:t>
            </w:r>
          </w:p>
        </w:tc>
        <w:tc>
          <w:tcPr>
            <w:tcW w:w="1103" w:type="pct"/>
            <w:tcBorders>
              <w:top w:val="nil"/>
              <w:left w:val="nil"/>
              <w:bottom w:val="single" w:sz="4" w:space="0" w:color="auto"/>
              <w:right w:val="single" w:sz="4" w:space="0" w:color="auto"/>
            </w:tcBorders>
            <w:shd w:val="clear" w:color="auto" w:fill="DAEEF3" w:themeFill="accent5" w:themeFillTint="33"/>
            <w:noWrap/>
            <w:vAlign w:val="bottom"/>
          </w:tcPr>
          <w:p w14:paraId="40241204" w14:textId="77777777" w:rsidR="00BB4D9D" w:rsidRPr="00A94D6A" w:rsidRDefault="00BB4D9D" w:rsidP="00CA75B4">
            <w:pPr>
              <w:overflowPunct/>
              <w:autoSpaceDE/>
              <w:autoSpaceDN/>
              <w:adjustRightInd/>
              <w:spacing w:before="0"/>
              <w:jc w:val="right"/>
              <w:textAlignment w:val="auto"/>
              <w:rPr>
                <w:rFonts w:asciiTheme="minorHAnsi" w:hAnsiTheme="minorHAnsi" w:cstheme="minorHAnsi"/>
                <w:color w:val="000000"/>
                <w:sz w:val="20"/>
                <w:lang w:val="ru-RU"/>
              </w:rPr>
            </w:pPr>
            <w:r w:rsidRPr="00A94D6A">
              <w:rPr>
                <w:sz w:val="20"/>
                <w:lang w:val="ru-RU"/>
              </w:rPr>
              <w:t>300</w:t>
            </w:r>
          </w:p>
        </w:tc>
      </w:tr>
      <w:tr w:rsidR="00BB4D9D" w:rsidRPr="00A94D6A" w14:paraId="5DA3D3CC" w14:textId="77777777" w:rsidTr="008D02BC">
        <w:trPr>
          <w:trHeight w:val="423"/>
        </w:trPr>
        <w:tc>
          <w:tcPr>
            <w:tcW w:w="3897" w:type="pct"/>
            <w:tcBorders>
              <w:top w:val="nil"/>
              <w:left w:val="single" w:sz="4" w:space="0" w:color="auto"/>
              <w:bottom w:val="single" w:sz="4" w:space="0" w:color="auto"/>
              <w:right w:val="single" w:sz="4" w:space="0" w:color="auto"/>
            </w:tcBorders>
            <w:shd w:val="clear" w:color="auto" w:fill="DAEEF3" w:themeFill="accent5" w:themeFillTint="33"/>
            <w:vAlign w:val="bottom"/>
          </w:tcPr>
          <w:p w14:paraId="57C32DC6" w14:textId="77777777" w:rsidR="00BB4D9D" w:rsidRPr="00A94D6A" w:rsidRDefault="00BB4D9D" w:rsidP="00CA75B4">
            <w:pPr>
              <w:overflowPunct/>
              <w:autoSpaceDE/>
              <w:autoSpaceDN/>
              <w:adjustRightInd/>
              <w:spacing w:before="0"/>
              <w:textAlignment w:val="auto"/>
              <w:rPr>
                <w:rFonts w:asciiTheme="minorHAnsi" w:hAnsiTheme="minorHAnsi" w:cstheme="minorHAnsi"/>
                <w:color w:val="000000" w:themeColor="text1"/>
                <w:sz w:val="20"/>
                <w:lang w:val="ru-RU"/>
              </w:rPr>
            </w:pPr>
            <w:r w:rsidRPr="00A94D6A">
              <w:rPr>
                <w:sz w:val="20"/>
                <w:lang w:val="ru-RU"/>
              </w:rPr>
              <w:t>Выделение средств на подготовку к ВФПЭ-26</w:t>
            </w:r>
          </w:p>
        </w:tc>
        <w:tc>
          <w:tcPr>
            <w:tcW w:w="1103" w:type="pct"/>
            <w:tcBorders>
              <w:top w:val="nil"/>
              <w:left w:val="nil"/>
              <w:bottom w:val="single" w:sz="4" w:space="0" w:color="auto"/>
              <w:right w:val="single" w:sz="4" w:space="0" w:color="auto"/>
            </w:tcBorders>
            <w:shd w:val="clear" w:color="auto" w:fill="DAEEF3" w:themeFill="accent5" w:themeFillTint="33"/>
            <w:noWrap/>
            <w:vAlign w:val="bottom"/>
          </w:tcPr>
          <w:p w14:paraId="75BFE43C" w14:textId="77777777" w:rsidR="00BB4D9D" w:rsidRPr="00A94D6A" w:rsidRDefault="00BB4D9D" w:rsidP="00CA75B4">
            <w:pPr>
              <w:overflowPunct/>
              <w:autoSpaceDE/>
              <w:autoSpaceDN/>
              <w:adjustRightInd/>
              <w:spacing w:before="0"/>
              <w:jc w:val="right"/>
              <w:textAlignment w:val="auto"/>
              <w:rPr>
                <w:rFonts w:asciiTheme="minorHAnsi" w:hAnsiTheme="minorHAnsi" w:cstheme="minorHAnsi"/>
                <w:color w:val="000000"/>
                <w:sz w:val="20"/>
                <w:lang w:val="ru-RU"/>
              </w:rPr>
            </w:pPr>
            <w:r w:rsidRPr="00A94D6A">
              <w:rPr>
                <w:sz w:val="20"/>
                <w:lang w:val="ru-RU"/>
              </w:rPr>
              <w:t>80</w:t>
            </w:r>
          </w:p>
        </w:tc>
      </w:tr>
      <w:tr w:rsidR="00BB4D9D" w:rsidRPr="00A94D6A" w14:paraId="79DE4481" w14:textId="77777777" w:rsidTr="008D02BC">
        <w:trPr>
          <w:trHeight w:val="680"/>
        </w:trPr>
        <w:tc>
          <w:tcPr>
            <w:tcW w:w="3897" w:type="pct"/>
            <w:tcBorders>
              <w:top w:val="nil"/>
              <w:left w:val="single" w:sz="4" w:space="0" w:color="auto"/>
              <w:bottom w:val="nil"/>
              <w:right w:val="single" w:sz="4" w:space="0" w:color="auto"/>
            </w:tcBorders>
            <w:shd w:val="clear" w:color="auto" w:fill="FBE2D5"/>
            <w:vAlign w:val="bottom"/>
            <w:hideMark/>
          </w:tcPr>
          <w:p w14:paraId="710118A4" w14:textId="77777777" w:rsidR="00BB4D9D" w:rsidRPr="00A94D6A" w:rsidRDefault="00BB4D9D" w:rsidP="00CA75B4">
            <w:pPr>
              <w:overflowPunct/>
              <w:autoSpaceDE/>
              <w:autoSpaceDN/>
              <w:adjustRightInd/>
              <w:spacing w:before="0"/>
              <w:textAlignment w:val="auto"/>
              <w:rPr>
                <w:rFonts w:asciiTheme="minorHAnsi" w:hAnsiTheme="minorHAnsi" w:cstheme="minorHAnsi"/>
                <w:color w:val="000000"/>
                <w:sz w:val="20"/>
                <w:lang w:val="ru-RU"/>
              </w:rPr>
            </w:pPr>
            <w:r w:rsidRPr="00A94D6A">
              <w:rPr>
                <w:sz w:val="20"/>
                <w:lang w:val="ru-RU"/>
              </w:rPr>
              <w:t>Перевод средств из ОВФ в Фонд развития информационно-коммуникационных технологий (ФРИКТ)</w:t>
            </w:r>
          </w:p>
        </w:tc>
        <w:tc>
          <w:tcPr>
            <w:tcW w:w="1103" w:type="pct"/>
            <w:tcBorders>
              <w:top w:val="nil"/>
              <w:left w:val="nil"/>
              <w:bottom w:val="nil"/>
              <w:right w:val="single" w:sz="4" w:space="0" w:color="auto"/>
            </w:tcBorders>
            <w:shd w:val="clear" w:color="auto" w:fill="FBE2D5"/>
            <w:noWrap/>
            <w:vAlign w:val="bottom"/>
            <w:hideMark/>
          </w:tcPr>
          <w:p w14:paraId="521B3C1F" w14:textId="77777777" w:rsidR="00BB4D9D" w:rsidRPr="00A94D6A" w:rsidRDefault="00BB4D9D" w:rsidP="00CA75B4">
            <w:pPr>
              <w:overflowPunct/>
              <w:autoSpaceDE/>
              <w:autoSpaceDN/>
              <w:adjustRightInd/>
              <w:spacing w:before="0"/>
              <w:jc w:val="right"/>
              <w:textAlignment w:val="auto"/>
              <w:rPr>
                <w:rFonts w:asciiTheme="minorHAnsi" w:hAnsiTheme="minorHAnsi" w:cstheme="minorHAnsi"/>
                <w:color w:val="000000"/>
                <w:sz w:val="20"/>
                <w:lang w:val="ru-RU"/>
              </w:rPr>
            </w:pPr>
            <w:r w:rsidRPr="00A94D6A">
              <w:rPr>
                <w:sz w:val="20"/>
                <w:lang w:val="ru-RU"/>
              </w:rPr>
              <w:t>465</w:t>
            </w:r>
          </w:p>
        </w:tc>
      </w:tr>
      <w:tr w:rsidR="00BB4D9D" w:rsidRPr="00A94D6A" w14:paraId="5E693101" w14:textId="77777777" w:rsidTr="008D02BC">
        <w:trPr>
          <w:trHeight w:val="320"/>
        </w:trPr>
        <w:tc>
          <w:tcPr>
            <w:tcW w:w="3897" w:type="pct"/>
            <w:tcBorders>
              <w:top w:val="single" w:sz="4" w:space="0" w:color="auto"/>
              <w:left w:val="single" w:sz="4" w:space="0" w:color="auto"/>
              <w:bottom w:val="single" w:sz="4" w:space="0" w:color="auto"/>
              <w:right w:val="single" w:sz="4" w:space="0" w:color="auto"/>
            </w:tcBorders>
            <w:shd w:val="clear" w:color="auto" w:fill="C0E6F5"/>
            <w:noWrap/>
            <w:vAlign w:val="bottom"/>
            <w:hideMark/>
          </w:tcPr>
          <w:p w14:paraId="5EF7017F" w14:textId="77777777" w:rsidR="00BB4D9D" w:rsidRPr="00A94D6A" w:rsidRDefault="00BB4D9D" w:rsidP="00CA75B4">
            <w:pPr>
              <w:overflowPunct/>
              <w:autoSpaceDE/>
              <w:autoSpaceDN/>
              <w:adjustRightInd/>
              <w:spacing w:before="0"/>
              <w:textAlignment w:val="auto"/>
              <w:rPr>
                <w:rFonts w:asciiTheme="minorHAnsi" w:hAnsiTheme="minorHAnsi" w:cstheme="minorHAnsi"/>
                <w:b/>
                <w:bCs/>
                <w:color w:val="000000"/>
                <w:sz w:val="20"/>
                <w:lang w:val="ru-RU"/>
              </w:rPr>
            </w:pPr>
            <w:r w:rsidRPr="00A94D6A">
              <w:rPr>
                <w:b/>
                <w:bCs/>
                <w:sz w:val="20"/>
                <w:lang w:val="ru-RU"/>
              </w:rPr>
              <w:t>Итого</w:t>
            </w:r>
          </w:p>
        </w:tc>
        <w:tc>
          <w:tcPr>
            <w:tcW w:w="1103" w:type="pct"/>
            <w:tcBorders>
              <w:top w:val="single" w:sz="4" w:space="0" w:color="auto"/>
              <w:left w:val="nil"/>
              <w:bottom w:val="single" w:sz="4" w:space="0" w:color="auto"/>
              <w:right w:val="single" w:sz="4" w:space="0" w:color="auto"/>
            </w:tcBorders>
            <w:shd w:val="clear" w:color="auto" w:fill="C0E6F5"/>
            <w:noWrap/>
            <w:vAlign w:val="bottom"/>
            <w:hideMark/>
          </w:tcPr>
          <w:p w14:paraId="4501500F" w14:textId="5815F0C0" w:rsidR="00BB4D9D" w:rsidRPr="00A94D6A" w:rsidRDefault="00BB4D9D" w:rsidP="00CA75B4">
            <w:pPr>
              <w:overflowPunct/>
              <w:autoSpaceDE/>
              <w:autoSpaceDN/>
              <w:adjustRightInd/>
              <w:spacing w:before="0"/>
              <w:jc w:val="right"/>
              <w:textAlignment w:val="auto"/>
              <w:rPr>
                <w:rFonts w:asciiTheme="minorHAnsi" w:hAnsiTheme="minorHAnsi" w:cstheme="minorHAnsi"/>
                <w:b/>
                <w:bCs/>
                <w:color w:val="000000"/>
                <w:sz w:val="20"/>
                <w:lang w:val="ru-RU"/>
              </w:rPr>
            </w:pPr>
            <w:r w:rsidRPr="00A94D6A">
              <w:rPr>
                <w:b/>
                <w:bCs/>
                <w:sz w:val="20"/>
                <w:lang w:val="ru-RU"/>
              </w:rPr>
              <w:t>3</w:t>
            </w:r>
            <w:r w:rsidR="008D02BC" w:rsidRPr="00A94D6A">
              <w:rPr>
                <w:b/>
                <w:bCs/>
                <w:sz w:val="20"/>
                <w:lang w:val="ru-RU"/>
              </w:rPr>
              <w:t> </w:t>
            </w:r>
            <w:r w:rsidRPr="00A94D6A">
              <w:rPr>
                <w:b/>
                <w:bCs/>
                <w:sz w:val="20"/>
                <w:lang w:val="ru-RU"/>
              </w:rPr>
              <w:t>622</w:t>
            </w:r>
          </w:p>
        </w:tc>
      </w:tr>
    </w:tbl>
    <w:p w14:paraId="0489E03D" w14:textId="596F0561" w:rsidR="00BB4D9D" w:rsidRPr="00A94D6A" w:rsidRDefault="00BB4D9D" w:rsidP="00BB4D9D">
      <w:pPr>
        <w:tabs>
          <w:tab w:val="left" w:pos="709"/>
        </w:tabs>
        <w:snapToGrid w:val="0"/>
        <w:spacing w:after="120"/>
        <w:jc w:val="both"/>
        <w:rPr>
          <w:rFonts w:asciiTheme="minorHAnsi" w:eastAsiaTheme="minorEastAsia" w:hAnsiTheme="minorHAnsi" w:cstheme="minorBidi"/>
          <w:lang w:val="ru-RU"/>
        </w:rPr>
      </w:pPr>
      <w:r w:rsidRPr="00A94D6A">
        <w:rPr>
          <w:lang w:val="ru-RU"/>
        </w:rPr>
        <w:t>В случае возникновения каких-либо дополнительных бюджетных последствий в результате решений ВАСЭ-24 эти потребности в дополнительных ресурсах будут оценены и сообщены Совету 2025 года для рассмотрения и принятия решения, в случае необходимости.</w:t>
      </w:r>
    </w:p>
    <w:p w14:paraId="386C34B7" w14:textId="77777777" w:rsidR="00BB4D9D" w:rsidRPr="00A94D6A" w:rsidRDefault="00BB4D9D" w:rsidP="00BB4D9D">
      <w:pPr>
        <w:tabs>
          <w:tab w:val="left" w:pos="709"/>
        </w:tabs>
        <w:snapToGrid w:val="0"/>
        <w:spacing w:before="720"/>
        <w:jc w:val="both"/>
        <w:rPr>
          <w:rFonts w:asciiTheme="minorHAnsi" w:eastAsiaTheme="minorEastAsia" w:hAnsiTheme="minorHAnsi" w:cstheme="minorBidi"/>
          <w:b/>
          <w:bCs/>
          <w:i/>
          <w:iCs/>
          <w:lang w:val="ru-RU"/>
        </w:rPr>
      </w:pPr>
      <w:r w:rsidRPr="00A94D6A">
        <w:rPr>
          <w:b/>
          <w:bCs/>
          <w:i/>
          <w:iCs/>
          <w:lang w:val="ru-RU"/>
        </w:rPr>
        <w:t>Приложение: 1</w:t>
      </w:r>
    </w:p>
    <w:p w14:paraId="2A2F1EEF" w14:textId="77777777" w:rsidR="00BB4D9D" w:rsidRPr="00A94D6A" w:rsidRDefault="00BB4D9D" w:rsidP="00BB4D9D">
      <w:pPr>
        <w:overflowPunct/>
        <w:autoSpaceDE/>
        <w:autoSpaceDN/>
        <w:adjustRightInd/>
        <w:spacing w:before="0"/>
        <w:textAlignment w:val="auto"/>
        <w:rPr>
          <w:rFonts w:asciiTheme="minorHAnsi" w:eastAsiaTheme="minorEastAsia" w:hAnsiTheme="minorHAnsi" w:cstheme="minorBidi"/>
          <w:lang w:val="ru-RU" w:eastAsia="zh-CN"/>
        </w:rPr>
      </w:pPr>
      <w:r w:rsidRPr="00A94D6A">
        <w:rPr>
          <w:rFonts w:asciiTheme="minorHAnsi" w:eastAsiaTheme="minorEastAsia" w:hAnsiTheme="minorHAnsi" w:cstheme="minorBidi"/>
          <w:lang w:val="ru-RU" w:eastAsia="zh-CN"/>
        </w:rPr>
        <w:br w:type="page"/>
      </w:r>
    </w:p>
    <w:p w14:paraId="6CC2711E" w14:textId="77777777" w:rsidR="00BB4D9D" w:rsidRPr="00A94D6A" w:rsidRDefault="00BB4D9D" w:rsidP="00BB4D9D">
      <w:pPr>
        <w:pStyle w:val="AnnexNo"/>
        <w:rPr>
          <w:rStyle w:val="normaltextrun"/>
          <w:rFonts w:cs="Calibri"/>
          <w:szCs w:val="28"/>
          <w:lang w:val="ru-RU"/>
        </w:rPr>
      </w:pPr>
      <w:bookmarkStart w:id="10" w:name="Annex"/>
      <w:r w:rsidRPr="00A94D6A">
        <w:rPr>
          <w:lang w:val="ru-RU"/>
        </w:rPr>
        <w:lastRenderedPageBreak/>
        <w:t>ПРИЛОЖЕНИЕ</w:t>
      </w:r>
      <w:bookmarkEnd w:id="10"/>
    </w:p>
    <w:p w14:paraId="7A7A71DF" w14:textId="77777777" w:rsidR="00BB4D9D" w:rsidRPr="00A94D6A" w:rsidRDefault="00BB4D9D" w:rsidP="00BB4D9D">
      <w:pPr>
        <w:pStyle w:val="AnnexNo"/>
        <w:rPr>
          <w:rFonts w:asciiTheme="minorHAnsi" w:hAnsiTheme="minorHAnsi" w:cstheme="minorHAnsi"/>
          <w:szCs w:val="28"/>
          <w:lang w:val="ru-RU"/>
        </w:rPr>
      </w:pPr>
      <w:r w:rsidRPr="00A94D6A">
        <w:rPr>
          <w:lang w:val="ru-RU"/>
        </w:rPr>
        <w:t>ПРОЕКТ НОВОЙ РЕЗОЛЮЦИИ [...]</w:t>
      </w:r>
    </w:p>
    <w:p w14:paraId="466F8075" w14:textId="77777777" w:rsidR="00BB4D9D" w:rsidRPr="00A94D6A" w:rsidRDefault="00BB4D9D" w:rsidP="00BB4D9D">
      <w:pPr>
        <w:pStyle w:val="Annextitle"/>
        <w:rPr>
          <w:rStyle w:val="normaltextrun"/>
          <w:lang w:val="ru-RU"/>
        </w:rPr>
      </w:pPr>
      <w:r w:rsidRPr="00A94D6A">
        <w:rPr>
          <w:lang w:val="ru-RU"/>
        </w:rPr>
        <w:t>Распределение средств, сэкономленных при исполнении бюджета на 2023 год и в рамках Оборотного выставочного фонда</w:t>
      </w:r>
    </w:p>
    <w:p w14:paraId="3E9FD980" w14:textId="77777777" w:rsidR="00BB4D9D" w:rsidRPr="00A94D6A" w:rsidRDefault="00BB4D9D" w:rsidP="00BB4D9D">
      <w:pPr>
        <w:pStyle w:val="Normalaftertitle"/>
        <w:rPr>
          <w:rStyle w:val="eop"/>
          <w:rFonts w:cs="Calibri"/>
          <w:lang w:val="ru-RU"/>
        </w:rPr>
      </w:pPr>
      <w:r w:rsidRPr="00A94D6A">
        <w:rPr>
          <w:lang w:val="ru-RU"/>
        </w:rPr>
        <w:t>Совет МСЭ,</w:t>
      </w:r>
    </w:p>
    <w:p w14:paraId="1567EAE7" w14:textId="77777777" w:rsidR="00BB4D9D" w:rsidRPr="00A94D6A" w:rsidRDefault="00BB4D9D" w:rsidP="00BB4D9D">
      <w:pPr>
        <w:pStyle w:val="Call"/>
        <w:rPr>
          <w:rStyle w:val="eop"/>
          <w:rFonts w:cs="Calibri"/>
          <w:i w:val="0"/>
          <w:iCs/>
          <w:lang w:val="ru-RU"/>
        </w:rPr>
      </w:pPr>
      <w:r w:rsidRPr="00A94D6A">
        <w:rPr>
          <w:lang w:val="ru-RU"/>
        </w:rPr>
        <w:t>приняв во внимание</w:t>
      </w:r>
    </w:p>
    <w:p w14:paraId="4EAB6CDE" w14:textId="77777777" w:rsidR="00BB4D9D" w:rsidRPr="00A94D6A" w:rsidRDefault="00BB4D9D" w:rsidP="00BB4D9D">
      <w:pPr>
        <w:rPr>
          <w:rFonts w:asciiTheme="minorHAnsi" w:hAnsiTheme="minorHAnsi" w:cstheme="minorHAnsi"/>
          <w:szCs w:val="24"/>
          <w:lang w:val="ru-RU"/>
        </w:rPr>
      </w:pPr>
      <w:r w:rsidRPr="00A94D6A">
        <w:rPr>
          <w:lang w:val="ru-RU"/>
        </w:rPr>
        <w:t>средства, сэкономленные при исполнении бюджета на 2023 год (результат), сумма которых составила 1423 тыс. швейцарских франков, плюс 1734 тыс. швейцарских франков за счет экономии за предыдущий год, не использованных для сбалансирования исполнения бюджета на 2023 год,</w:t>
      </w:r>
    </w:p>
    <w:p w14:paraId="217C6F65" w14:textId="77777777" w:rsidR="00BB4D9D" w:rsidRPr="00A94D6A" w:rsidRDefault="00BB4D9D" w:rsidP="00BB4D9D">
      <w:pPr>
        <w:pStyle w:val="Call"/>
        <w:rPr>
          <w:rFonts w:asciiTheme="minorHAnsi" w:hAnsiTheme="minorHAnsi" w:cstheme="minorHAnsi"/>
          <w:szCs w:val="24"/>
          <w:lang w:val="ru-RU"/>
        </w:rPr>
      </w:pPr>
      <w:r w:rsidRPr="00A94D6A">
        <w:rPr>
          <w:lang w:val="ru-RU"/>
        </w:rPr>
        <w:t>приняв во внимание далее</w:t>
      </w:r>
    </w:p>
    <w:p w14:paraId="3DCA3B00" w14:textId="77777777" w:rsidR="00BB4D9D" w:rsidRPr="00A94D6A" w:rsidRDefault="00BB4D9D" w:rsidP="00BB4D9D">
      <w:pPr>
        <w:rPr>
          <w:rStyle w:val="normaltextrun"/>
          <w:rFonts w:cs="Calibri"/>
          <w:i/>
          <w:iCs/>
          <w:lang w:val="ru-RU"/>
        </w:rPr>
      </w:pPr>
      <w:r w:rsidRPr="00A94D6A">
        <w:rPr>
          <w:lang w:val="ru-RU"/>
        </w:rPr>
        <w:t>остаток средств Оборотного выставочного фонда (ОВФ) и отчет Генерального секретаря о состоянии Фонда развития информационно-коммуникационных технологий (ФРИКТ),</w:t>
      </w:r>
    </w:p>
    <w:p w14:paraId="12464984" w14:textId="77777777" w:rsidR="00BB4D9D" w:rsidRPr="00A94D6A" w:rsidRDefault="00BB4D9D" w:rsidP="00BB4D9D">
      <w:pPr>
        <w:pStyle w:val="Call"/>
        <w:rPr>
          <w:rStyle w:val="eop"/>
          <w:rFonts w:cs="Calibri"/>
          <w:i w:val="0"/>
          <w:iCs/>
          <w:lang w:val="ru-RU"/>
        </w:rPr>
      </w:pPr>
      <w:r w:rsidRPr="00A94D6A">
        <w:rPr>
          <w:lang w:val="ru-RU"/>
        </w:rPr>
        <w:t>решает</w:t>
      </w:r>
    </w:p>
    <w:p w14:paraId="2D7F109D" w14:textId="0BF709B2" w:rsidR="00BB4D9D" w:rsidRPr="00A94D6A" w:rsidRDefault="00BB4D9D" w:rsidP="00BB4D9D">
      <w:pPr>
        <w:rPr>
          <w:rStyle w:val="normaltextrun"/>
          <w:rFonts w:cs="Calibri"/>
          <w:szCs w:val="24"/>
          <w:lang w:val="ru-RU"/>
        </w:rPr>
      </w:pPr>
      <w:r w:rsidRPr="00A94D6A">
        <w:rPr>
          <w:lang w:val="ru-RU"/>
        </w:rPr>
        <w:t>направить положительное сальдо бюджета на 2023 год на выполнение решений ВКР-23 (1423</w:t>
      </w:r>
      <w:r w:rsidR="008D02BC" w:rsidRPr="00A94D6A">
        <w:rPr>
          <w:lang w:val="ru-RU"/>
        </w:rPr>
        <w:t> </w:t>
      </w:r>
      <w:r w:rsidRPr="00A94D6A">
        <w:rPr>
          <w:lang w:val="ru-RU"/>
        </w:rPr>
        <w:t>тыс. швейцарских франков), выделить средства, сэкономленные за предыдущие годы, на реализацию дорожной карты трансформации МСЭ, в том числе на реализацию дорожной карты совершенствования веб-сайта, Программу "Молодые специалисты" (YPP) и подготовку к ВФПЭ-26 (1734 тыс. швейцарских франков), а также перевести сумму в размере 465</w:t>
      </w:r>
      <w:r w:rsidR="008D02BC" w:rsidRPr="00A94D6A">
        <w:rPr>
          <w:lang w:val="ru-RU"/>
        </w:rPr>
        <w:t> </w:t>
      </w:r>
      <w:r w:rsidRPr="00A94D6A">
        <w:rPr>
          <w:lang w:val="ru-RU"/>
        </w:rPr>
        <w:t>тыс.</w:t>
      </w:r>
      <w:r w:rsidR="008D02BC" w:rsidRPr="00A94D6A">
        <w:rPr>
          <w:lang w:val="ru-RU"/>
        </w:rPr>
        <w:t> </w:t>
      </w:r>
      <w:r w:rsidRPr="00A94D6A">
        <w:rPr>
          <w:lang w:val="ru-RU"/>
        </w:rPr>
        <w:t>швейцарских франков из ОВФ во ФРИКТ.</w:t>
      </w:r>
    </w:p>
    <w:p w14:paraId="0C3ED172" w14:textId="77777777" w:rsidR="00BB4D9D" w:rsidRPr="00A94D6A" w:rsidRDefault="00BB4D9D" w:rsidP="00BB4D9D">
      <w:pPr>
        <w:spacing w:before="720"/>
        <w:jc w:val="center"/>
        <w:rPr>
          <w:lang w:val="ru-RU"/>
        </w:rPr>
      </w:pPr>
      <w:r w:rsidRPr="00A94D6A">
        <w:rPr>
          <w:lang w:val="ru-RU"/>
        </w:rPr>
        <w:t>______________</w:t>
      </w:r>
    </w:p>
    <w:sectPr w:rsidR="00BB4D9D" w:rsidRPr="00A94D6A" w:rsidSect="00BB4D9D">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5235" w14:textId="77777777" w:rsidR="00BB4D9D" w:rsidRDefault="00BB4D9D">
      <w:r>
        <w:separator/>
      </w:r>
    </w:p>
  </w:endnote>
  <w:endnote w:type="continuationSeparator" w:id="0">
    <w:p w14:paraId="3026EFFA" w14:textId="77777777" w:rsidR="00BB4D9D" w:rsidRDefault="00BB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40940464" w14:textId="77777777" w:rsidTr="00E31DCE">
      <w:trPr>
        <w:jc w:val="center"/>
      </w:trPr>
      <w:tc>
        <w:tcPr>
          <w:tcW w:w="1803" w:type="dxa"/>
          <w:vAlign w:val="center"/>
        </w:tcPr>
        <w:p w14:paraId="4DCE500E" w14:textId="163ED37E" w:rsidR="00672F8A" w:rsidRDefault="00846AD5" w:rsidP="00672F8A">
          <w:pPr>
            <w:pStyle w:val="Header"/>
            <w:jc w:val="left"/>
            <w:rPr>
              <w:noProof/>
            </w:rPr>
          </w:pPr>
          <w:r>
            <w:rPr>
              <w:noProof/>
            </w:rPr>
            <w:t>R</w:t>
          </w:r>
          <w:r w:rsidR="00BB4D9D" w:rsidRPr="00BB4D9D">
            <w:rPr>
              <w:noProof/>
            </w:rPr>
            <w:t>2400548</w:t>
          </w:r>
        </w:p>
      </w:tc>
      <w:tc>
        <w:tcPr>
          <w:tcW w:w="8261" w:type="dxa"/>
        </w:tcPr>
        <w:p w14:paraId="7EE20984" w14:textId="73A9346E"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BB4D9D">
            <w:rPr>
              <w:bCs/>
              <w:lang w:val="ru-RU"/>
            </w:rPr>
            <w:t>24</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0979387D"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78EA3BE8" w14:textId="77777777" w:rsidTr="00E31DCE">
      <w:trPr>
        <w:jc w:val="center"/>
      </w:trPr>
      <w:tc>
        <w:tcPr>
          <w:tcW w:w="1803" w:type="dxa"/>
          <w:vAlign w:val="center"/>
        </w:tcPr>
        <w:p w14:paraId="2D77F3A0" w14:textId="77777777" w:rsidR="00672F8A" w:rsidRDefault="00672F8A" w:rsidP="00672F8A">
          <w:pPr>
            <w:pStyle w:val="Header"/>
            <w:jc w:val="left"/>
            <w:rPr>
              <w:noProof/>
            </w:rPr>
          </w:pPr>
          <w:r w:rsidRPr="00660449">
            <w:rPr>
              <w:color w:val="0563C1"/>
              <w:szCs w:val="14"/>
            </w:rPr>
            <w:t>www.itu.int/council</w:t>
          </w:r>
        </w:p>
      </w:tc>
      <w:tc>
        <w:tcPr>
          <w:tcW w:w="8261" w:type="dxa"/>
        </w:tcPr>
        <w:p w14:paraId="6DC9FC8A" w14:textId="1DB34C03"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BB4D9D">
            <w:rPr>
              <w:bCs/>
              <w:lang w:val="ru-RU"/>
            </w:rPr>
            <w:t>19</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4D092433"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E056" w14:textId="77777777" w:rsidR="00BB4D9D" w:rsidRDefault="00BB4D9D">
      <w:r>
        <w:t>____________________</w:t>
      </w:r>
    </w:p>
  </w:footnote>
  <w:footnote w:type="continuationSeparator" w:id="0">
    <w:p w14:paraId="5E3F6DAD" w14:textId="77777777" w:rsidR="00BB4D9D" w:rsidRDefault="00BB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7A241224" w14:textId="77777777" w:rsidTr="00E31DCE">
      <w:trPr>
        <w:trHeight w:val="1104"/>
        <w:jc w:val="center"/>
      </w:trPr>
      <w:tc>
        <w:tcPr>
          <w:tcW w:w="4390" w:type="dxa"/>
          <w:vAlign w:val="center"/>
        </w:tcPr>
        <w:p w14:paraId="55FCE970" w14:textId="77777777" w:rsidR="00796BD3" w:rsidRPr="009621F8" w:rsidRDefault="00660449" w:rsidP="00796BD3">
          <w:pPr>
            <w:pStyle w:val="Header"/>
            <w:jc w:val="left"/>
            <w:rPr>
              <w:rFonts w:ascii="Arial" w:hAnsi="Arial" w:cs="Arial"/>
              <w:b/>
              <w:bCs/>
              <w:color w:val="009CD6"/>
              <w:sz w:val="36"/>
              <w:szCs w:val="36"/>
            </w:rPr>
          </w:pPr>
          <w:bookmarkStart w:id="11" w:name="_Hlk133422111"/>
          <w:r>
            <w:rPr>
              <w:noProof/>
            </w:rPr>
            <w:drawing>
              <wp:inline distT="0" distB="0" distL="0" distR="0" wp14:anchorId="143E9DB4" wp14:editId="4134AB9A">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62945696" w14:textId="77777777" w:rsidR="00796BD3" w:rsidRDefault="00796BD3" w:rsidP="00796BD3">
          <w:pPr>
            <w:pStyle w:val="Header"/>
            <w:jc w:val="right"/>
            <w:rPr>
              <w:rFonts w:ascii="Arial" w:hAnsi="Arial" w:cs="Arial"/>
              <w:b/>
              <w:bCs/>
              <w:color w:val="009CD6"/>
              <w:szCs w:val="18"/>
            </w:rPr>
          </w:pPr>
        </w:p>
        <w:p w14:paraId="6FCA9DB8" w14:textId="77777777" w:rsidR="00796BD3" w:rsidRDefault="00796BD3" w:rsidP="00796BD3">
          <w:pPr>
            <w:pStyle w:val="Header"/>
            <w:jc w:val="right"/>
            <w:rPr>
              <w:rFonts w:ascii="Arial" w:hAnsi="Arial" w:cs="Arial"/>
              <w:b/>
              <w:bCs/>
              <w:color w:val="009CD6"/>
              <w:szCs w:val="18"/>
            </w:rPr>
          </w:pPr>
        </w:p>
        <w:p w14:paraId="4B1184E5"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4D8DDD2"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CA8090A" wp14:editId="756F9328">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746B8"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80E82"/>
    <w:rsid w:val="000B2DE7"/>
    <w:rsid w:val="000E568E"/>
    <w:rsid w:val="00130AEB"/>
    <w:rsid w:val="0014734F"/>
    <w:rsid w:val="0015710D"/>
    <w:rsid w:val="00163A32"/>
    <w:rsid w:val="00165D06"/>
    <w:rsid w:val="00192B41"/>
    <w:rsid w:val="001B7B09"/>
    <w:rsid w:val="001E6719"/>
    <w:rsid w:val="001E7F50"/>
    <w:rsid w:val="00225368"/>
    <w:rsid w:val="00227FF0"/>
    <w:rsid w:val="0027180C"/>
    <w:rsid w:val="00291EB6"/>
    <w:rsid w:val="002B4AEF"/>
    <w:rsid w:val="002D2F57"/>
    <w:rsid w:val="002D48C5"/>
    <w:rsid w:val="002F4F38"/>
    <w:rsid w:val="0033025A"/>
    <w:rsid w:val="003C7C33"/>
    <w:rsid w:val="003F099E"/>
    <w:rsid w:val="003F235E"/>
    <w:rsid w:val="004023E0"/>
    <w:rsid w:val="00403DD8"/>
    <w:rsid w:val="00442515"/>
    <w:rsid w:val="0045686C"/>
    <w:rsid w:val="004918C4"/>
    <w:rsid w:val="00497703"/>
    <w:rsid w:val="004A0374"/>
    <w:rsid w:val="004A45B5"/>
    <w:rsid w:val="004D0129"/>
    <w:rsid w:val="005260E2"/>
    <w:rsid w:val="005A64D5"/>
    <w:rsid w:val="005B3DEC"/>
    <w:rsid w:val="00601994"/>
    <w:rsid w:val="00660449"/>
    <w:rsid w:val="00672F8A"/>
    <w:rsid w:val="006E18D4"/>
    <w:rsid w:val="006E2D42"/>
    <w:rsid w:val="00703676"/>
    <w:rsid w:val="00707304"/>
    <w:rsid w:val="00732269"/>
    <w:rsid w:val="00762555"/>
    <w:rsid w:val="00785ABD"/>
    <w:rsid w:val="00796BD3"/>
    <w:rsid w:val="007A2DD4"/>
    <w:rsid w:val="007D38B5"/>
    <w:rsid w:val="007E7EA0"/>
    <w:rsid w:val="00807255"/>
    <w:rsid w:val="0081023E"/>
    <w:rsid w:val="008173AA"/>
    <w:rsid w:val="00840A14"/>
    <w:rsid w:val="00846AD5"/>
    <w:rsid w:val="008B62B4"/>
    <w:rsid w:val="008D02BC"/>
    <w:rsid w:val="008D2D7B"/>
    <w:rsid w:val="008E0737"/>
    <w:rsid w:val="008F7C2C"/>
    <w:rsid w:val="0090694B"/>
    <w:rsid w:val="00940E96"/>
    <w:rsid w:val="009B0BAE"/>
    <w:rsid w:val="009C1C89"/>
    <w:rsid w:val="009F3448"/>
    <w:rsid w:val="00A01CF9"/>
    <w:rsid w:val="00A71773"/>
    <w:rsid w:val="00A94D6A"/>
    <w:rsid w:val="00AE2C85"/>
    <w:rsid w:val="00B037D2"/>
    <w:rsid w:val="00B12A37"/>
    <w:rsid w:val="00B41837"/>
    <w:rsid w:val="00B63EF2"/>
    <w:rsid w:val="00BA7D89"/>
    <w:rsid w:val="00BB4D9D"/>
    <w:rsid w:val="00BC0D39"/>
    <w:rsid w:val="00BC7BC0"/>
    <w:rsid w:val="00BD57B7"/>
    <w:rsid w:val="00BE63E2"/>
    <w:rsid w:val="00CD2009"/>
    <w:rsid w:val="00CF629C"/>
    <w:rsid w:val="00D92EEA"/>
    <w:rsid w:val="00DA5D4E"/>
    <w:rsid w:val="00E176BA"/>
    <w:rsid w:val="00E423EC"/>
    <w:rsid w:val="00E55121"/>
    <w:rsid w:val="00EB4FCB"/>
    <w:rsid w:val="00EC6BC5"/>
    <w:rsid w:val="00F35898"/>
    <w:rsid w:val="00F50A19"/>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5D977"/>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2B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customStyle="1" w:styleId="normaltextrun">
    <w:name w:val="normaltextrun"/>
    <w:basedOn w:val="DefaultParagraphFont"/>
    <w:rsid w:val="00BB4D9D"/>
  </w:style>
  <w:style w:type="character" w:customStyle="1" w:styleId="eop">
    <w:name w:val="eop"/>
    <w:basedOn w:val="DefaultParagraphFont"/>
    <w:rsid w:val="00BB4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34/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u.int/en/ITU-D/Partners/Pages/ICT-DF/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Council-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Council-24.docx</Template>
  <TotalTime>1</TotalTime>
  <Pages>5</Pages>
  <Words>1134</Words>
  <Characters>8765</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9880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Sikacheva, Violetta</dc:creator>
  <cp:keywords>C2024, C24, Council-24</cp:keywords>
  <dc:description/>
  <cp:lastModifiedBy>Brouard, Ricarda</cp:lastModifiedBy>
  <cp:revision>2</cp:revision>
  <cp:lastPrinted>2006-03-28T16:12:00Z</cp:lastPrinted>
  <dcterms:created xsi:type="dcterms:W3CDTF">2024-05-24T10:29:00Z</dcterms:created>
  <dcterms:modified xsi:type="dcterms:W3CDTF">2024-05-24T10:29:00Z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