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13E5E" w14:paraId="0043AC80" w14:textId="77777777" w:rsidTr="15373CCD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5A00DD2E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b/>
              </w:rPr>
              <w:t xml:space="preserve">Agenda item: </w:t>
            </w:r>
            <w:r w:rsidR="00D11298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291AB2A2" w14:textId="1AA2EC98" w:rsidR="00AD3606" w:rsidRPr="00E85629" w:rsidRDefault="5A537DFE" w:rsidP="15373CC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15373CCD">
              <w:rPr>
                <w:b/>
                <w:bCs/>
              </w:rPr>
              <w:t>Document C2</w:t>
            </w:r>
            <w:r w:rsidR="4E30F363" w:rsidRPr="15373CCD">
              <w:rPr>
                <w:b/>
                <w:bCs/>
              </w:rPr>
              <w:t>4</w:t>
            </w:r>
            <w:r w:rsidRPr="15373CCD">
              <w:rPr>
                <w:b/>
                <w:bCs/>
              </w:rPr>
              <w:t>/</w:t>
            </w:r>
            <w:r w:rsidR="4B7F6B9B" w:rsidRPr="15373CCD">
              <w:rPr>
                <w:b/>
                <w:bCs/>
              </w:rPr>
              <w:t>19</w:t>
            </w:r>
            <w:r w:rsidRPr="15373CCD">
              <w:rPr>
                <w:b/>
                <w:bCs/>
              </w:rPr>
              <w:t>-E</w:t>
            </w:r>
          </w:p>
        </w:tc>
      </w:tr>
      <w:tr w:rsidR="00AD3606" w:rsidRPr="00813E5E" w14:paraId="789B45BA" w14:textId="77777777" w:rsidTr="15373CCD">
        <w:trPr>
          <w:cantSplit/>
        </w:trPr>
        <w:tc>
          <w:tcPr>
            <w:tcW w:w="3969" w:type="dxa"/>
            <w:vMerge/>
          </w:tcPr>
          <w:p w14:paraId="3F3D4E17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9F006BF" w:rsidR="00AD3606" w:rsidRPr="00E85629" w:rsidRDefault="3CB4AB26" w:rsidP="15373CCD">
            <w:pPr>
              <w:tabs>
                <w:tab w:val="left" w:pos="851"/>
              </w:tabs>
              <w:spacing w:before="0"/>
              <w:jc w:val="right"/>
              <w:rPr>
                <w:b/>
                <w:bCs/>
              </w:rPr>
            </w:pPr>
            <w:r w:rsidRPr="15373CCD">
              <w:rPr>
                <w:b/>
                <w:bCs/>
              </w:rPr>
              <w:t xml:space="preserve">9 April </w:t>
            </w:r>
            <w:r w:rsidR="5A537DFE" w:rsidRPr="15373CCD">
              <w:rPr>
                <w:b/>
                <w:bCs/>
              </w:rPr>
              <w:t>202</w:t>
            </w:r>
            <w:r w:rsidR="4E30F363" w:rsidRPr="15373CCD">
              <w:rPr>
                <w:b/>
                <w:bCs/>
              </w:rPr>
              <w:t>4</w:t>
            </w:r>
          </w:p>
        </w:tc>
      </w:tr>
      <w:tr w:rsidR="00AD3606" w:rsidRPr="00813E5E" w14:paraId="58A84C4A" w14:textId="77777777" w:rsidTr="15373CCD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77777777" w:rsidR="00AD3606" w:rsidRPr="00E85629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472BAD" w:rsidRPr="00813E5E" w14:paraId="12C5EF5F" w14:textId="77777777" w:rsidTr="15373CCD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15373CC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7777777" w:rsidR="00AD3606" w:rsidRPr="006850BE" w:rsidRDefault="00AD3606" w:rsidP="006850B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6850BE">
              <w:t>Report by the Secretary-General</w:t>
            </w:r>
          </w:p>
        </w:tc>
      </w:tr>
      <w:tr w:rsidR="00AD3606" w:rsidRPr="00813E5E" w14:paraId="2340750D" w14:textId="77777777" w:rsidTr="15373CC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745E0B2" w:rsidR="00AD3606" w:rsidRPr="006850BE" w:rsidRDefault="005D58DE" w:rsidP="006850BE">
            <w:pPr>
              <w:pStyle w:val="Subtitle1"/>
              <w:framePr w:hSpace="0" w:wrap="auto" w:xAlign="left" w:yAlign="inline"/>
            </w:pPr>
            <w:bookmarkStart w:id="9" w:name="dtitle1" w:colFirst="0" w:colLast="0"/>
            <w:bookmarkStart w:id="10" w:name="_Hlk163596052"/>
            <w:bookmarkEnd w:id="8"/>
            <w:r>
              <w:t>ALLOCATIONS OF SAVINGS ACHIEVED IN 2023 BUDGET IMPLEMENTATION</w:t>
            </w:r>
            <w:r w:rsidR="00FB25F5">
              <w:t xml:space="preserve"> </w:t>
            </w:r>
            <w:r w:rsidR="00404C3E">
              <w:t>AND EXHIBITION WORKING CAPITAL FUND</w:t>
            </w:r>
            <w:bookmarkEnd w:id="10"/>
          </w:p>
        </w:tc>
      </w:tr>
      <w:tr w:rsidR="00AD3606" w:rsidRPr="00813E5E" w14:paraId="1F564D2D" w14:textId="77777777" w:rsidTr="15373CCD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483F8DC0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6381BD95" w14:textId="7F060895" w:rsidR="007B1AC1" w:rsidRPr="007544E3" w:rsidRDefault="00FB25F5" w:rsidP="007B1AC1">
            <w:pPr>
              <w:spacing w:after="120"/>
              <w:jc w:val="both"/>
              <w:rPr>
                <w:rFonts w:asciiTheme="minorHAnsi" w:hAnsiTheme="minorHAnsi" w:cstheme="minorBidi"/>
              </w:rPr>
            </w:pPr>
            <w:r w:rsidRPr="1E1389B9">
              <w:rPr>
                <w:rFonts w:asciiTheme="minorHAnsi" w:hAnsiTheme="minorHAnsi" w:cstheme="minorBidi"/>
              </w:rPr>
              <w:t xml:space="preserve">The purpose of this document is to request </w:t>
            </w:r>
            <w:r w:rsidR="16A3E65B" w:rsidRPr="1E1389B9">
              <w:rPr>
                <w:rFonts w:asciiTheme="minorHAnsi" w:hAnsiTheme="minorHAnsi" w:cstheme="minorBidi"/>
              </w:rPr>
              <w:t xml:space="preserve">the </w:t>
            </w:r>
            <w:r w:rsidR="008A0F4E" w:rsidRPr="1E1389B9">
              <w:rPr>
                <w:rFonts w:asciiTheme="minorHAnsi" w:hAnsiTheme="minorHAnsi" w:cstheme="minorBidi"/>
              </w:rPr>
              <w:t xml:space="preserve">Council to </w:t>
            </w:r>
            <w:r w:rsidR="041B2470" w:rsidRPr="1E1389B9">
              <w:rPr>
                <w:rFonts w:asciiTheme="minorHAnsi" w:hAnsiTheme="minorHAnsi" w:cstheme="minorBidi"/>
              </w:rPr>
              <w:t>authori</w:t>
            </w:r>
            <w:r w:rsidR="0DC30DB5" w:rsidRPr="1E1389B9">
              <w:rPr>
                <w:rFonts w:asciiTheme="minorHAnsi" w:hAnsiTheme="minorHAnsi" w:cstheme="minorBidi"/>
              </w:rPr>
              <w:t>z</w:t>
            </w:r>
            <w:r w:rsidR="041B2470" w:rsidRPr="1E1389B9">
              <w:rPr>
                <w:rFonts w:asciiTheme="minorHAnsi" w:hAnsiTheme="minorHAnsi" w:cstheme="minorBidi"/>
              </w:rPr>
              <w:t>e</w:t>
            </w:r>
            <w:r w:rsidR="008A0F4E" w:rsidRPr="1E1389B9">
              <w:rPr>
                <w:rFonts w:asciiTheme="minorHAnsi" w:hAnsiTheme="minorHAnsi" w:cstheme="minorBidi"/>
              </w:rPr>
              <w:t xml:space="preserve"> </w:t>
            </w:r>
            <w:r w:rsidRPr="1E1389B9">
              <w:rPr>
                <w:rFonts w:asciiTheme="minorHAnsi" w:hAnsiTheme="minorHAnsi" w:cstheme="minorBidi"/>
              </w:rPr>
              <w:t xml:space="preserve">the use of savings from the 2023 budget </w:t>
            </w:r>
            <w:r w:rsidR="006A5905" w:rsidRPr="1E1389B9">
              <w:rPr>
                <w:rFonts w:asciiTheme="minorHAnsi" w:hAnsiTheme="minorHAnsi" w:cstheme="minorBidi"/>
              </w:rPr>
              <w:t>implementation to</w:t>
            </w:r>
            <w:r w:rsidRPr="1E1389B9">
              <w:rPr>
                <w:rFonts w:asciiTheme="minorHAnsi" w:hAnsiTheme="minorHAnsi" w:cstheme="minorBidi"/>
              </w:rPr>
              <w:t xml:space="preserve"> finance certain activities that are not covered by the Union</w:t>
            </w:r>
            <w:r w:rsidR="003E4B56">
              <w:rPr>
                <w:rFonts w:asciiTheme="minorHAnsi" w:hAnsiTheme="minorHAnsi" w:cstheme="minorBidi"/>
              </w:rPr>
              <w:t>’</w:t>
            </w:r>
            <w:r w:rsidRPr="1E1389B9">
              <w:rPr>
                <w:rFonts w:asciiTheme="minorHAnsi" w:hAnsiTheme="minorHAnsi" w:cstheme="minorBidi"/>
              </w:rPr>
              <w:t xml:space="preserve">s regular budget. The document also </w:t>
            </w:r>
            <w:r w:rsidR="008A0F4E" w:rsidRPr="1E1389B9">
              <w:rPr>
                <w:rFonts w:asciiTheme="minorHAnsi" w:hAnsiTheme="minorHAnsi" w:cstheme="minorBidi"/>
              </w:rPr>
              <w:t xml:space="preserve">addresses </w:t>
            </w:r>
            <w:r w:rsidR="006A5905" w:rsidRPr="1E1389B9">
              <w:rPr>
                <w:rFonts w:asciiTheme="minorHAnsi" w:hAnsiTheme="minorHAnsi" w:cstheme="minorBidi"/>
              </w:rPr>
              <w:t>the</w:t>
            </w:r>
            <w:r w:rsidR="007B1AC1" w:rsidRPr="1E1389B9">
              <w:rPr>
                <w:rFonts w:asciiTheme="minorHAnsi" w:hAnsiTheme="minorHAnsi" w:cstheme="minorBidi"/>
              </w:rPr>
              <w:t xml:space="preserve"> </w:t>
            </w:r>
            <w:r w:rsidR="008A0F4E" w:rsidRPr="1E1389B9">
              <w:rPr>
                <w:rFonts w:asciiTheme="minorHAnsi" w:hAnsiTheme="minorHAnsi" w:cstheme="minorBidi"/>
              </w:rPr>
              <w:t>use of the balance</w:t>
            </w:r>
            <w:r w:rsidR="007B1AC1" w:rsidRPr="1E1389B9">
              <w:rPr>
                <w:rFonts w:asciiTheme="minorHAnsi" w:hAnsiTheme="minorHAnsi" w:cstheme="minorBidi"/>
              </w:rPr>
              <w:t xml:space="preserve"> of the Exhibition Working Capital Fund (EWCF) for the implementation of development projects.</w:t>
            </w:r>
          </w:p>
          <w:p w14:paraId="5076D5C4" w14:textId="25844ACB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  <w:r w:rsidR="00F16BAB" w:rsidRPr="00F16BAB">
              <w:rPr>
                <w:b/>
                <w:bCs/>
                <w:sz w:val="26"/>
                <w:szCs w:val="26"/>
              </w:rPr>
              <w:t xml:space="preserve"> by the </w:t>
            </w:r>
            <w:proofErr w:type="gramStart"/>
            <w:r w:rsidR="006A5905" w:rsidRPr="00F16BAB">
              <w:rPr>
                <w:b/>
                <w:bCs/>
                <w:sz w:val="26"/>
                <w:szCs w:val="26"/>
              </w:rPr>
              <w:t>Council</w:t>
            </w:r>
            <w:proofErr w:type="gramEnd"/>
          </w:p>
          <w:p w14:paraId="1FAFDF39" w14:textId="1F6933FA" w:rsidR="003521D8" w:rsidRDefault="006A5905" w:rsidP="00F16BAB">
            <w:pPr>
              <w:spacing w:before="1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Council is requested </w:t>
            </w:r>
            <w:r w:rsidRPr="00C62BB3">
              <w:rPr>
                <w:rFonts w:asciiTheme="minorHAnsi" w:hAnsiTheme="minorHAnsi" w:cstheme="minorHAnsi"/>
                <w:b/>
                <w:bCs/>
                <w:szCs w:val="24"/>
              </w:rPr>
              <w:t>to approve</w:t>
            </w:r>
            <w:r>
              <w:rPr>
                <w:rFonts w:asciiTheme="minorHAnsi" w:hAnsiTheme="minorHAnsi" w:cstheme="minorHAnsi"/>
                <w:szCs w:val="24"/>
              </w:rPr>
              <w:t xml:space="preserve"> the </w:t>
            </w:r>
            <w:r w:rsidR="008A0F4E">
              <w:rPr>
                <w:rFonts w:asciiTheme="minorHAnsi" w:hAnsiTheme="minorHAnsi" w:cstheme="minorHAnsi"/>
                <w:szCs w:val="24"/>
              </w:rPr>
              <w:t xml:space="preserve">draft resolution </w:t>
            </w:r>
            <w:hyperlink w:anchor="Annex" w:history="1">
              <w:r w:rsidR="008A0F4E" w:rsidRPr="00C62BB3">
                <w:rPr>
                  <w:rStyle w:val="Hyperlink"/>
                  <w:rFonts w:asciiTheme="minorHAnsi" w:hAnsiTheme="minorHAnsi" w:cstheme="minorHAnsi"/>
                  <w:szCs w:val="24"/>
                </w:rPr>
                <w:t>annexed</w:t>
              </w:r>
            </w:hyperlink>
            <w:r w:rsidR="008A0F4E">
              <w:rPr>
                <w:rFonts w:asciiTheme="minorHAnsi" w:hAnsiTheme="minorHAnsi" w:cstheme="minorHAnsi"/>
                <w:szCs w:val="24"/>
              </w:rPr>
              <w:t xml:space="preserve"> to </w:t>
            </w:r>
            <w:r>
              <w:rPr>
                <w:rFonts w:asciiTheme="minorHAnsi" w:hAnsiTheme="minorHAnsi" w:cstheme="minorHAnsi"/>
                <w:szCs w:val="24"/>
              </w:rPr>
              <w:t xml:space="preserve">this document. </w:t>
            </w:r>
          </w:p>
          <w:p w14:paraId="0F8F1F03" w14:textId="5F362197" w:rsid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37BAFF40" w:rsidRPr="46AEC5E6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5390B90D" w14:textId="771166CF" w:rsidR="003521D8" w:rsidRPr="002F5E26" w:rsidRDefault="008A0F4E" w:rsidP="00F16BAB">
            <w:pPr>
              <w:spacing w:before="160"/>
              <w:rPr>
                <w:szCs w:val="24"/>
              </w:rPr>
            </w:pPr>
            <w:r w:rsidRPr="002F5E26">
              <w:rPr>
                <w:szCs w:val="24"/>
              </w:rPr>
              <w:t>This document is consistent with the 2024-2027 strategic plan</w:t>
            </w:r>
            <w:r>
              <w:rPr>
                <w:szCs w:val="24"/>
              </w:rPr>
              <w:t>.</w:t>
            </w:r>
          </w:p>
          <w:p w14:paraId="632C043A" w14:textId="10136830" w:rsid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62580D94" w14:textId="137C4866" w:rsidR="007B1AC1" w:rsidRDefault="008A0F4E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Cs w:val="24"/>
              </w:rPr>
              <w:t>Allocation</w:t>
            </w:r>
            <w:r w:rsidRPr="007544E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B1AC1" w:rsidRPr="007544E3">
              <w:rPr>
                <w:rFonts w:asciiTheme="minorHAnsi" w:hAnsiTheme="minorHAnsi" w:cstheme="minorHAnsi"/>
                <w:szCs w:val="24"/>
              </w:rPr>
              <w:t>of</w:t>
            </w:r>
            <w:r w:rsidR="007B1AC1">
              <w:rPr>
                <w:b/>
                <w:bCs/>
              </w:rPr>
              <w:t xml:space="preserve"> CHF </w:t>
            </w:r>
            <w:r w:rsidRPr="002F5E26">
              <w:rPr>
                <w:rFonts w:asciiTheme="minorHAnsi" w:eastAsia="SimSun" w:hAnsiTheme="minorHAnsi" w:cstheme="minorHAnsi"/>
                <w:b/>
                <w:bCs/>
                <w:szCs w:val="24"/>
              </w:rPr>
              <w:t>3,157</w:t>
            </w:r>
            <w:r w:rsidR="00086E63">
              <w:rPr>
                <w:rFonts w:asciiTheme="minorHAnsi" w:eastAsia="SimSun" w:hAnsiTheme="minorHAnsi" w:cstheme="minorHAnsi"/>
                <w:b/>
                <w:bCs/>
                <w:szCs w:val="24"/>
              </w:rPr>
              <w:t>K</w:t>
            </w:r>
            <w:r w:rsidR="00404C3E">
              <w:rPr>
                <w:rFonts w:asciiTheme="minorHAnsi" w:eastAsia="SimSun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savings from the 2023 budget implementation </w:t>
            </w:r>
            <w:r w:rsidR="003521D8">
              <w:rPr>
                <w:rFonts w:asciiTheme="minorHAnsi" w:hAnsiTheme="minorHAnsi" w:cstheme="minorHAnsi"/>
                <w:szCs w:val="24"/>
              </w:rPr>
              <w:t xml:space="preserve">to finance activities that are not covered by regular budget. </w:t>
            </w:r>
            <w:r>
              <w:rPr>
                <w:rFonts w:asciiTheme="minorHAnsi" w:hAnsiTheme="minorHAnsi" w:cstheme="minorHAnsi"/>
                <w:szCs w:val="24"/>
              </w:rPr>
              <w:t xml:space="preserve">Transfer of </w:t>
            </w:r>
            <w:r w:rsidRPr="00C67FBE">
              <w:rPr>
                <w:rFonts w:asciiTheme="minorHAnsi" w:hAnsiTheme="minorHAnsi" w:cstheme="minorHAnsi"/>
                <w:b/>
                <w:bCs/>
                <w:szCs w:val="24"/>
              </w:rPr>
              <w:t>CHF</w:t>
            </w:r>
            <w:r w:rsidRPr="002F5E2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eastAsia="SimSun"/>
                <w:b/>
                <w:bCs/>
              </w:rPr>
              <w:t>465</w:t>
            </w:r>
            <w:r w:rsidR="00086E63">
              <w:rPr>
                <w:rFonts w:eastAsia="SimSun"/>
                <w:b/>
                <w:bCs/>
              </w:rPr>
              <w:t>K</w:t>
            </w:r>
            <w:r w:rsidRPr="007B1AC1">
              <w:rPr>
                <w:rFonts w:eastAsia="SimSun"/>
              </w:rPr>
              <w:t xml:space="preserve"> </w:t>
            </w:r>
            <w:r w:rsidRPr="007B1AC1">
              <w:rPr>
                <w:rFonts w:asciiTheme="minorHAnsi" w:eastAsia="SimSun" w:hAnsiTheme="minorHAnsi" w:cstheme="minorHAnsi"/>
                <w:szCs w:val="24"/>
              </w:rPr>
              <w:t>from the EWCF to the ICT-DF</w:t>
            </w:r>
            <w:r>
              <w:rPr>
                <w:rFonts w:asciiTheme="minorHAnsi" w:eastAsia="SimSun" w:hAnsiTheme="minorHAnsi" w:cstheme="minorHAnsi"/>
                <w:szCs w:val="24"/>
              </w:rPr>
              <w:t>.</w:t>
            </w:r>
          </w:p>
          <w:p w14:paraId="2AAB18B0" w14:textId="77777777" w:rsidR="00AD3606" w:rsidRPr="00813E5E" w:rsidRDefault="00AD3606" w:rsidP="00F16BAB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00DEE14C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60CC5C44" w:rsidR="00AD3606" w:rsidRPr="007B5DEA" w:rsidRDefault="006A5905" w:rsidP="15373CCD">
            <w:pPr>
              <w:spacing w:after="160"/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</w:pPr>
            <w:r w:rsidRPr="007B5DEA">
              <w:rPr>
                <w:sz w:val="22"/>
                <w:szCs w:val="22"/>
              </w:rPr>
              <w:t xml:space="preserve">Decision 5 (Rev. Bucharest, 2022); </w:t>
            </w:r>
            <w:hyperlink r:id="rId11"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Resolution 11 (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Abrogated</w:t>
              </w:r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 xml:space="preserve">. 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Bucharest</w:t>
              </w:r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, 20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22</w:t>
              </w:r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)</w:t>
              </w:r>
            </w:hyperlink>
            <w:r w:rsidR="007B1AC1" w:rsidRPr="007B5DEA">
              <w:rPr>
                <w:rStyle w:val="Hyperlink"/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of the Plenipotentiary Conference</w:t>
            </w:r>
            <w:r w:rsidR="007B1AC1" w:rsidRPr="007B5DE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; Council Resolutions </w:t>
            </w:r>
            <w:hyperlink r:id="rId12"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1111</w:t>
              </w:r>
            </w:hyperlink>
            <w:r w:rsidR="007B1AC1" w:rsidRPr="007B5DE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and </w:t>
            </w:r>
            <w:hyperlink r:id="rId13"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1338</w:t>
              </w:r>
            </w:hyperlink>
            <w:r w:rsidR="007B1AC1" w:rsidRPr="007B5DE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; Council Document </w:t>
            </w:r>
            <w:hyperlink r:id="rId14"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4</w:t>
              </w:r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/34</w:t>
              </w:r>
            </w:hyperlink>
            <w:r w:rsidR="007B1AC1"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>;</w:t>
            </w:r>
            <w:r w:rsid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  <w:hyperlink r:id="rId15" w:history="1">
              <w:r w:rsidR="007B1AC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C23/116</w:t>
              </w:r>
            </w:hyperlink>
            <w:r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; </w:t>
            </w:r>
            <w:hyperlink r:id="rId16" w:history="1">
              <w:r w:rsidR="0059767B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24</w:t>
              </w:r>
              <w:r w:rsidR="0059767B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/INF</w:t>
              </w:r>
              <w:r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/</w:t>
              </w:r>
              <w:r w:rsidR="1E7802B5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2</w:t>
              </w:r>
            </w:hyperlink>
            <w:r w:rsidR="00806BAD"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, </w:t>
            </w:r>
            <w:hyperlink r:id="rId17" w:history="1">
              <w:r w:rsidR="00806BAD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C24/52</w:t>
              </w:r>
            </w:hyperlink>
            <w:r w:rsidR="00806BAD"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, </w:t>
            </w:r>
            <w:hyperlink r:id="rId18" w:history="1">
              <w:r w:rsidR="00806BAD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C24/53</w:t>
              </w:r>
            </w:hyperlink>
            <w:r w:rsidR="004C244C"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>,</w:t>
            </w:r>
            <w:r w:rsidR="6EB810BF" w:rsidRPr="007B5DEA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 and </w:t>
            </w:r>
            <w:hyperlink r:id="rId19" w:history="1">
              <w:r w:rsidR="4213CB81" w:rsidRPr="007B5DEA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C24/63</w:t>
              </w:r>
            </w:hyperlink>
          </w:p>
        </w:tc>
      </w:tr>
    </w:tbl>
    <w:p w14:paraId="4CDB8B60" w14:textId="2A4D9B15" w:rsidR="00E227F3" w:rsidRPr="007B5DEA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bookmarkStart w:id="11" w:name="_Hlk133421428"/>
      <w:bookmarkEnd w:id="2"/>
      <w:bookmarkEnd w:id="9"/>
    </w:p>
    <w:bookmarkEnd w:id="3"/>
    <w:bookmarkEnd w:id="4"/>
    <w:p w14:paraId="1D7ED322" w14:textId="77777777" w:rsidR="0090147A" w:rsidRPr="007B5DE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n-US"/>
        </w:rPr>
      </w:pPr>
      <w:r w:rsidRPr="007B5DEA">
        <w:rPr>
          <w:lang w:val="en-US"/>
        </w:rPr>
        <w:br w:type="page"/>
      </w:r>
    </w:p>
    <w:bookmarkEnd w:id="5"/>
    <w:bookmarkEnd w:id="11"/>
    <w:p w14:paraId="6E7D70E7" w14:textId="40F792A4" w:rsidR="003521D8" w:rsidRPr="007B5DEA" w:rsidRDefault="003521D8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/>
          <w:bCs/>
          <w:szCs w:val="24"/>
        </w:rPr>
      </w:pPr>
      <w:r w:rsidRPr="007B5DEA">
        <w:rPr>
          <w:rFonts w:asciiTheme="minorHAnsi" w:eastAsia="SimSun" w:hAnsiTheme="minorHAnsi" w:cstheme="minorHAnsi"/>
          <w:b/>
          <w:bCs/>
          <w:szCs w:val="24"/>
        </w:rPr>
        <w:lastRenderedPageBreak/>
        <w:t>1</w:t>
      </w:r>
      <w:r w:rsidR="00AA36BD">
        <w:rPr>
          <w:rFonts w:asciiTheme="minorHAnsi" w:eastAsia="SimSun" w:hAnsiTheme="minorHAnsi" w:cstheme="minorHAnsi"/>
          <w:b/>
          <w:bCs/>
          <w:szCs w:val="24"/>
        </w:rPr>
        <w:tab/>
      </w:r>
      <w:r w:rsidRPr="007B5DEA">
        <w:rPr>
          <w:rFonts w:asciiTheme="minorHAnsi" w:eastAsia="SimSun" w:hAnsiTheme="minorHAnsi" w:cstheme="minorHAnsi"/>
          <w:b/>
          <w:bCs/>
          <w:szCs w:val="24"/>
        </w:rPr>
        <w:t>Introduction</w:t>
      </w:r>
    </w:p>
    <w:p w14:paraId="3B41234A" w14:textId="67336C6D" w:rsidR="00012BA3" w:rsidRDefault="00A1702B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szCs w:val="24"/>
        </w:rPr>
      </w:pPr>
      <w:r w:rsidRPr="00A1702B">
        <w:rPr>
          <w:rFonts w:asciiTheme="minorHAnsi" w:eastAsia="SimSun" w:hAnsiTheme="minorHAnsi" w:cstheme="minorHAnsi"/>
          <w:szCs w:val="24"/>
        </w:rPr>
        <w:t xml:space="preserve">During the implementation of the 2023 budget, </w:t>
      </w:r>
      <w:proofErr w:type="gramStart"/>
      <w:r w:rsidR="001F5509">
        <w:rPr>
          <w:rFonts w:asciiTheme="minorHAnsi" w:eastAsia="SimSun" w:hAnsiTheme="minorHAnsi" w:cstheme="minorHAnsi"/>
          <w:szCs w:val="24"/>
        </w:rPr>
        <w:t>as a result of</w:t>
      </w:r>
      <w:proofErr w:type="gramEnd"/>
      <w:r w:rsidR="001F5509">
        <w:rPr>
          <w:rFonts w:asciiTheme="minorHAnsi" w:eastAsia="SimSun" w:hAnsiTheme="minorHAnsi" w:cstheme="minorHAnsi"/>
          <w:szCs w:val="24"/>
        </w:rPr>
        <w:t xml:space="preserve"> efficient</w:t>
      </w:r>
      <w:r w:rsidR="004D424C">
        <w:rPr>
          <w:rFonts w:asciiTheme="minorHAnsi" w:eastAsia="SimSun" w:hAnsiTheme="minorHAnsi" w:cstheme="minorHAnsi"/>
          <w:szCs w:val="24"/>
        </w:rPr>
        <w:t xml:space="preserve"> </w:t>
      </w:r>
      <w:r w:rsidRPr="00A1702B">
        <w:rPr>
          <w:rFonts w:asciiTheme="minorHAnsi" w:eastAsia="SimSun" w:hAnsiTheme="minorHAnsi" w:cstheme="minorHAnsi"/>
          <w:szCs w:val="24"/>
        </w:rPr>
        <w:t xml:space="preserve">management of resources, management did not need to </w:t>
      </w:r>
      <w:r w:rsidR="008A0F4E">
        <w:rPr>
          <w:rFonts w:asciiTheme="minorHAnsi" w:eastAsia="SimSun" w:hAnsiTheme="minorHAnsi" w:cstheme="minorHAnsi"/>
          <w:szCs w:val="24"/>
        </w:rPr>
        <w:t>use</w:t>
      </w:r>
      <w:r w:rsidR="008A0F4E" w:rsidRPr="00A1702B">
        <w:rPr>
          <w:rFonts w:asciiTheme="minorHAnsi" w:eastAsia="SimSun" w:hAnsiTheme="minorHAnsi" w:cstheme="minorHAnsi"/>
          <w:szCs w:val="24"/>
        </w:rPr>
        <w:t xml:space="preserve"> </w:t>
      </w:r>
      <w:r w:rsidRPr="00A1702B">
        <w:rPr>
          <w:rFonts w:asciiTheme="minorHAnsi" w:eastAsia="SimSun" w:hAnsiTheme="minorHAnsi" w:cstheme="minorHAnsi"/>
          <w:szCs w:val="24"/>
        </w:rPr>
        <w:t xml:space="preserve">the </w:t>
      </w:r>
      <w:r>
        <w:rPr>
          <w:rFonts w:asciiTheme="minorHAnsi" w:eastAsia="SimSun" w:hAnsiTheme="minorHAnsi" w:cstheme="minorHAnsi"/>
          <w:szCs w:val="24"/>
        </w:rPr>
        <w:t>CHF</w:t>
      </w:r>
      <w:r w:rsidRPr="00A1702B">
        <w:rPr>
          <w:rFonts w:asciiTheme="minorHAnsi" w:eastAsia="SimSun" w:hAnsiTheme="minorHAnsi" w:cstheme="minorHAnsi"/>
          <w:szCs w:val="24"/>
        </w:rPr>
        <w:t>1,734</w:t>
      </w:r>
      <w:r w:rsidR="00DA3B58">
        <w:rPr>
          <w:rFonts w:asciiTheme="minorHAnsi" w:eastAsia="SimSun" w:hAnsiTheme="minorHAnsi" w:cstheme="minorHAnsi"/>
          <w:szCs w:val="24"/>
        </w:rPr>
        <w:t>K</w:t>
      </w:r>
      <w:r w:rsidRPr="00A1702B">
        <w:rPr>
          <w:rFonts w:asciiTheme="minorHAnsi" w:eastAsia="SimSun" w:hAnsiTheme="minorHAnsi" w:cstheme="minorHAnsi"/>
          <w:szCs w:val="24"/>
        </w:rPr>
        <w:t xml:space="preserve"> authori</w:t>
      </w:r>
      <w:r w:rsidR="00BA2D4F">
        <w:rPr>
          <w:rFonts w:asciiTheme="minorHAnsi" w:eastAsia="SimSun" w:hAnsiTheme="minorHAnsi" w:cstheme="minorHAnsi"/>
          <w:szCs w:val="24"/>
        </w:rPr>
        <w:t>z</w:t>
      </w:r>
      <w:r w:rsidRPr="00A1702B">
        <w:rPr>
          <w:rFonts w:asciiTheme="minorHAnsi" w:eastAsia="SimSun" w:hAnsiTheme="minorHAnsi" w:cstheme="minorHAnsi"/>
          <w:szCs w:val="24"/>
        </w:rPr>
        <w:t xml:space="preserve">ed by Resolution 1405 to balance the 2023 budget. In addition, the budget year ended with a surplus of </w:t>
      </w:r>
      <w:r>
        <w:rPr>
          <w:rFonts w:asciiTheme="minorHAnsi" w:eastAsia="SimSun" w:hAnsiTheme="minorHAnsi" w:cstheme="minorHAnsi"/>
          <w:szCs w:val="24"/>
        </w:rPr>
        <w:t>CHF</w:t>
      </w:r>
      <w:r w:rsidR="00B21931">
        <w:rPr>
          <w:rFonts w:asciiTheme="minorHAnsi" w:eastAsia="SimSun" w:hAnsiTheme="minorHAnsi" w:cstheme="minorHAnsi"/>
          <w:szCs w:val="24"/>
        </w:rPr>
        <w:t> </w:t>
      </w:r>
      <w:r w:rsidRPr="00A1702B">
        <w:rPr>
          <w:rFonts w:asciiTheme="minorHAnsi" w:eastAsia="SimSun" w:hAnsiTheme="minorHAnsi" w:cstheme="minorHAnsi"/>
          <w:szCs w:val="24"/>
        </w:rPr>
        <w:t>1,4</w:t>
      </w:r>
      <w:r>
        <w:rPr>
          <w:rFonts w:asciiTheme="minorHAnsi" w:eastAsia="SimSun" w:hAnsiTheme="minorHAnsi" w:cstheme="minorHAnsi"/>
          <w:szCs w:val="24"/>
        </w:rPr>
        <w:t>23,584.81</w:t>
      </w:r>
      <w:r w:rsidRPr="00A1702B">
        <w:rPr>
          <w:rFonts w:asciiTheme="minorHAnsi" w:eastAsia="SimSun" w:hAnsiTheme="minorHAnsi" w:cstheme="minorHAnsi"/>
          <w:szCs w:val="24"/>
        </w:rPr>
        <w:t>.</w:t>
      </w:r>
      <w:r w:rsidR="007B5DEA">
        <w:rPr>
          <w:rFonts w:asciiTheme="minorHAnsi" w:eastAsia="SimSun" w:hAnsiTheme="minorHAnsi" w:cstheme="minorHAnsi"/>
          <w:szCs w:val="24"/>
        </w:rPr>
        <w:t xml:space="preserve"> </w:t>
      </w:r>
      <w:r w:rsidR="009A427E" w:rsidRPr="007B5DEA">
        <w:rPr>
          <w:rFonts w:asciiTheme="minorHAnsi" w:eastAsia="SimSun" w:hAnsiTheme="minorHAnsi" w:cstheme="minorHAnsi"/>
          <w:szCs w:val="24"/>
        </w:rPr>
        <w:t>Therefore</w:t>
      </w:r>
      <w:r w:rsidR="007B5DEA">
        <w:rPr>
          <w:rFonts w:asciiTheme="minorHAnsi" w:eastAsia="SimSun" w:hAnsiTheme="minorHAnsi" w:cstheme="minorHAnsi"/>
          <w:szCs w:val="24"/>
        </w:rPr>
        <w:t>,</w:t>
      </w:r>
      <w:r w:rsidR="009A427E" w:rsidRPr="007B5DEA">
        <w:rPr>
          <w:rFonts w:asciiTheme="minorHAnsi" w:eastAsia="SimSun" w:hAnsiTheme="minorHAnsi" w:cstheme="minorHAnsi"/>
          <w:szCs w:val="24"/>
        </w:rPr>
        <w:t xml:space="preserve"> </w:t>
      </w:r>
      <w:r w:rsidRPr="00597CEF">
        <w:rPr>
          <w:rFonts w:asciiTheme="minorHAnsi" w:eastAsia="SimSun" w:hAnsiTheme="minorHAnsi" w:cstheme="minorHAnsi"/>
          <w:b/>
          <w:bCs/>
          <w:i/>
          <w:iCs/>
          <w:szCs w:val="24"/>
        </w:rPr>
        <w:t>CHF 3,157,584.81</w:t>
      </w:r>
      <w:r w:rsidRPr="00A1702B">
        <w:rPr>
          <w:rFonts w:asciiTheme="minorHAnsi" w:eastAsia="SimSun" w:hAnsiTheme="minorHAnsi" w:cstheme="minorHAnsi"/>
          <w:szCs w:val="24"/>
        </w:rPr>
        <w:t xml:space="preserve"> </w:t>
      </w:r>
      <w:r w:rsidR="00E0379A">
        <w:rPr>
          <w:rFonts w:asciiTheme="minorHAnsi" w:eastAsia="SimSun" w:hAnsiTheme="minorHAnsi" w:cstheme="minorHAnsi"/>
          <w:szCs w:val="24"/>
        </w:rPr>
        <w:t>remains available</w:t>
      </w:r>
      <w:r>
        <w:rPr>
          <w:rFonts w:asciiTheme="minorHAnsi" w:eastAsia="SimSun" w:hAnsiTheme="minorHAnsi" w:cstheme="minorHAnsi"/>
          <w:szCs w:val="24"/>
        </w:rPr>
        <w:t xml:space="preserve"> to finance some activities that are not covered by the regular budget.</w:t>
      </w:r>
    </w:p>
    <w:p w14:paraId="4BAFD216" w14:textId="39F1C288" w:rsidR="00A1702B" w:rsidRPr="00A1702B" w:rsidRDefault="006B4D05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Furthermore, t</w:t>
      </w:r>
      <w:r w:rsidR="00384BEF">
        <w:rPr>
          <w:rFonts w:asciiTheme="minorHAnsi" w:eastAsia="SimSun" w:hAnsiTheme="minorHAnsi" w:cstheme="minorHAnsi"/>
          <w:szCs w:val="24"/>
        </w:rPr>
        <w:t xml:space="preserve">he </w:t>
      </w:r>
      <w:r w:rsidR="00384BEF">
        <w:rPr>
          <w:rFonts w:asciiTheme="minorHAnsi" w:hAnsiTheme="minorHAnsi" w:cstheme="minorHAnsi"/>
          <w:szCs w:val="24"/>
        </w:rPr>
        <w:t>remaining balance in EWCF is CHF 465</w:t>
      </w:r>
      <w:r w:rsidR="00976EEC">
        <w:rPr>
          <w:rFonts w:asciiTheme="minorHAnsi" w:hAnsiTheme="minorHAnsi" w:cstheme="minorHAnsi"/>
          <w:szCs w:val="24"/>
        </w:rPr>
        <w:t>,</w:t>
      </w:r>
      <w:r w:rsidR="00384BEF">
        <w:rPr>
          <w:rFonts w:asciiTheme="minorHAnsi" w:hAnsiTheme="minorHAnsi" w:cstheme="minorHAnsi"/>
          <w:szCs w:val="24"/>
        </w:rPr>
        <w:t>110.56.</w:t>
      </w:r>
    </w:p>
    <w:p w14:paraId="700A7933" w14:textId="2AA18D70" w:rsidR="00E0379A" w:rsidRPr="007B5DEA" w:rsidRDefault="00E0379A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/>
          <w:bCs/>
          <w:szCs w:val="24"/>
        </w:rPr>
      </w:pPr>
      <w:r w:rsidRPr="007B5DEA">
        <w:rPr>
          <w:rFonts w:asciiTheme="minorHAnsi" w:eastAsia="SimSun" w:hAnsiTheme="minorHAnsi" w:cstheme="minorHAnsi"/>
          <w:b/>
          <w:bCs/>
          <w:szCs w:val="24"/>
        </w:rPr>
        <w:t>2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ab/>
      </w:r>
      <w:r w:rsidR="002F5E26" w:rsidRPr="007B5DEA">
        <w:rPr>
          <w:rFonts w:asciiTheme="minorHAnsi" w:eastAsia="SimSun" w:hAnsiTheme="minorHAnsi" w:cstheme="minorHAnsi"/>
          <w:b/>
          <w:bCs/>
          <w:szCs w:val="24"/>
        </w:rPr>
        <w:t xml:space="preserve">Allocation to 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>WRC</w:t>
      </w:r>
      <w:r w:rsidR="002F5E26" w:rsidRPr="007B5DEA">
        <w:rPr>
          <w:rFonts w:asciiTheme="minorHAnsi" w:eastAsia="SimSun" w:hAnsiTheme="minorHAnsi" w:cstheme="minorHAnsi"/>
          <w:b/>
          <w:bCs/>
          <w:szCs w:val="24"/>
        </w:rPr>
        <w:t>-23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 xml:space="preserve"> post-conference work</w:t>
      </w:r>
    </w:p>
    <w:p w14:paraId="42DA66C4" w14:textId="7A9093B3" w:rsidR="0025709F" w:rsidRDefault="00A91ED0" w:rsidP="007B5DE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Bidi"/>
        </w:rPr>
      </w:pPr>
      <w:r>
        <w:rPr>
          <w:rFonts w:asciiTheme="minorHAnsi" w:eastAsia="SimSun" w:hAnsiTheme="minorHAnsi" w:cstheme="minorBidi"/>
        </w:rPr>
        <w:t>WR</w:t>
      </w:r>
      <w:r w:rsidR="00A1702B" w:rsidRPr="15373CCD">
        <w:rPr>
          <w:rFonts w:asciiTheme="minorHAnsi" w:eastAsia="SimSun" w:hAnsiTheme="minorHAnsi" w:cstheme="minorBidi"/>
        </w:rPr>
        <w:t>C-23 has adopted decisions and resolutions with</w:t>
      </w:r>
      <w:r w:rsidR="00E0379A" w:rsidRPr="15373CCD">
        <w:rPr>
          <w:rFonts w:asciiTheme="minorHAnsi" w:eastAsia="SimSun" w:hAnsiTheme="minorHAnsi" w:cstheme="minorBidi"/>
        </w:rPr>
        <w:t xml:space="preserve"> significant </w:t>
      </w:r>
      <w:r w:rsidR="00A1702B" w:rsidRPr="15373CCD">
        <w:rPr>
          <w:rFonts w:asciiTheme="minorHAnsi" w:eastAsia="SimSun" w:hAnsiTheme="minorHAnsi" w:cstheme="minorBidi"/>
        </w:rPr>
        <w:t xml:space="preserve">financial implications amounting to </w:t>
      </w:r>
      <w:r w:rsidR="00E0379A" w:rsidRPr="15373CCD">
        <w:rPr>
          <w:rFonts w:asciiTheme="minorHAnsi" w:eastAsia="SimSun" w:hAnsiTheme="minorHAnsi" w:cstheme="minorBidi"/>
        </w:rPr>
        <w:t>some</w:t>
      </w:r>
      <w:r w:rsidR="00A1702B" w:rsidRPr="15373CCD">
        <w:rPr>
          <w:rFonts w:asciiTheme="minorHAnsi" w:eastAsia="SimSun" w:hAnsiTheme="minorHAnsi" w:cstheme="minorBidi"/>
        </w:rPr>
        <w:t xml:space="preserve"> </w:t>
      </w:r>
      <w:r w:rsidR="00E0379A" w:rsidRPr="15373CCD">
        <w:rPr>
          <w:rFonts w:asciiTheme="minorHAnsi" w:eastAsia="SimSun" w:hAnsiTheme="minorHAnsi" w:cstheme="minorBidi"/>
        </w:rPr>
        <w:t xml:space="preserve">CHF </w:t>
      </w:r>
      <w:r w:rsidR="00A1702B" w:rsidRPr="15373CCD">
        <w:rPr>
          <w:rFonts w:asciiTheme="minorHAnsi" w:eastAsia="SimSun" w:hAnsiTheme="minorHAnsi" w:cstheme="minorBidi"/>
        </w:rPr>
        <w:t>12</w:t>
      </w:r>
      <w:r w:rsidR="00E0379A" w:rsidRPr="15373CCD">
        <w:rPr>
          <w:rFonts w:asciiTheme="minorHAnsi" w:eastAsia="SimSun" w:hAnsiTheme="minorHAnsi" w:cstheme="minorBidi"/>
        </w:rPr>
        <w:t>.5</w:t>
      </w:r>
      <w:r w:rsidR="00A1702B" w:rsidRPr="15373CCD">
        <w:rPr>
          <w:rFonts w:asciiTheme="minorHAnsi" w:eastAsia="SimSun" w:hAnsiTheme="minorHAnsi" w:cstheme="minorBidi"/>
        </w:rPr>
        <w:t xml:space="preserve"> million over a period of 4 years</w:t>
      </w:r>
      <w:r w:rsidR="00E0379A" w:rsidRPr="15373CCD">
        <w:rPr>
          <w:rFonts w:asciiTheme="minorHAnsi" w:eastAsia="SimSun" w:hAnsiTheme="minorHAnsi" w:cstheme="minorBidi"/>
        </w:rPr>
        <w:t xml:space="preserve"> (2024-2027).</w:t>
      </w:r>
      <w:r w:rsidR="00190C69" w:rsidRPr="15373CCD">
        <w:rPr>
          <w:rFonts w:asciiTheme="minorHAnsi" w:eastAsia="SimSun" w:hAnsiTheme="minorHAnsi" w:cstheme="minorBidi"/>
        </w:rPr>
        <w:t xml:space="preserve"> The Radiocommunication Bureau carried out a detailed assessment of the minimum amount needed to implement the required WRC-23 decisions in 2024 as shown in document </w:t>
      </w:r>
      <w:hyperlink r:id="rId20" w:history="1">
        <w:r w:rsidR="38F6FF80" w:rsidRPr="15373CCD">
          <w:rPr>
            <w:rStyle w:val="Hyperlink"/>
            <w:rFonts w:asciiTheme="minorHAnsi" w:eastAsia="SimSun" w:hAnsiTheme="minorHAnsi" w:cstheme="minorBidi"/>
          </w:rPr>
          <w:t>C24/63</w:t>
        </w:r>
      </w:hyperlink>
      <w:r w:rsidR="00190C69" w:rsidRPr="15373CCD">
        <w:rPr>
          <w:rFonts w:asciiTheme="minorHAnsi" w:eastAsia="SimSun" w:hAnsiTheme="minorHAnsi" w:cstheme="minorBidi"/>
        </w:rPr>
        <w:t>. This absolute minimum amounts to CHF 3</w:t>
      </w:r>
      <w:r w:rsidR="00FC6D52" w:rsidRPr="15373CCD">
        <w:rPr>
          <w:rFonts w:asciiTheme="minorHAnsi" w:eastAsia="SimSun" w:hAnsiTheme="minorHAnsi" w:cstheme="minorBidi"/>
        </w:rPr>
        <w:t>,</w:t>
      </w:r>
      <w:r w:rsidR="00190C69" w:rsidRPr="15373CCD">
        <w:rPr>
          <w:rFonts w:asciiTheme="minorHAnsi" w:eastAsia="SimSun" w:hAnsiTheme="minorHAnsi" w:cstheme="minorBidi"/>
        </w:rPr>
        <w:t>33</w:t>
      </w:r>
      <w:r w:rsidR="00FC6D52" w:rsidRPr="15373CCD">
        <w:rPr>
          <w:rFonts w:asciiTheme="minorHAnsi" w:eastAsia="SimSun" w:hAnsiTheme="minorHAnsi" w:cstheme="minorBidi"/>
        </w:rPr>
        <w:t>0</w:t>
      </w:r>
      <w:r w:rsidR="00086E63">
        <w:rPr>
          <w:rFonts w:asciiTheme="minorHAnsi" w:eastAsia="SimSun" w:hAnsiTheme="minorHAnsi" w:cstheme="minorBidi"/>
        </w:rPr>
        <w:t>K</w:t>
      </w:r>
      <w:r w:rsidR="00FC6D52" w:rsidRPr="15373CCD">
        <w:rPr>
          <w:rFonts w:asciiTheme="minorHAnsi" w:eastAsia="SimSun" w:hAnsiTheme="minorHAnsi" w:cstheme="minorBidi"/>
        </w:rPr>
        <w:t>.</w:t>
      </w:r>
      <w:r w:rsidR="00E0379A" w:rsidRPr="15373CCD">
        <w:rPr>
          <w:rFonts w:asciiTheme="minorHAnsi" w:eastAsia="SimSun" w:hAnsiTheme="minorHAnsi" w:cstheme="minorBidi"/>
        </w:rPr>
        <w:t xml:space="preserve"> As an initial contribution to the latter, it is proposed to allocate</w:t>
      </w:r>
      <w:r w:rsidR="004D424C" w:rsidRPr="15373CCD">
        <w:rPr>
          <w:rFonts w:asciiTheme="minorHAnsi" w:eastAsia="SimSun" w:hAnsiTheme="minorHAnsi" w:cstheme="minorBidi"/>
        </w:rPr>
        <w:t xml:space="preserve"> the full amount of the 2023 budget implementation </w:t>
      </w:r>
      <w:r w:rsidR="00190C69" w:rsidRPr="15373CCD">
        <w:rPr>
          <w:rFonts w:asciiTheme="minorHAnsi" w:eastAsia="SimSun" w:hAnsiTheme="minorHAnsi" w:cstheme="minorBidi"/>
        </w:rPr>
        <w:t>savings</w:t>
      </w:r>
      <w:r w:rsidR="004D424C" w:rsidRPr="15373CCD">
        <w:rPr>
          <w:rFonts w:asciiTheme="minorHAnsi" w:eastAsia="SimSun" w:hAnsiTheme="minorHAnsi" w:cstheme="minorBidi"/>
        </w:rPr>
        <w:t>, i.e.</w:t>
      </w:r>
      <w:r w:rsidR="00E0379A" w:rsidRPr="15373CCD">
        <w:rPr>
          <w:rFonts w:asciiTheme="minorHAnsi" w:eastAsia="SimSun" w:hAnsiTheme="minorHAnsi" w:cstheme="minorBidi"/>
        </w:rPr>
        <w:t xml:space="preserve"> </w:t>
      </w:r>
      <w:r w:rsidR="00E0379A" w:rsidRPr="007B5DEA">
        <w:rPr>
          <w:rFonts w:asciiTheme="minorHAnsi" w:eastAsia="SimSun" w:hAnsiTheme="minorHAnsi" w:cstheme="minorBidi"/>
          <w:b/>
        </w:rPr>
        <w:t>CHF</w:t>
      </w:r>
      <w:r w:rsidR="0013217C" w:rsidRPr="007B5DEA">
        <w:rPr>
          <w:rFonts w:asciiTheme="minorHAnsi" w:eastAsia="SimSun" w:hAnsiTheme="minorHAnsi" w:cstheme="minorBidi"/>
          <w:b/>
        </w:rPr>
        <w:t> </w:t>
      </w:r>
      <w:r w:rsidR="00E0379A" w:rsidRPr="007B5DEA">
        <w:rPr>
          <w:rFonts w:asciiTheme="minorHAnsi" w:eastAsia="SimSun" w:hAnsiTheme="minorHAnsi" w:cstheme="minorBidi"/>
          <w:b/>
        </w:rPr>
        <w:t>1,423</w:t>
      </w:r>
      <w:r w:rsidR="00086E63" w:rsidRPr="007B5DEA">
        <w:rPr>
          <w:rFonts w:asciiTheme="minorHAnsi" w:eastAsia="SimSun" w:hAnsiTheme="minorHAnsi" w:cstheme="minorBidi"/>
          <w:b/>
        </w:rPr>
        <w:t>K</w:t>
      </w:r>
      <w:r w:rsidR="00E0379A" w:rsidRPr="007B5DEA">
        <w:rPr>
          <w:rFonts w:asciiTheme="minorHAnsi" w:eastAsia="SimSun" w:hAnsiTheme="minorHAnsi" w:cstheme="minorBidi"/>
        </w:rPr>
        <w:t xml:space="preserve"> </w:t>
      </w:r>
      <w:r w:rsidR="00E0379A" w:rsidRPr="15373CCD">
        <w:rPr>
          <w:rFonts w:asciiTheme="minorHAnsi" w:eastAsia="SimSun" w:hAnsiTheme="minorHAnsi" w:cstheme="minorBidi"/>
        </w:rPr>
        <w:t>to the implementation of WRC-23 decisions</w:t>
      </w:r>
      <w:r w:rsidR="002F5E26" w:rsidRPr="15373CCD">
        <w:rPr>
          <w:rFonts w:asciiTheme="minorHAnsi" w:eastAsia="SimSun" w:hAnsiTheme="minorHAnsi" w:cstheme="minorBidi"/>
        </w:rPr>
        <w:t>.</w:t>
      </w:r>
      <w:r w:rsidR="00384BEF" w:rsidRPr="15373CCD">
        <w:rPr>
          <w:rFonts w:asciiTheme="minorHAnsi" w:eastAsia="SimSun" w:hAnsiTheme="minorHAnsi" w:cstheme="minorBidi"/>
        </w:rPr>
        <w:t xml:space="preserve"> The </w:t>
      </w:r>
      <w:r w:rsidR="00107EAF">
        <w:rPr>
          <w:rFonts w:asciiTheme="minorHAnsi" w:eastAsia="SimSun" w:hAnsiTheme="minorHAnsi" w:cstheme="minorBidi"/>
        </w:rPr>
        <w:t>m</w:t>
      </w:r>
      <w:r w:rsidR="00384BEF" w:rsidRPr="15373CCD">
        <w:rPr>
          <w:rFonts w:asciiTheme="minorHAnsi" w:eastAsia="SimSun" w:hAnsiTheme="minorHAnsi" w:cstheme="minorBidi"/>
        </w:rPr>
        <w:t xml:space="preserve">anagement wishes to kindly invite voluntary contributions from Member States to </w:t>
      </w:r>
      <w:r w:rsidR="383F3F84" w:rsidRPr="65895C45">
        <w:rPr>
          <w:rFonts w:asciiTheme="minorHAnsi" w:eastAsia="SimSun" w:hAnsiTheme="minorHAnsi" w:cstheme="minorBidi"/>
        </w:rPr>
        <w:t>support</w:t>
      </w:r>
      <w:r w:rsidR="00384BEF" w:rsidRPr="15373CCD">
        <w:rPr>
          <w:rFonts w:asciiTheme="minorHAnsi" w:eastAsia="SimSun" w:hAnsiTheme="minorHAnsi" w:cstheme="minorBidi"/>
        </w:rPr>
        <w:t xml:space="preserve"> the </w:t>
      </w:r>
      <w:r w:rsidR="00384BEF" w:rsidRPr="2C379E61">
        <w:rPr>
          <w:rFonts w:asciiTheme="minorHAnsi" w:eastAsia="SimSun" w:hAnsiTheme="minorHAnsi" w:cstheme="minorBidi"/>
        </w:rPr>
        <w:t>implement</w:t>
      </w:r>
      <w:r w:rsidR="62F588F2" w:rsidRPr="2C379E61">
        <w:rPr>
          <w:rFonts w:asciiTheme="minorHAnsi" w:eastAsia="SimSun" w:hAnsiTheme="minorHAnsi" w:cstheme="minorBidi"/>
        </w:rPr>
        <w:t>ation</w:t>
      </w:r>
      <w:r w:rsidR="00384BEF" w:rsidRPr="15373CCD">
        <w:rPr>
          <w:rFonts w:asciiTheme="minorHAnsi" w:eastAsia="SimSun" w:hAnsiTheme="minorHAnsi" w:cstheme="minorBidi"/>
        </w:rPr>
        <w:t xml:space="preserve"> </w:t>
      </w:r>
      <w:r w:rsidR="62F588F2" w:rsidRPr="767DC731">
        <w:rPr>
          <w:rFonts w:asciiTheme="minorHAnsi" w:eastAsia="SimSun" w:hAnsiTheme="minorHAnsi" w:cstheme="minorBidi"/>
        </w:rPr>
        <w:t>of</w:t>
      </w:r>
      <w:r w:rsidR="00384BEF" w:rsidRPr="767DC731">
        <w:rPr>
          <w:rFonts w:asciiTheme="minorHAnsi" w:eastAsia="SimSun" w:hAnsiTheme="minorHAnsi" w:cstheme="minorBidi"/>
        </w:rPr>
        <w:t xml:space="preserve"> </w:t>
      </w:r>
      <w:r w:rsidR="00384BEF" w:rsidRPr="15373CCD">
        <w:rPr>
          <w:rFonts w:asciiTheme="minorHAnsi" w:eastAsia="SimSun" w:hAnsiTheme="minorHAnsi" w:cstheme="minorBidi"/>
        </w:rPr>
        <w:t>the decisions of the WRC-23.</w:t>
      </w:r>
    </w:p>
    <w:p w14:paraId="212C3470" w14:textId="7CFA3D64" w:rsidR="002F5E26" w:rsidRPr="007B5DEA" w:rsidRDefault="002F5E26" w:rsidP="002F5E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/>
          <w:bCs/>
          <w:szCs w:val="24"/>
        </w:rPr>
      </w:pPr>
      <w:r w:rsidRPr="007B5DEA">
        <w:rPr>
          <w:rFonts w:asciiTheme="minorHAnsi" w:eastAsia="SimSun" w:hAnsiTheme="minorHAnsi" w:cstheme="minorHAnsi"/>
          <w:b/>
          <w:bCs/>
          <w:szCs w:val="24"/>
        </w:rPr>
        <w:t>3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ab/>
        <w:t xml:space="preserve">Allocation to the Transformation </w:t>
      </w:r>
      <w:r w:rsidR="00054FE7">
        <w:rPr>
          <w:rFonts w:asciiTheme="minorHAnsi" w:eastAsia="SimSun" w:hAnsiTheme="minorHAnsi" w:cstheme="minorHAnsi"/>
          <w:b/>
          <w:bCs/>
          <w:szCs w:val="24"/>
        </w:rPr>
        <w:t xml:space="preserve">process </w:t>
      </w:r>
      <w:r w:rsidR="006D0F10">
        <w:rPr>
          <w:rFonts w:asciiTheme="minorHAnsi" w:eastAsia="SimSun" w:hAnsiTheme="minorHAnsi" w:cstheme="minorHAnsi"/>
          <w:b/>
          <w:bCs/>
          <w:szCs w:val="24"/>
        </w:rPr>
        <w:t>and roadmap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 xml:space="preserve">, </w:t>
      </w:r>
      <w:r w:rsidR="00054FE7">
        <w:rPr>
          <w:rFonts w:asciiTheme="minorHAnsi" w:eastAsia="SimSun" w:hAnsiTheme="minorHAnsi" w:cstheme="minorHAnsi"/>
          <w:b/>
          <w:bCs/>
          <w:szCs w:val="24"/>
        </w:rPr>
        <w:t xml:space="preserve">the 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>roadmap for website improvement</w:t>
      </w:r>
      <w:r w:rsidR="00A279BC">
        <w:rPr>
          <w:rFonts w:asciiTheme="minorHAnsi" w:eastAsia="SimSun" w:hAnsiTheme="minorHAnsi" w:cstheme="minorHAnsi"/>
          <w:b/>
          <w:bCs/>
          <w:szCs w:val="24"/>
        </w:rPr>
        <w:t xml:space="preserve">, </w:t>
      </w:r>
      <w:r w:rsidR="00054FE7">
        <w:rPr>
          <w:rFonts w:asciiTheme="minorHAnsi" w:eastAsia="SimSun" w:hAnsiTheme="minorHAnsi" w:cstheme="minorHAnsi"/>
          <w:b/>
          <w:bCs/>
          <w:szCs w:val="24"/>
        </w:rPr>
        <w:t xml:space="preserve">the 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>Young Professional Program</w:t>
      </w:r>
      <w:r w:rsidR="00920DB9">
        <w:rPr>
          <w:rFonts w:asciiTheme="minorHAnsi" w:eastAsia="SimSun" w:hAnsiTheme="minorHAnsi" w:cstheme="minorHAnsi"/>
          <w:b/>
          <w:bCs/>
          <w:szCs w:val="24"/>
        </w:rPr>
        <w:t>me</w:t>
      </w:r>
      <w:r w:rsidRPr="007B5DEA">
        <w:rPr>
          <w:rFonts w:asciiTheme="minorHAnsi" w:eastAsia="SimSun" w:hAnsiTheme="minorHAnsi" w:cstheme="minorHAnsi"/>
          <w:b/>
          <w:bCs/>
          <w:szCs w:val="24"/>
        </w:rPr>
        <w:t xml:space="preserve"> (YPP)</w:t>
      </w:r>
      <w:r w:rsidR="00920DB9">
        <w:rPr>
          <w:rFonts w:asciiTheme="minorHAnsi" w:eastAsia="SimSun" w:hAnsiTheme="minorHAnsi" w:cstheme="minorHAnsi"/>
          <w:b/>
          <w:bCs/>
          <w:szCs w:val="24"/>
        </w:rPr>
        <w:t>,</w:t>
      </w:r>
      <w:r w:rsidR="00A279BC">
        <w:rPr>
          <w:rFonts w:asciiTheme="minorHAnsi" w:eastAsia="SimSun" w:hAnsiTheme="minorHAnsi" w:cstheme="minorHAnsi"/>
          <w:b/>
          <w:bCs/>
          <w:szCs w:val="24"/>
        </w:rPr>
        <w:t xml:space="preserve"> and WTPF-26 preparations</w:t>
      </w:r>
    </w:p>
    <w:p w14:paraId="77E7D4ED" w14:textId="562C9307" w:rsidR="00B14DDC" w:rsidRPr="00B14DDC" w:rsidRDefault="00404C3E" w:rsidP="00B14DD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Bidi"/>
        </w:rPr>
      </w:pPr>
      <w:r w:rsidRPr="15373CCD">
        <w:rPr>
          <w:rFonts w:asciiTheme="minorHAnsi" w:eastAsia="SimSun" w:hAnsiTheme="minorHAnsi" w:cstheme="minorBidi"/>
        </w:rPr>
        <w:t>a)</w:t>
      </w:r>
      <w:r>
        <w:tab/>
      </w:r>
      <w:r w:rsidR="001A2F1B" w:rsidRPr="00C24451">
        <w:t>The case for change on ITU’s organizational excellence has been highlighted in the ITU Strategic Plan for 2024-2027</w:t>
      </w:r>
      <w:r w:rsidR="001A2F1B">
        <w:t xml:space="preserve"> and the Plenipotentiary Decision</w:t>
      </w:r>
      <w:r w:rsidR="00CC22DB">
        <w:t xml:space="preserve"> 5</w:t>
      </w:r>
      <w:r w:rsidR="001A2F1B">
        <w:t xml:space="preserve">. </w:t>
      </w:r>
      <w:r w:rsidR="00A34AF1">
        <w:rPr>
          <w:rStyle w:val="normaltextrun"/>
          <w:rFonts w:cs="Calibri"/>
          <w:color w:val="000000"/>
          <w:shd w:val="clear" w:color="auto" w:fill="FFFFFF"/>
        </w:rPr>
        <w:t>Organizational excellence refers to improving the quality of work of the ITU secretariat, and thereby improving the services provided by ITU to its membership and other stakeholders.</w:t>
      </w:r>
      <w:r w:rsidR="001A2F1B">
        <w:rPr>
          <w:rStyle w:val="normaltextrun"/>
          <w:rFonts w:eastAsia="SimSun" w:cs="Calibri"/>
          <w:color w:val="000000"/>
          <w:shd w:val="clear" w:color="auto" w:fill="FFFFFF"/>
        </w:rPr>
        <w:t xml:space="preserve"> </w:t>
      </w:r>
      <w:r w:rsidR="002F5E26" w:rsidRPr="15373CCD">
        <w:rPr>
          <w:rFonts w:asciiTheme="minorHAnsi" w:eastAsia="SimSun" w:hAnsiTheme="minorHAnsi" w:cstheme="minorBidi"/>
        </w:rPr>
        <w:t xml:space="preserve">The transformation </w:t>
      </w:r>
      <w:r w:rsidR="00054FE7">
        <w:rPr>
          <w:rFonts w:asciiTheme="minorHAnsi" w:eastAsia="SimSun" w:hAnsiTheme="minorHAnsi" w:cstheme="minorBidi"/>
        </w:rPr>
        <w:t xml:space="preserve">process </w:t>
      </w:r>
      <w:r w:rsidR="00DE21A2">
        <w:rPr>
          <w:rFonts w:asciiTheme="minorHAnsi" w:eastAsia="SimSun" w:hAnsiTheme="minorHAnsi" w:cstheme="minorBidi"/>
        </w:rPr>
        <w:t>and the roadmap</w:t>
      </w:r>
      <w:r w:rsidR="00855F7D">
        <w:rPr>
          <w:rFonts w:asciiTheme="minorHAnsi" w:eastAsia="SimSun" w:hAnsiTheme="minorHAnsi" w:cstheme="minorBidi"/>
        </w:rPr>
        <w:t xml:space="preserve"> </w:t>
      </w:r>
      <w:r w:rsidR="004E78C8">
        <w:rPr>
          <w:rFonts w:asciiTheme="minorHAnsi" w:eastAsia="SimSun" w:hAnsiTheme="minorHAnsi" w:cstheme="minorBidi"/>
        </w:rPr>
        <w:t>are</w:t>
      </w:r>
      <w:r w:rsidR="00DE21A2">
        <w:rPr>
          <w:rFonts w:asciiTheme="minorHAnsi" w:eastAsia="SimSun" w:hAnsiTheme="minorHAnsi" w:cstheme="minorBidi"/>
        </w:rPr>
        <w:t xml:space="preserve"> structured around </w:t>
      </w:r>
      <w:r w:rsidR="00447A58">
        <w:rPr>
          <w:rFonts w:asciiTheme="minorHAnsi" w:eastAsia="SimSun" w:hAnsiTheme="minorHAnsi" w:cstheme="minorBidi"/>
        </w:rPr>
        <w:t>four pillars</w:t>
      </w:r>
      <w:r w:rsidR="005D38C4">
        <w:rPr>
          <w:rFonts w:asciiTheme="minorHAnsi" w:eastAsia="SimSun" w:hAnsiTheme="minorHAnsi" w:cstheme="minorBidi"/>
        </w:rPr>
        <w:t>:</w:t>
      </w:r>
      <w:r w:rsidR="00447A58">
        <w:rPr>
          <w:rFonts w:asciiTheme="minorHAnsi" w:eastAsia="SimSun" w:hAnsiTheme="minorHAnsi" w:cstheme="minorBidi"/>
        </w:rPr>
        <w:t xml:space="preserve"> </w:t>
      </w:r>
      <w:r w:rsidR="00B14DDC">
        <w:rPr>
          <w:rFonts w:asciiTheme="minorHAnsi" w:eastAsia="SimSun" w:hAnsiTheme="minorHAnsi" w:cstheme="minorBidi"/>
        </w:rPr>
        <w:t>(</w:t>
      </w:r>
      <w:r w:rsidR="00B14DDC" w:rsidRPr="00B14DDC">
        <w:rPr>
          <w:rFonts w:asciiTheme="minorHAnsi" w:eastAsia="SimSun" w:hAnsiTheme="minorHAnsi" w:cstheme="minorBidi"/>
        </w:rPr>
        <w:t>1</w:t>
      </w:r>
      <w:r w:rsidR="00B14DDC">
        <w:rPr>
          <w:rFonts w:asciiTheme="minorHAnsi" w:eastAsia="SimSun" w:hAnsiTheme="minorHAnsi" w:cstheme="minorBidi"/>
        </w:rPr>
        <w:t>)</w:t>
      </w:r>
      <w:r w:rsidR="005D38C4">
        <w:rPr>
          <w:rFonts w:asciiTheme="minorHAnsi" w:eastAsia="SimSun" w:hAnsiTheme="minorHAnsi" w:cstheme="minorBidi"/>
        </w:rPr>
        <w:t xml:space="preserve"> </w:t>
      </w:r>
      <w:r w:rsidR="00CA0148">
        <w:rPr>
          <w:rFonts w:asciiTheme="minorHAnsi" w:eastAsia="SimSun" w:hAnsiTheme="minorHAnsi" w:cstheme="minorBidi"/>
        </w:rPr>
        <w:t>people and culture</w:t>
      </w:r>
      <w:r w:rsidR="00B14DDC" w:rsidRPr="00B14DDC">
        <w:rPr>
          <w:rFonts w:asciiTheme="minorHAnsi" w:eastAsia="SimSun" w:hAnsiTheme="minorHAnsi" w:cstheme="minorBidi"/>
        </w:rPr>
        <w:t>;</w:t>
      </w:r>
      <w:r w:rsidR="00B14DDC">
        <w:rPr>
          <w:rFonts w:asciiTheme="minorHAnsi" w:eastAsia="SimSun" w:hAnsiTheme="minorHAnsi" w:cstheme="minorBidi"/>
        </w:rPr>
        <w:t xml:space="preserve"> (2) </w:t>
      </w:r>
      <w:r w:rsidR="00CA0148">
        <w:rPr>
          <w:rFonts w:asciiTheme="minorHAnsi" w:eastAsia="SimSun" w:hAnsiTheme="minorHAnsi" w:cstheme="minorBidi"/>
        </w:rPr>
        <w:t>resource optimization</w:t>
      </w:r>
      <w:r w:rsidR="008B3B97">
        <w:rPr>
          <w:rFonts w:asciiTheme="minorHAnsi" w:eastAsia="SimSun" w:hAnsiTheme="minorHAnsi" w:cstheme="minorBidi"/>
        </w:rPr>
        <w:t>;</w:t>
      </w:r>
      <w:r w:rsidR="00B14DDC">
        <w:rPr>
          <w:rFonts w:asciiTheme="minorHAnsi" w:eastAsia="SimSun" w:hAnsiTheme="minorHAnsi" w:cstheme="minorBidi"/>
        </w:rPr>
        <w:t xml:space="preserve"> (3) </w:t>
      </w:r>
      <w:r w:rsidR="00B14DDC" w:rsidRPr="00B14DDC">
        <w:rPr>
          <w:rFonts w:asciiTheme="minorHAnsi" w:eastAsia="SimSun" w:hAnsiTheme="minorHAnsi" w:cstheme="minorBidi"/>
        </w:rPr>
        <w:t>systems, processes</w:t>
      </w:r>
      <w:r w:rsidR="005474FE">
        <w:rPr>
          <w:rFonts w:asciiTheme="minorHAnsi" w:eastAsia="SimSun" w:hAnsiTheme="minorHAnsi" w:cstheme="minorBidi"/>
        </w:rPr>
        <w:t>,</w:t>
      </w:r>
      <w:r w:rsidR="00B14DDC" w:rsidRPr="00B14DDC">
        <w:rPr>
          <w:rFonts w:asciiTheme="minorHAnsi" w:eastAsia="SimSun" w:hAnsiTheme="minorHAnsi" w:cstheme="minorBidi"/>
        </w:rPr>
        <w:t xml:space="preserve"> and tools; and </w:t>
      </w:r>
      <w:r w:rsidR="008C7BE2">
        <w:rPr>
          <w:rFonts w:asciiTheme="minorHAnsi" w:eastAsia="SimSun" w:hAnsiTheme="minorHAnsi" w:cstheme="minorBidi"/>
        </w:rPr>
        <w:t>(4)</w:t>
      </w:r>
      <w:r w:rsidR="00B14DDC" w:rsidRPr="00B14DDC">
        <w:rPr>
          <w:rFonts w:asciiTheme="minorHAnsi" w:eastAsia="SimSun" w:hAnsiTheme="minorHAnsi" w:cstheme="minorBidi"/>
        </w:rPr>
        <w:t xml:space="preserve"> governance</w:t>
      </w:r>
      <w:r w:rsidR="00BC2533">
        <w:rPr>
          <w:rFonts w:asciiTheme="minorHAnsi" w:eastAsia="SimSun" w:hAnsiTheme="minorHAnsi" w:cstheme="minorBidi"/>
        </w:rPr>
        <w:t>. The implementation</w:t>
      </w:r>
      <w:r w:rsidR="00604CFA">
        <w:rPr>
          <w:rFonts w:asciiTheme="minorHAnsi" w:eastAsia="SimSun" w:hAnsiTheme="minorHAnsi" w:cstheme="minorBidi"/>
        </w:rPr>
        <w:t xml:space="preserve">, as detailed in document </w:t>
      </w:r>
      <w:hyperlink r:id="rId21" w:history="1">
        <w:r w:rsidR="00604CFA" w:rsidRPr="00604CFA">
          <w:rPr>
            <w:rStyle w:val="Hyperlink"/>
            <w:rFonts w:asciiTheme="minorHAnsi" w:eastAsia="SimSun" w:hAnsiTheme="minorHAnsi" w:cstheme="minorBidi"/>
          </w:rPr>
          <w:t>C24/52</w:t>
        </w:r>
      </w:hyperlink>
      <w:r w:rsidR="00604CFA">
        <w:rPr>
          <w:rFonts w:asciiTheme="minorHAnsi" w:eastAsia="SimSun" w:hAnsiTheme="minorHAnsi" w:cstheme="minorBidi"/>
        </w:rPr>
        <w:t>,</w:t>
      </w:r>
      <w:r w:rsidR="00DF1F8B">
        <w:rPr>
          <w:rFonts w:asciiTheme="minorHAnsi" w:eastAsia="SimSun" w:hAnsiTheme="minorHAnsi" w:cstheme="minorBidi"/>
        </w:rPr>
        <w:t xml:space="preserve"> </w:t>
      </w:r>
      <w:r w:rsidR="008E1A3F">
        <w:rPr>
          <w:rFonts w:asciiTheme="minorHAnsi" w:eastAsia="SimSun" w:hAnsiTheme="minorHAnsi" w:cstheme="minorBidi"/>
        </w:rPr>
        <w:t>will require human and financial resources</w:t>
      </w:r>
      <w:r w:rsidR="00FA666A">
        <w:rPr>
          <w:rFonts w:asciiTheme="minorHAnsi" w:eastAsia="SimSun" w:hAnsiTheme="minorHAnsi" w:cstheme="minorBidi"/>
        </w:rPr>
        <w:t>.</w:t>
      </w:r>
    </w:p>
    <w:p w14:paraId="22A721D8" w14:textId="460B5035" w:rsidR="00404C3E" w:rsidRDefault="00404C3E" w:rsidP="15373CC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pacing w:after="120"/>
        <w:jc w:val="both"/>
        <w:rPr>
          <w:rFonts w:asciiTheme="minorHAnsi" w:eastAsia="SimSun" w:hAnsiTheme="minorHAnsi" w:cstheme="minorBidi"/>
        </w:rPr>
      </w:pPr>
      <w:r w:rsidRPr="15373CCD">
        <w:rPr>
          <w:rFonts w:asciiTheme="minorHAnsi" w:eastAsia="SimSun" w:hAnsiTheme="minorHAnsi" w:cstheme="minorBidi"/>
        </w:rPr>
        <w:t>b)</w:t>
      </w:r>
      <w:r>
        <w:tab/>
      </w:r>
      <w:r w:rsidR="002F5E26">
        <w:rPr>
          <w:rFonts w:eastAsia="SimSun"/>
        </w:rPr>
        <w:t xml:space="preserve">The </w:t>
      </w:r>
      <w:r w:rsidR="00AE4195">
        <w:t xml:space="preserve">Transformation process includes </w:t>
      </w:r>
      <w:r w:rsidR="00AE4195">
        <w:rPr>
          <w:rFonts w:asciiTheme="minorHAnsi" w:eastAsia="SimSun" w:hAnsiTheme="minorHAnsi" w:cstheme="minorBidi"/>
        </w:rPr>
        <w:t>t</w:t>
      </w:r>
      <w:r w:rsidR="002F5E26" w:rsidRPr="15373CCD">
        <w:rPr>
          <w:rFonts w:asciiTheme="minorHAnsi" w:eastAsia="SimSun" w:hAnsiTheme="minorHAnsi" w:cstheme="minorBidi"/>
        </w:rPr>
        <w:t>he roadmap to improve ITU website search and harmonization</w:t>
      </w:r>
      <w:r w:rsidR="00AE4195">
        <w:rPr>
          <w:rFonts w:asciiTheme="minorHAnsi" w:eastAsia="SimSun" w:hAnsiTheme="minorHAnsi" w:cstheme="minorBidi"/>
        </w:rPr>
        <w:t>, which</w:t>
      </w:r>
      <w:r w:rsidR="002F5E26" w:rsidRPr="15373CCD">
        <w:rPr>
          <w:rFonts w:asciiTheme="minorHAnsi" w:eastAsia="SimSun" w:hAnsiTheme="minorHAnsi" w:cstheme="minorBidi"/>
        </w:rPr>
        <w:t xml:space="preserve"> focuses on developing a modern, mobile-responsive, secure, and multilingual website, characterized by a unified information architecture and well-defined taxonomy. The aim is to provide strong search capabilities, user-friendly navigation, and consistent branding and messaging. The goal is to ensure a design that prioritizes and enhances the user experience.</w:t>
      </w:r>
      <w:r w:rsidR="001F5509" w:rsidRPr="15373CCD">
        <w:rPr>
          <w:rFonts w:asciiTheme="minorHAnsi" w:eastAsia="SimSun" w:hAnsiTheme="minorHAnsi" w:cstheme="minorBidi"/>
        </w:rPr>
        <w:t xml:space="preserve"> </w:t>
      </w:r>
      <w:r w:rsidR="00384BEF" w:rsidRPr="15373CCD">
        <w:rPr>
          <w:rFonts w:asciiTheme="minorHAnsi" w:eastAsia="SimSun" w:hAnsiTheme="minorHAnsi" w:cstheme="minorBidi"/>
        </w:rPr>
        <w:t xml:space="preserve">Please see </w:t>
      </w:r>
      <w:r w:rsidR="00384BEF" w:rsidRPr="000B1626">
        <w:rPr>
          <w:rFonts w:asciiTheme="minorHAnsi" w:eastAsia="SimSun" w:hAnsiTheme="minorHAnsi" w:cstheme="minorBidi"/>
        </w:rPr>
        <w:t xml:space="preserve">document </w:t>
      </w:r>
      <w:hyperlink r:id="rId22" w:history="1">
        <w:r w:rsidR="000B1626" w:rsidRPr="000B1626">
          <w:rPr>
            <w:rStyle w:val="Hyperlink"/>
            <w:rFonts w:asciiTheme="minorHAnsi" w:eastAsia="SimSun" w:hAnsiTheme="minorHAnsi" w:cstheme="minorBidi"/>
          </w:rPr>
          <w:t>C24/</w:t>
        </w:r>
        <w:r w:rsidR="000B1626" w:rsidRPr="007B5DEA">
          <w:rPr>
            <w:rStyle w:val="Hyperlink"/>
            <w:rFonts w:asciiTheme="minorHAnsi" w:eastAsia="SimSun" w:hAnsiTheme="minorHAnsi" w:cstheme="minorBidi"/>
          </w:rPr>
          <w:t>53</w:t>
        </w:r>
      </w:hyperlink>
      <w:r w:rsidR="74A095F2" w:rsidRPr="000B1626">
        <w:rPr>
          <w:rFonts w:asciiTheme="minorHAnsi" w:eastAsia="SimSun" w:hAnsiTheme="minorHAnsi" w:cstheme="minorBidi"/>
        </w:rPr>
        <w:t xml:space="preserve"> </w:t>
      </w:r>
      <w:r w:rsidR="00D2213C" w:rsidRPr="000B1626">
        <w:rPr>
          <w:rFonts w:asciiTheme="minorHAnsi" w:eastAsia="SimSun" w:hAnsiTheme="minorHAnsi" w:cstheme="minorBidi"/>
        </w:rPr>
        <w:t>for</w:t>
      </w:r>
      <w:r w:rsidR="00D2213C">
        <w:rPr>
          <w:rFonts w:asciiTheme="minorHAnsi" w:eastAsia="SimSun" w:hAnsiTheme="minorHAnsi" w:cstheme="minorBidi"/>
        </w:rPr>
        <w:t xml:space="preserve"> further details</w:t>
      </w:r>
      <w:r w:rsidR="005054C2">
        <w:rPr>
          <w:rFonts w:asciiTheme="minorHAnsi" w:eastAsia="SimSun" w:hAnsiTheme="minorHAnsi" w:cstheme="minorBidi"/>
        </w:rPr>
        <w:t>.</w:t>
      </w:r>
      <w:r w:rsidR="00D2213C">
        <w:rPr>
          <w:rFonts w:asciiTheme="minorHAnsi" w:eastAsia="SimSun" w:hAnsiTheme="minorHAnsi" w:cstheme="minorBidi"/>
        </w:rPr>
        <w:t xml:space="preserve"> </w:t>
      </w:r>
    </w:p>
    <w:p w14:paraId="402DE1C1" w14:textId="4DADD401" w:rsidR="0401F6E7" w:rsidRDefault="0401F6E7" w:rsidP="007B5DEA">
      <w:pPr>
        <w:jc w:val="both"/>
        <w:rPr>
          <w:rFonts w:eastAsia="Calibri" w:cs="Calibri"/>
          <w:color w:val="000000" w:themeColor="text1"/>
        </w:rPr>
      </w:pPr>
      <w:r w:rsidRPr="794AC990">
        <w:rPr>
          <w:rFonts w:eastAsia="Calibri" w:cs="Calibri"/>
          <w:color w:val="000000" w:themeColor="text1"/>
        </w:rPr>
        <w:t>The project requires an estimated budget of CHF 600K as part of the Transformation Roadmap and budget</w:t>
      </w:r>
      <w:r w:rsidR="002A7F2E">
        <w:rPr>
          <w:rFonts w:eastAsia="Calibri" w:cs="Calibri"/>
          <w:color w:val="000000" w:themeColor="text1"/>
        </w:rPr>
        <w:t>.</w:t>
      </w:r>
    </w:p>
    <w:p w14:paraId="45F7035E" w14:textId="2824D614" w:rsidR="002F5E26" w:rsidRDefault="00404C3E" w:rsidP="186343B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Bidi"/>
        </w:rPr>
      </w:pPr>
      <w:r w:rsidRPr="186343B1">
        <w:rPr>
          <w:rFonts w:asciiTheme="minorHAnsi" w:eastAsia="SimSun" w:hAnsiTheme="minorHAnsi" w:cstheme="minorBidi"/>
        </w:rPr>
        <w:t>c)</w:t>
      </w:r>
      <w:r>
        <w:tab/>
      </w:r>
      <w:r w:rsidRPr="186343B1">
        <w:rPr>
          <w:rFonts w:asciiTheme="minorHAnsi" w:eastAsia="SimSun" w:hAnsiTheme="minorHAnsi" w:cstheme="minorBidi"/>
        </w:rPr>
        <w:t>Resolution 198 (Rev. Bucharest, 2022) of the Plenipotentiary Conference, on empowerment of youth through telecommunication/information and communication technology, instructs the Secretary-General to continue to ensure that the youth perspective is incorporated in the work programmes, management approaches</w:t>
      </w:r>
      <w:r w:rsidR="00AA70E1">
        <w:rPr>
          <w:rFonts w:asciiTheme="minorHAnsi" w:eastAsia="SimSun" w:hAnsiTheme="minorHAnsi" w:cstheme="minorBidi"/>
        </w:rPr>
        <w:t>,</w:t>
      </w:r>
      <w:r w:rsidRPr="186343B1">
        <w:rPr>
          <w:rFonts w:asciiTheme="minorHAnsi" w:eastAsia="SimSun" w:hAnsiTheme="minorHAnsi" w:cstheme="minorBidi"/>
        </w:rPr>
        <w:t xml:space="preserve"> and human resources development activities of ITU.</w:t>
      </w:r>
      <w:r w:rsidR="001F5509" w:rsidRPr="186343B1">
        <w:rPr>
          <w:rFonts w:asciiTheme="minorHAnsi" w:eastAsia="SimSun" w:hAnsiTheme="minorHAnsi" w:cstheme="minorBidi"/>
        </w:rPr>
        <w:t xml:space="preserve"> </w:t>
      </w:r>
      <w:r w:rsidR="001871B4">
        <w:rPr>
          <w:rFonts w:asciiTheme="minorHAnsi" w:eastAsia="SimSun" w:hAnsiTheme="minorHAnsi" w:cstheme="minorBidi"/>
        </w:rPr>
        <w:t>One</w:t>
      </w:r>
      <w:r w:rsidR="004622F8">
        <w:rPr>
          <w:rFonts w:asciiTheme="minorHAnsi" w:eastAsia="SimSun" w:hAnsiTheme="minorHAnsi" w:cstheme="minorBidi"/>
        </w:rPr>
        <w:t xml:space="preserve"> addition</w:t>
      </w:r>
      <w:r w:rsidR="00FA2AF5">
        <w:rPr>
          <w:rFonts w:asciiTheme="minorHAnsi" w:eastAsia="SimSun" w:hAnsiTheme="minorHAnsi" w:cstheme="minorBidi"/>
        </w:rPr>
        <w:t xml:space="preserve">al </w:t>
      </w:r>
      <w:r w:rsidR="00C74349">
        <w:rPr>
          <w:rFonts w:asciiTheme="minorHAnsi" w:eastAsia="SimSun" w:hAnsiTheme="minorHAnsi" w:cstheme="minorBidi"/>
        </w:rPr>
        <w:t>position for</w:t>
      </w:r>
      <w:r w:rsidR="00FA2AF5">
        <w:rPr>
          <w:rFonts w:asciiTheme="minorHAnsi" w:eastAsia="SimSun" w:hAnsiTheme="minorHAnsi" w:cstheme="minorBidi"/>
        </w:rPr>
        <w:t xml:space="preserve"> the YPP</w:t>
      </w:r>
      <w:r w:rsidR="009E2E17">
        <w:rPr>
          <w:rFonts w:asciiTheme="minorHAnsi" w:eastAsia="SimSun" w:hAnsiTheme="minorHAnsi" w:cstheme="minorBidi"/>
        </w:rPr>
        <w:t xml:space="preserve"> </w:t>
      </w:r>
      <w:r w:rsidR="001871B4">
        <w:rPr>
          <w:rFonts w:asciiTheme="minorHAnsi" w:eastAsia="SimSun" w:hAnsiTheme="minorHAnsi" w:cstheme="minorBidi"/>
        </w:rPr>
        <w:t>is</w:t>
      </w:r>
      <w:r w:rsidR="009E2E17">
        <w:rPr>
          <w:rFonts w:asciiTheme="minorHAnsi" w:eastAsia="SimSun" w:hAnsiTheme="minorHAnsi" w:cstheme="minorBidi"/>
        </w:rPr>
        <w:t xml:space="preserve"> proposed</w:t>
      </w:r>
      <w:r w:rsidR="003E572E">
        <w:rPr>
          <w:rFonts w:asciiTheme="minorHAnsi" w:eastAsia="SimSun" w:hAnsiTheme="minorHAnsi" w:cstheme="minorBidi"/>
        </w:rPr>
        <w:t xml:space="preserve"> for the next biennium</w:t>
      </w:r>
      <w:r w:rsidR="00DB659A">
        <w:rPr>
          <w:rFonts w:asciiTheme="minorHAnsi" w:eastAsia="SimSun" w:hAnsiTheme="minorHAnsi" w:cstheme="minorBidi"/>
        </w:rPr>
        <w:t xml:space="preserve"> via this allocation</w:t>
      </w:r>
      <w:r w:rsidR="009E2E17">
        <w:rPr>
          <w:rFonts w:asciiTheme="minorHAnsi" w:eastAsia="SimSun" w:hAnsiTheme="minorHAnsi" w:cstheme="minorBidi"/>
        </w:rPr>
        <w:t xml:space="preserve">, </w:t>
      </w:r>
      <w:r w:rsidR="00F16674">
        <w:rPr>
          <w:rFonts w:asciiTheme="minorHAnsi" w:eastAsia="SimSun" w:hAnsiTheme="minorHAnsi" w:cstheme="minorBidi"/>
        </w:rPr>
        <w:t xml:space="preserve">with an estimated budget of CHF </w:t>
      </w:r>
      <w:r w:rsidR="00212256">
        <w:rPr>
          <w:rFonts w:asciiTheme="minorHAnsi" w:eastAsia="SimSun" w:hAnsiTheme="minorHAnsi" w:cstheme="minorBidi"/>
        </w:rPr>
        <w:t>3</w:t>
      </w:r>
      <w:r w:rsidR="00F16674">
        <w:rPr>
          <w:rFonts w:asciiTheme="minorHAnsi" w:eastAsia="SimSun" w:hAnsiTheme="minorHAnsi" w:cstheme="minorBidi"/>
        </w:rPr>
        <w:t>00</w:t>
      </w:r>
      <w:r w:rsidR="0043780B">
        <w:rPr>
          <w:rFonts w:asciiTheme="minorHAnsi" w:eastAsia="SimSun" w:hAnsiTheme="minorHAnsi" w:cstheme="minorBidi"/>
        </w:rPr>
        <w:t>K</w:t>
      </w:r>
      <w:r w:rsidR="00F16674">
        <w:rPr>
          <w:rFonts w:asciiTheme="minorHAnsi" w:eastAsia="SimSun" w:hAnsiTheme="minorHAnsi" w:cstheme="minorBidi"/>
        </w:rPr>
        <w:t xml:space="preserve">. </w:t>
      </w:r>
      <w:r w:rsidR="00384BEF" w:rsidRPr="186343B1">
        <w:rPr>
          <w:rFonts w:asciiTheme="minorHAnsi" w:eastAsia="SimSun" w:hAnsiTheme="minorHAnsi" w:cstheme="minorBidi"/>
        </w:rPr>
        <w:t xml:space="preserve">Please </w:t>
      </w:r>
      <w:r w:rsidR="00E165E9">
        <w:rPr>
          <w:rFonts w:asciiTheme="minorHAnsi" w:eastAsia="SimSun" w:hAnsiTheme="minorHAnsi" w:cstheme="minorBidi"/>
        </w:rPr>
        <w:t>see</w:t>
      </w:r>
      <w:r w:rsidR="007418DE">
        <w:rPr>
          <w:rFonts w:asciiTheme="minorHAnsi" w:eastAsia="SimSun" w:hAnsiTheme="minorHAnsi" w:cstheme="minorBidi"/>
        </w:rPr>
        <w:t xml:space="preserve"> </w:t>
      </w:r>
      <w:r w:rsidR="00384BEF" w:rsidRPr="186343B1">
        <w:rPr>
          <w:rFonts w:asciiTheme="minorHAnsi" w:eastAsia="SimSun" w:hAnsiTheme="minorHAnsi" w:cstheme="minorBidi"/>
        </w:rPr>
        <w:t xml:space="preserve">document </w:t>
      </w:r>
      <w:hyperlink r:id="rId23" w:history="1">
        <w:r w:rsidR="00384BEF" w:rsidRPr="0043780B">
          <w:rPr>
            <w:rStyle w:val="Hyperlink"/>
            <w:rFonts w:asciiTheme="minorHAnsi" w:eastAsia="SimSun" w:hAnsiTheme="minorHAnsi" w:cstheme="minorBidi"/>
          </w:rPr>
          <w:t>C24/</w:t>
        </w:r>
        <w:r w:rsidR="721BFD15" w:rsidRPr="0043780B">
          <w:rPr>
            <w:rStyle w:val="Hyperlink"/>
            <w:rFonts w:asciiTheme="minorHAnsi" w:eastAsia="SimSun" w:hAnsiTheme="minorHAnsi" w:cstheme="minorBidi"/>
          </w:rPr>
          <w:t>31</w:t>
        </w:r>
      </w:hyperlink>
      <w:r w:rsidR="00384BEF" w:rsidRPr="186343B1">
        <w:rPr>
          <w:rFonts w:asciiTheme="minorHAnsi" w:eastAsia="SimSun" w:hAnsiTheme="minorHAnsi" w:cstheme="minorBidi"/>
        </w:rPr>
        <w:t xml:space="preserve"> </w:t>
      </w:r>
      <w:r w:rsidR="00E165E9">
        <w:rPr>
          <w:rFonts w:asciiTheme="minorHAnsi" w:eastAsia="SimSun" w:hAnsiTheme="minorHAnsi" w:cstheme="minorBidi"/>
        </w:rPr>
        <w:t>for further details</w:t>
      </w:r>
      <w:r w:rsidR="001B73DD">
        <w:rPr>
          <w:rFonts w:asciiTheme="minorHAnsi" w:eastAsia="SimSun" w:hAnsiTheme="minorHAnsi" w:cstheme="minorBidi"/>
        </w:rPr>
        <w:t>.</w:t>
      </w:r>
      <w:r w:rsidR="00384BEF" w:rsidRPr="186343B1">
        <w:rPr>
          <w:rFonts w:asciiTheme="minorHAnsi" w:eastAsia="SimSun" w:hAnsiTheme="minorHAnsi" w:cstheme="minorBidi"/>
        </w:rPr>
        <w:t xml:space="preserve"> </w:t>
      </w:r>
    </w:p>
    <w:p w14:paraId="186A3A8B" w14:textId="627FF2F6" w:rsidR="5D89911C" w:rsidRDefault="57B95F14" w:rsidP="15373CC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pacing w:after="120"/>
        <w:jc w:val="both"/>
        <w:rPr>
          <w:rFonts w:asciiTheme="minorHAnsi" w:eastAsia="SimSun" w:hAnsiTheme="minorHAnsi" w:cstheme="minorBidi"/>
        </w:rPr>
      </w:pPr>
      <w:r w:rsidRPr="15373CCD">
        <w:rPr>
          <w:rFonts w:asciiTheme="minorHAnsi" w:eastAsia="SimSun" w:hAnsiTheme="minorHAnsi" w:cstheme="minorBidi"/>
        </w:rPr>
        <w:lastRenderedPageBreak/>
        <w:t>d)</w:t>
      </w:r>
      <w:r w:rsidR="0043780B">
        <w:tab/>
      </w:r>
      <w:r w:rsidR="007418DE">
        <w:rPr>
          <w:rStyle w:val="normaltextrun"/>
          <w:rFonts w:cs="Calibri"/>
          <w:color w:val="000000"/>
          <w:shd w:val="clear" w:color="auto" w:fill="FFFFFF"/>
        </w:rPr>
        <w:t xml:space="preserve">The Plenipotentiary Conference (Bucharest, 2022) </w:t>
      </w:r>
      <w:r w:rsidR="007418DE">
        <w:rPr>
          <w:rStyle w:val="normaltextrun"/>
          <w:rFonts w:cs="Calibri"/>
          <w:color w:val="000000"/>
          <w:shd w:val="clear" w:color="auto" w:fill="FFFFFF"/>
          <w:lang w:val="en-CA"/>
        </w:rPr>
        <w:t xml:space="preserve">instructed the Council to schedule a </w:t>
      </w:r>
      <w:r w:rsidR="5BC2AA4B" w:rsidRPr="15373CCD">
        <w:rPr>
          <w:rFonts w:asciiTheme="minorHAnsi" w:eastAsia="SimSun" w:hAnsiTheme="minorHAnsi" w:cstheme="minorBidi"/>
        </w:rPr>
        <w:t>World Telecommunication</w:t>
      </w:r>
      <w:r w:rsidR="00BA727E">
        <w:rPr>
          <w:rFonts w:asciiTheme="minorHAnsi" w:eastAsia="SimSun" w:hAnsiTheme="minorHAnsi" w:cstheme="minorBidi"/>
        </w:rPr>
        <w:t>/ICT</w:t>
      </w:r>
      <w:r w:rsidR="5BC2AA4B" w:rsidRPr="15373CCD">
        <w:rPr>
          <w:rFonts w:asciiTheme="minorHAnsi" w:eastAsia="SimSun" w:hAnsiTheme="minorHAnsi" w:cstheme="minorBidi"/>
        </w:rPr>
        <w:t xml:space="preserve"> P</w:t>
      </w:r>
      <w:r w:rsidR="00C350CD">
        <w:rPr>
          <w:rFonts w:asciiTheme="minorHAnsi" w:eastAsia="SimSun" w:hAnsiTheme="minorHAnsi" w:cstheme="minorBidi"/>
        </w:rPr>
        <w:t>olicy</w:t>
      </w:r>
      <w:r w:rsidR="00BA727E">
        <w:rPr>
          <w:rFonts w:asciiTheme="minorHAnsi" w:eastAsia="SimSun" w:hAnsiTheme="minorHAnsi" w:cstheme="minorBidi"/>
        </w:rPr>
        <w:t xml:space="preserve"> </w:t>
      </w:r>
      <w:r w:rsidR="5BC2AA4B" w:rsidRPr="15373CCD">
        <w:rPr>
          <w:rFonts w:asciiTheme="minorHAnsi" w:eastAsia="SimSun" w:hAnsiTheme="minorHAnsi" w:cstheme="minorBidi"/>
        </w:rPr>
        <w:t>Forum (WTPF)</w:t>
      </w:r>
      <w:r w:rsidR="007418DE">
        <w:rPr>
          <w:rFonts w:asciiTheme="minorHAnsi" w:eastAsia="SimSun" w:hAnsiTheme="minorHAnsi" w:cstheme="minorBidi"/>
        </w:rPr>
        <w:t xml:space="preserve"> in 2026. </w:t>
      </w:r>
      <w:r w:rsidR="5D89911C" w:rsidRPr="15373CCD">
        <w:rPr>
          <w:rFonts w:asciiTheme="minorHAnsi" w:eastAsia="SimSun" w:hAnsiTheme="minorHAnsi" w:cstheme="minorBidi"/>
        </w:rPr>
        <w:t xml:space="preserve">The secretariat </w:t>
      </w:r>
      <w:r w:rsidR="006D565C" w:rsidRPr="15373CCD">
        <w:rPr>
          <w:rFonts w:asciiTheme="minorHAnsi" w:eastAsia="SimSun" w:hAnsiTheme="minorHAnsi" w:cstheme="minorBidi"/>
        </w:rPr>
        <w:t>must</w:t>
      </w:r>
      <w:r w:rsidR="5D89911C" w:rsidRPr="15373CCD">
        <w:rPr>
          <w:rFonts w:asciiTheme="minorHAnsi" w:eastAsia="SimSun" w:hAnsiTheme="minorHAnsi" w:cstheme="minorBidi"/>
        </w:rPr>
        <w:t xml:space="preserve"> prepare for the 2026 event in the best possible conditions.</w:t>
      </w:r>
      <w:r w:rsidR="007418DE">
        <w:rPr>
          <w:rFonts w:asciiTheme="minorHAnsi" w:eastAsia="SimSun" w:hAnsiTheme="minorHAnsi" w:cstheme="minorBidi"/>
        </w:rPr>
        <w:t xml:space="preserve"> </w:t>
      </w:r>
    </w:p>
    <w:p w14:paraId="55ACE1F1" w14:textId="50DDD9A9" w:rsidR="5D89911C" w:rsidRDefault="5D89911C" w:rsidP="007B5DE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pacing w:after="120"/>
        <w:jc w:val="both"/>
        <w:rPr>
          <w:rFonts w:asciiTheme="minorHAnsi" w:eastAsia="SimSun" w:hAnsiTheme="minorHAnsi" w:cstheme="minorBidi"/>
        </w:rPr>
      </w:pPr>
      <w:r w:rsidRPr="15373CCD">
        <w:rPr>
          <w:rFonts w:asciiTheme="minorHAnsi" w:eastAsia="SimSun" w:hAnsiTheme="minorHAnsi" w:cstheme="minorBidi"/>
        </w:rPr>
        <w:t xml:space="preserve">To achieve this, </w:t>
      </w:r>
      <w:r w:rsidR="007418DE">
        <w:rPr>
          <w:rFonts w:asciiTheme="minorHAnsi" w:eastAsia="SimSun" w:hAnsiTheme="minorHAnsi" w:cstheme="minorBidi"/>
        </w:rPr>
        <w:t xml:space="preserve">and based on past practice, </w:t>
      </w:r>
      <w:r w:rsidRPr="15373CCD">
        <w:rPr>
          <w:rFonts w:asciiTheme="minorHAnsi" w:eastAsia="SimSun" w:hAnsiTheme="minorHAnsi" w:cstheme="minorBidi"/>
        </w:rPr>
        <w:t>support in the form of an SSA contract</w:t>
      </w:r>
      <w:r w:rsidR="007418DE">
        <w:rPr>
          <w:rFonts w:asciiTheme="minorHAnsi" w:eastAsia="SimSun" w:hAnsiTheme="minorHAnsi" w:cstheme="minorBidi"/>
        </w:rPr>
        <w:t xml:space="preserve"> will be essential</w:t>
      </w:r>
      <w:r w:rsidRPr="15373CCD">
        <w:rPr>
          <w:rFonts w:asciiTheme="minorHAnsi" w:eastAsia="SimSun" w:hAnsiTheme="minorHAnsi" w:cstheme="minorBidi"/>
        </w:rPr>
        <w:t xml:space="preserve">. The cost of this support </w:t>
      </w:r>
      <w:r w:rsidR="007418DE">
        <w:rPr>
          <w:rFonts w:asciiTheme="minorHAnsi" w:eastAsia="SimSun" w:hAnsiTheme="minorHAnsi" w:cstheme="minorBidi"/>
        </w:rPr>
        <w:t xml:space="preserve">is estimated at </w:t>
      </w:r>
      <w:r w:rsidRPr="15373CCD">
        <w:rPr>
          <w:rFonts w:asciiTheme="minorHAnsi" w:eastAsia="SimSun" w:hAnsiTheme="minorHAnsi" w:cstheme="minorBidi"/>
        </w:rPr>
        <w:t>CHF 80,000.</w:t>
      </w:r>
    </w:p>
    <w:p w14:paraId="3D2E8232" w14:textId="514B865D" w:rsidR="00404C3E" w:rsidRDefault="00404C3E" w:rsidP="002F5E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To financially support a), b)</w:t>
      </w:r>
      <w:r w:rsidR="0099262D">
        <w:rPr>
          <w:rFonts w:asciiTheme="minorHAnsi" w:eastAsia="SimSun" w:hAnsiTheme="minorHAnsi" w:cstheme="minorHAnsi"/>
          <w:szCs w:val="24"/>
        </w:rPr>
        <w:t>,</w:t>
      </w:r>
      <w:r>
        <w:rPr>
          <w:rFonts w:asciiTheme="minorHAnsi" w:eastAsia="SimSun" w:hAnsiTheme="minorHAnsi" w:cstheme="minorHAnsi"/>
          <w:szCs w:val="24"/>
        </w:rPr>
        <w:t xml:space="preserve"> </w:t>
      </w:r>
      <w:r w:rsidR="007269F6">
        <w:rPr>
          <w:rFonts w:asciiTheme="minorHAnsi" w:eastAsia="SimSun" w:hAnsiTheme="minorHAnsi" w:cstheme="minorHAnsi"/>
          <w:szCs w:val="24"/>
        </w:rPr>
        <w:t>c)</w:t>
      </w:r>
      <w:r w:rsidR="0099262D">
        <w:rPr>
          <w:rFonts w:asciiTheme="minorHAnsi" w:eastAsia="SimSun" w:hAnsiTheme="minorHAnsi" w:cstheme="minorHAnsi"/>
          <w:szCs w:val="24"/>
        </w:rPr>
        <w:t>,</w:t>
      </w:r>
      <w:r>
        <w:rPr>
          <w:rFonts w:asciiTheme="minorHAnsi" w:eastAsia="SimSun" w:hAnsiTheme="minorHAnsi" w:cstheme="minorHAnsi"/>
          <w:szCs w:val="24"/>
        </w:rPr>
        <w:t xml:space="preserve"> and </w:t>
      </w:r>
      <w:r w:rsidR="007269F6">
        <w:rPr>
          <w:rFonts w:asciiTheme="minorHAnsi" w:eastAsia="SimSun" w:hAnsiTheme="minorHAnsi" w:cstheme="minorHAnsi"/>
          <w:szCs w:val="24"/>
        </w:rPr>
        <w:t>d</w:t>
      </w:r>
      <w:r>
        <w:rPr>
          <w:rFonts w:asciiTheme="minorHAnsi" w:eastAsia="SimSun" w:hAnsiTheme="minorHAnsi" w:cstheme="minorHAnsi"/>
          <w:szCs w:val="24"/>
        </w:rPr>
        <w:t xml:space="preserve">) above, it is proposed to allocate </w:t>
      </w:r>
      <w:r w:rsidRPr="007B5DEA">
        <w:rPr>
          <w:rFonts w:asciiTheme="minorHAnsi" w:eastAsia="SimSun" w:hAnsiTheme="minorHAnsi" w:cstheme="minorHAnsi"/>
          <w:b/>
          <w:szCs w:val="24"/>
        </w:rPr>
        <w:t>CHF 1,734</w:t>
      </w:r>
      <w:r w:rsidR="007269F6" w:rsidRPr="007B5DEA">
        <w:rPr>
          <w:rFonts w:asciiTheme="minorHAnsi" w:eastAsia="SimSun" w:hAnsiTheme="minorHAnsi" w:cstheme="minorHAnsi"/>
          <w:b/>
          <w:szCs w:val="24"/>
        </w:rPr>
        <w:t>K</w:t>
      </w:r>
      <w:r w:rsidRPr="007B5DEA">
        <w:rPr>
          <w:rFonts w:asciiTheme="minorHAnsi" w:eastAsia="SimSun" w:hAnsiTheme="minorHAnsi" w:cstheme="minorHAnsi"/>
          <w:szCs w:val="24"/>
        </w:rPr>
        <w:t xml:space="preserve"> </w:t>
      </w:r>
      <w:r>
        <w:rPr>
          <w:rFonts w:asciiTheme="minorHAnsi" w:eastAsia="SimSun" w:hAnsiTheme="minorHAnsi" w:cstheme="minorHAnsi"/>
          <w:szCs w:val="24"/>
        </w:rPr>
        <w:t>from the savings from previous years that were not used to balance the 2023 budget implementation.</w:t>
      </w:r>
    </w:p>
    <w:p w14:paraId="5499859D" w14:textId="596E875C" w:rsidR="00A1702B" w:rsidRPr="007B5DEA" w:rsidRDefault="00AA36BD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/>
          <w:bCs/>
          <w:szCs w:val="24"/>
        </w:rPr>
      </w:pPr>
      <w:r>
        <w:rPr>
          <w:rFonts w:asciiTheme="minorHAnsi" w:eastAsia="SimSun" w:hAnsiTheme="minorHAnsi" w:cstheme="minorHAnsi"/>
          <w:b/>
          <w:bCs/>
          <w:szCs w:val="24"/>
        </w:rPr>
        <w:t>4</w:t>
      </w:r>
      <w:r w:rsidR="00404C3E" w:rsidRPr="007B5DEA">
        <w:rPr>
          <w:rFonts w:asciiTheme="minorHAnsi" w:eastAsia="SimSun" w:hAnsiTheme="minorHAnsi" w:cstheme="minorHAnsi"/>
          <w:b/>
          <w:bCs/>
          <w:szCs w:val="24"/>
        </w:rPr>
        <w:tab/>
      </w:r>
      <w:r w:rsidR="00273F8E" w:rsidRPr="007B5DEA">
        <w:rPr>
          <w:rFonts w:asciiTheme="minorHAnsi" w:eastAsia="SimSun" w:hAnsiTheme="minorHAnsi" w:cstheme="minorHAnsi"/>
          <w:b/>
          <w:bCs/>
          <w:szCs w:val="24"/>
        </w:rPr>
        <w:t>Information and communication technologies development fund (ICT-DF)</w:t>
      </w:r>
    </w:p>
    <w:p w14:paraId="16EB2D97" w14:textId="004BABA5" w:rsidR="007B1AC1" w:rsidRPr="007B1AC1" w:rsidRDefault="006A5905" w:rsidP="00A170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Concerning the regional initiatives, l</w:t>
      </w:r>
      <w:r w:rsidR="007B1AC1" w:rsidRPr="007B1AC1">
        <w:rPr>
          <w:rFonts w:asciiTheme="minorHAnsi" w:eastAsia="SimSun" w:hAnsiTheme="minorHAnsi" w:cstheme="minorHAnsi"/>
          <w:szCs w:val="24"/>
        </w:rPr>
        <w:t>aunched in 1997, the</w:t>
      </w:r>
      <w:r w:rsidR="007B1AC1" w:rsidRPr="007B1AC1">
        <w:rPr>
          <w:rFonts w:eastAsia="SimSun"/>
        </w:rPr>
        <w:t xml:space="preserve"> </w:t>
      </w:r>
      <w:r w:rsidR="007B1AC1" w:rsidRPr="007B1AC1">
        <w:rPr>
          <w:rFonts w:asciiTheme="minorHAnsi" w:eastAsia="SimSun" w:hAnsiTheme="minorHAnsi" w:cstheme="minorHAnsi"/>
          <w:szCs w:val="24"/>
        </w:rPr>
        <w:t>Information and Communication Technologies Development Fund (</w:t>
      </w:r>
      <w:hyperlink r:id="rId24" w:history="1">
        <w:r w:rsidR="007B1AC1" w:rsidRPr="007B1AC1">
          <w:rPr>
            <w:rFonts w:asciiTheme="minorHAnsi" w:eastAsia="SimSun" w:hAnsiTheme="minorHAnsi" w:cstheme="minorHAnsi"/>
            <w:color w:val="0563C1"/>
            <w:szCs w:val="24"/>
            <w:u w:val="single"/>
          </w:rPr>
          <w:t>ICT-DF</w:t>
        </w:r>
      </w:hyperlink>
      <w:r w:rsidR="007B1AC1" w:rsidRPr="007B1AC1">
        <w:rPr>
          <w:rFonts w:asciiTheme="minorHAnsi" w:eastAsia="SimSun" w:hAnsiTheme="minorHAnsi" w:cstheme="minorHAnsi"/>
          <w:szCs w:val="24"/>
        </w:rPr>
        <w:t>) supports the implementation of projects based on multi-stakeholder partnerships with ITU Member States, Sector Members, public and private sector, multilateral organizations, foundations, financial institutions</w:t>
      </w:r>
      <w:r w:rsidR="00E31D7A">
        <w:rPr>
          <w:rFonts w:asciiTheme="minorHAnsi" w:eastAsia="SimSun" w:hAnsiTheme="minorHAnsi" w:cstheme="minorHAnsi"/>
          <w:szCs w:val="24"/>
        </w:rPr>
        <w:t>,</w:t>
      </w:r>
      <w:r w:rsidR="007B1AC1" w:rsidRPr="007B1AC1">
        <w:rPr>
          <w:rFonts w:asciiTheme="minorHAnsi" w:eastAsia="SimSun" w:hAnsiTheme="minorHAnsi" w:cstheme="minorHAnsi"/>
          <w:szCs w:val="24"/>
        </w:rPr>
        <w:t xml:space="preserve"> and development agencies.</w:t>
      </w:r>
      <w:bookmarkStart w:id="12" w:name="dnote"/>
      <w:bookmarkEnd w:id="12"/>
    </w:p>
    <w:p w14:paraId="65669D01" w14:textId="551A8044" w:rsidR="007B1AC1" w:rsidRPr="007B1AC1" w:rsidRDefault="006A5905" w:rsidP="004213B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Cs/>
          <w:szCs w:val="24"/>
        </w:rPr>
      </w:pPr>
      <w:bookmarkStart w:id="13" w:name="_Hlk65835106"/>
      <w:r>
        <w:rPr>
          <w:rFonts w:asciiTheme="minorHAnsi" w:eastAsia="SimSun" w:hAnsiTheme="minorHAnsi" w:cstheme="minorHAnsi"/>
          <w:bCs/>
          <w:szCs w:val="24"/>
        </w:rPr>
        <w:t xml:space="preserve">The 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>Resolution 11</w:t>
      </w:r>
      <w:r w:rsidR="00C868A1">
        <w:rPr>
          <w:rFonts w:asciiTheme="minorHAnsi" w:eastAsia="SimSun" w:hAnsiTheme="minorHAnsi" w:cstheme="minorHAnsi"/>
          <w:bCs/>
          <w:szCs w:val="24"/>
        </w:rPr>
        <w:t xml:space="preserve"> 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of the Plenipotentiary Conference on ITU Telecom events was abrogated at the </w:t>
      </w:r>
      <w:r w:rsidR="001320A5">
        <w:rPr>
          <w:rFonts w:asciiTheme="minorHAnsi" w:eastAsia="SimSun" w:hAnsiTheme="minorHAnsi" w:cstheme="minorHAnsi"/>
          <w:bCs/>
          <w:szCs w:val="24"/>
        </w:rPr>
        <w:t xml:space="preserve">2022 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Plenipotentiary Conference (Bucharest, 2022). </w:t>
      </w:r>
      <w:r w:rsidR="005B3C88">
        <w:rPr>
          <w:rFonts w:asciiTheme="minorHAnsi" w:eastAsia="SimSun" w:hAnsiTheme="minorHAnsi" w:cstheme="minorHAnsi"/>
          <w:bCs/>
          <w:szCs w:val="24"/>
        </w:rPr>
        <w:t>PP-22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 </w:t>
      </w:r>
      <w:r w:rsidR="002E60AA">
        <w:rPr>
          <w:rFonts w:asciiTheme="minorHAnsi" w:eastAsia="SimSun" w:hAnsiTheme="minorHAnsi" w:cstheme="minorHAnsi"/>
          <w:bCs/>
          <w:szCs w:val="24"/>
        </w:rPr>
        <w:t xml:space="preserve">also </w:t>
      </w:r>
      <w:r w:rsidR="002E60AA" w:rsidRPr="007B1AC1">
        <w:rPr>
          <w:rFonts w:asciiTheme="minorHAnsi" w:eastAsia="SimSun" w:hAnsiTheme="minorHAnsi" w:cstheme="minorHAnsi"/>
          <w:bCs/>
          <w:szCs w:val="24"/>
        </w:rPr>
        <w:t>instruc</w:t>
      </w:r>
      <w:r w:rsidR="002E60AA">
        <w:rPr>
          <w:rFonts w:asciiTheme="minorHAnsi" w:eastAsia="SimSun" w:hAnsiTheme="minorHAnsi" w:cstheme="minorHAnsi"/>
          <w:bCs/>
          <w:szCs w:val="24"/>
        </w:rPr>
        <w:t>ted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 the Council, at its ordinary session, to </w:t>
      </w:r>
      <w:bookmarkStart w:id="14" w:name="_Hlk129942447"/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transfer the remaining balance of the Exhibition Working Capital Fund to the ICT Development Fund </w:t>
      </w:r>
      <w:bookmarkEnd w:id="14"/>
      <w:r w:rsidR="007B1AC1" w:rsidRPr="007B1AC1">
        <w:rPr>
          <w:rFonts w:asciiTheme="minorHAnsi" w:eastAsia="SimSun" w:hAnsiTheme="minorHAnsi" w:cstheme="minorHAnsi"/>
          <w:bCs/>
          <w:szCs w:val="24"/>
        </w:rPr>
        <w:t>and instruct the Secretary-General and the Directors of the Bureaux to continue to develop initiatives to encourage, grow</w:t>
      </w:r>
      <w:r w:rsidR="004D7C98">
        <w:rPr>
          <w:rFonts w:asciiTheme="minorHAnsi" w:eastAsia="SimSun" w:hAnsiTheme="minorHAnsi" w:cstheme="minorHAnsi"/>
          <w:bCs/>
          <w:szCs w:val="24"/>
        </w:rPr>
        <w:t>,</w:t>
      </w:r>
      <w:r w:rsidR="007B1AC1" w:rsidRPr="007B1AC1">
        <w:rPr>
          <w:rFonts w:asciiTheme="minorHAnsi" w:eastAsia="SimSun" w:hAnsiTheme="minorHAnsi" w:cstheme="minorHAnsi"/>
          <w:bCs/>
          <w:szCs w:val="24"/>
        </w:rPr>
        <w:t xml:space="preserve"> and foster the participation of SMEs and all other stakeholders at major ITU events and forums.</w:t>
      </w:r>
      <w:bookmarkEnd w:id="13"/>
    </w:p>
    <w:p w14:paraId="69C4019D" w14:textId="2BA50A0E" w:rsidR="007B1AC1" w:rsidRPr="007B1AC1" w:rsidRDefault="008F29C9" w:rsidP="5B641E6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Bidi"/>
        </w:rPr>
      </w:pPr>
      <w:r>
        <w:rPr>
          <w:rFonts w:asciiTheme="minorHAnsi" w:eastAsia="SimSun" w:hAnsiTheme="minorHAnsi" w:cstheme="minorBidi"/>
        </w:rPr>
        <w:t>T</w:t>
      </w:r>
      <w:r w:rsidR="007B1AC1" w:rsidRPr="5B641E69">
        <w:rPr>
          <w:rFonts w:asciiTheme="minorHAnsi" w:eastAsia="SimSun" w:hAnsiTheme="minorHAnsi" w:cstheme="minorBidi"/>
        </w:rPr>
        <w:t xml:space="preserve">he Council is </w:t>
      </w:r>
      <w:r w:rsidR="00B75EAD">
        <w:rPr>
          <w:rFonts w:asciiTheme="minorHAnsi" w:eastAsia="SimSun" w:hAnsiTheme="minorHAnsi" w:cstheme="minorBidi"/>
        </w:rPr>
        <w:t xml:space="preserve">therefore </w:t>
      </w:r>
      <w:r w:rsidR="007B1AC1" w:rsidRPr="5B641E69">
        <w:rPr>
          <w:rFonts w:asciiTheme="minorHAnsi" w:eastAsia="SimSun" w:hAnsiTheme="minorHAnsi" w:cstheme="minorBidi"/>
        </w:rPr>
        <w:t xml:space="preserve">requested </w:t>
      </w:r>
      <w:r w:rsidR="007B1AC1" w:rsidRPr="5B641E69">
        <w:rPr>
          <w:rFonts w:asciiTheme="minorHAnsi" w:eastAsia="SimSun" w:hAnsiTheme="minorHAnsi" w:cstheme="minorBidi"/>
          <w:b/>
          <w:bCs/>
        </w:rPr>
        <w:t>to approve</w:t>
      </w:r>
      <w:r w:rsidR="007B1AC1" w:rsidRPr="5B641E69">
        <w:rPr>
          <w:rFonts w:asciiTheme="minorHAnsi" w:eastAsia="SimSun" w:hAnsiTheme="minorHAnsi" w:cstheme="minorBidi"/>
        </w:rPr>
        <w:t xml:space="preserve"> the transfer of </w:t>
      </w:r>
      <w:r w:rsidR="007B1AC1" w:rsidRPr="007B5DEA">
        <w:rPr>
          <w:rFonts w:eastAsia="SimSun"/>
          <w:b/>
        </w:rPr>
        <w:t xml:space="preserve">CHF </w:t>
      </w:r>
      <w:r w:rsidR="009F0596" w:rsidRPr="007B5DEA">
        <w:rPr>
          <w:rFonts w:eastAsia="SimSun"/>
          <w:b/>
        </w:rPr>
        <w:t>465</w:t>
      </w:r>
      <w:r w:rsidR="00FA6D74" w:rsidRPr="007B5DEA">
        <w:rPr>
          <w:rFonts w:eastAsia="SimSun"/>
          <w:b/>
        </w:rPr>
        <w:t>K</w:t>
      </w:r>
      <w:r w:rsidR="007B1AC1" w:rsidRPr="007B5DEA">
        <w:rPr>
          <w:rFonts w:eastAsia="SimSun"/>
        </w:rPr>
        <w:t xml:space="preserve"> </w:t>
      </w:r>
      <w:r w:rsidR="007B1AC1" w:rsidRPr="5B641E69">
        <w:rPr>
          <w:rFonts w:asciiTheme="minorHAnsi" w:eastAsia="SimSun" w:hAnsiTheme="minorHAnsi" w:cstheme="minorBidi"/>
        </w:rPr>
        <w:t>from the EWCF to the ICT-DF Capital Account.</w:t>
      </w:r>
      <w:r w:rsidR="005D58DE" w:rsidRPr="5B641E69">
        <w:rPr>
          <w:rFonts w:asciiTheme="minorHAnsi" w:eastAsia="SimSun" w:hAnsiTheme="minorHAnsi" w:cstheme="minorBidi"/>
        </w:rPr>
        <w:t xml:space="preserve"> With this transfer, the available balance of the ICT-DF will amount to </w:t>
      </w:r>
      <w:r w:rsidR="40334D4C" w:rsidRPr="007B5DEA">
        <w:rPr>
          <w:rFonts w:asciiTheme="minorHAnsi" w:eastAsia="SimSun" w:hAnsiTheme="minorHAnsi" w:cstheme="minorBidi"/>
          <w:b/>
        </w:rPr>
        <w:t>CHF 5,317</w:t>
      </w:r>
      <w:r w:rsidR="00FA6D74" w:rsidRPr="007B5DEA">
        <w:rPr>
          <w:rFonts w:asciiTheme="minorHAnsi" w:eastAsia="SimSun" w:hAnsiTheme="minorHAnsi" w:cstheme="minorBidi"/>
          <w:b/>
        </w:rPr>
        <w:t>K</w:t>
      </w:r>
      <w:r w:rsidR="00404C3E" w:rsidRPr="5B641E69">
        <w:rPr>
          <w:rFonts w:asciiTheme="minorHAnsi" w:eastAsia="SimSun" w:hAnsiTheme="minorHAnsi" w:cstheme="minorBidi"/>
        </w:rPr>
        <w:t>.</w:t>
      </w:r>
      <w:r w:rsidR="1EEF217D" w:rsidRPr="5B641E69">
        <w:rPr>
          <w:rFonts w:asciiTheme="minorHAnsi" w:eastAsia="SimSun" w:hAnsiTheme="minorHAnsi" w:cstheme="minorBidi"/>
        </w:rPr>
        <w:t xml:space="preserve"> </w:t>
      </w:r>
      <w:r w:rsidR="1EEF217D" w:rsidRPr="00257AA2">
        <w:rPr>
          <w:rFonts w:asciiTheme="minorHAnsi" w:eastAsia="SimSun" w:hAnsiTheme="minorHAnsi" w:cstheme="minorBidi"/>
        </w:rPr>
        <w:t>Please</w:t>
      </w:r>
      <w:r w:rsidR="1EEF217D" w:rsidRPr="5B641E69">
        <w:rPr>
          <w:rFonts w:asciiTheme="minorHAnsi" w:eastAsia="SimSun" w:hAnsiTheme="minorHAnsi" w:cstheme="minorBidi"/>
        </w:rPr>
        <w:t xml:space="preserve"> see document </w:t>
      </w:r>
      <w:hyperlink r:id="rId25" w:history="1">
        <w:r w:rsidR="1EEF217D" w:rsidRPr="006D501A">
          <w:rPr>
            <w:rStyle w:val="Hyperlink"/>
            <w:rFonts w:asciiTheme="minorHAnsi" w:eastAsia="SimSun" w:hAnsiTheme="minorHAnsi" w:cstheme="minorBidi"/>
          </w:rPr>
          <w:t>C24/34</w:t>
        </w:r>
      </w:hyperlink>
      <w:r w:rsidR="1EEF217D" w:rsidRPr="5B641E69">
        <w:rPr>
          <w:rFonts w:asciiTheme="minorHAnsi" w:eastAsia="SimSun" w:hAnsiTheme="minorHAnsi" w:cstheme="minorBidi"/>
        </w:rPr>
        <w:t xml:space="preserve"> for more details.</w:t>
      </w:r>
    </w:p>
    <w:p w14:paraId="1F7EDC4C" w14:textId="7113FC2A" w:rsidR="007B1AC1" w:rsidRDefault="007B1AC1" w:rsidP="009A017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szCs w:val="24"/>
        </w:rPr>
      </w:pPr>
      <w:r w:rsidRPr="00060292">
        <w:rPr>
          <w:rFonts w:asciiTheme="minorHAnsi" w:eastAsia="SimSun" w:hAnsiTheme="minorHAnsi" w:cstheme="minorHAnsi"/>
          <w:szCs w:val="24"/>
        </w:rPr>
        <w:t xml:space="preserve">The remaining balance retained in EWCF </w:t>
      </w:r>
      <w:r w:rsidR="002626B2" w:rsidRPr="00060292">
        <w:rPr>
          <w:rFonts w:asciiTheme="minorHAnsi" w:eastAsia="SimSun" w:hAnsiTheme="minorHAnsi" w:cstheme="minorHAnsi"/>
          <w:szCs w:val="24"/>
        </w:rPr>
        <w:t>sh</w:t>
      </w:r>
      <w:r w:rsidR="000F298E" w:rsidRPr="00060292">
        <w:rPr>
          <w:rFonts w:asciiTheme="minorHAnsi" w:eastAsia="SimSun" w:hAnsiTheme="minorHAnsi" w:cstheme="minorHAnsi"/>
          <w:szCs w:val="24"/>
        </w:rPr>
        <w:t xml:space="preserve">all </w:t>
      </w:r>
      <w:r w:rsidR="002626B2" w:rsidRPr="00060292">
        <w:rPr>
          <w:rFonts w:asciiTheme="minorHAnsi" w:eastAsia="SimSun" w:hAnsiTheme="minorHAnsi" w:cstheme="minorHAnsi"/>
          <w:szCs w:val="24"/>
        </w:rPr>
        <w:t xml:space="preserve">be </w:t>
      </w:r>
      <w:r w:rsidRPr="00060292">
        <w:rPr>
          <w:rFonts w:asciiTheme="minorHAnsi" w:eastAsia="SimSun" w:hAnsiTheme="minorHAnsi" w:cstheme="minorHAnsi"/>
          <w:szCs w:val="24"/>
        </w:rPr>
        <w:t>used to create a provision to cover any liquidations of all ITU Telecom financial obligations.</w:t>
      </w:r>
    </w:p>
    <w:p w14:paraId="108051BC" w14:textId="757F9838" w:rsidR="00661ABD" w:rsidRPr="007B5DEA" w:rsidRDefault="00AA36BD" w:rsidP="009A017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bCs/>
          <w:szCs w:val="24"/>
        </w:rPr>
        <w:t>5</w:t>
      </w:r>
      <w:r w:rsidR="00661ABD" w:rsidRPr="007B5DEA">
        <w:rPr>
          <w:rFonts w:asciiTheme="minorHAnsi" w:eastAsia="SimSun" w:hAnsiTheme="minorHAnsi" w:cstheme="minorHAnsi"/>
          <w:b/>
          <w:szCs w:val="24"/>
        </w:rPr>
        <w:tab/>
        <w:t>Summary of the proposal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7060"/>
        <w:gridCol w:w="1300"/>
      </w:tblGrid>
      <w:tr w:rsidR="00CA589D" w:rsidRPr="00254A23" w14:paraId="10578012" w14:textId="77777777">
        <w:trPr>
          <w:trHeight w:val="32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311DFB0C" w14:textId="7F3021FA" w:rsidR="00CA589D" w:rsidRPr="007B5DEA" w:rsidRDefault="008716D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Planned allocation of resources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634BD85" w14:textId="3AFF9414" w:rsidR="00CA589D" w:rsidRPr="007B5DEA" w:rsidRDefault="00CA589D" w:rsidP="007B5DE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CHF</w:t>
            </w:r>
            <w:r w:rsidR="00350401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 xml:space="preserve"> K</w:t>
            </w:r>
          </w:p>
        </w:tc>
      </w:tr>
      <w:tr w:rsidR="00CA589D" w:rsidRPr="00254A23" w14:paraId="2C9409BC" w14:textId="77777777">
        <w:trPr>
          <w:trHeight w:val="3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vAlign w:val="bottom"/>
            <w:hideMark/>
          </w:tcPr>
          <w:p w14:paraId="07D8E379" w14:textId="77777777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Allocation to WRC-23 post conference 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vAlign w:val="bottom"/>
            <w:hideMark/>
          </w:tcPr>
          <w:p w14:paraId="269B3D86" w14:textId="3A7ED4E5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</w:t>
            </w:r>
            <w:r w:rsidR="00424744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,</w:t>
            </w: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423</w:t>
            </w:r>
          </w:p>
        </w:tc>
      </w:tr>
      <w:tr w:rsidR="00CA589D" w:rsidRPr="00254A23" w14:paraId="2736F3E4" w14:textId="77777777" w:rsidTr="007B5DEA">
        <w:trPr>
          <w:trHeight w:val="4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64632C9" w14:textId="4E3C5C86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Allocation to the Transformation roadmap implementation</w:t>
            </w:r>
            <w:r w:rsidR="008716D7"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 xml:space="preserve"> and </w:t>
            </w:r>
            <w:r w:rsidR="004B1BF5"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roadmap for website improvement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E17196C" w14:textId="341EC072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</w:t>
            </w:r>
            <w:r w:rsidR="00424744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,</w:t>
            </w:r>
            <w:r w:rsidR="008D316A"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3</w:t>
            </w:r>
            <w:r w:rsidR="00661ABD"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54</w:t>
            </w:r>
          </w:p>
        </w:tc>
      </w:tr>
      <w:tr w:rsidR="00CA589D" w:rsidRPr="00254A23" w14:paraId="6E757842" w14:textId="77777777" w:rsidTr="007B5DEA">
        <w:trPr>
          <w:trHeight w:val="38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5ED5ECE4" w14:textId="19C79F75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A</w:t>
            </w: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llocation </w:t>
            </w:r>
            <w:r w:rsidR="008716D7" w:rsidRPr="007B5DE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to the </w:t>
            </w: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Young Professional Program</w:t>
            </w:r>
            <w:r w:rsidR="0047546F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me</w:t>
            </w: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 xml:space="preserve"> (YPP)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4FEDBCEC" w14:textId="08A8800F" w:rsidR="00CA589D" w:rsidRPr="007B5DEA" w:rsidRDefault="008D31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3</w:t>
            </w:r>
            <w:r w:rsidR="002C7126" w:rsidRPr="007B5DEA">
              <w:rPr>
                <w:rFonts w:asciiTheme="minorHAnsi" w:hAnsiTheme="minorHAnsi" w:cstheme="minorHAnsi"/>
                <w:color w:val="000000"/>
                <w:szCs w:val="24"/>
              </w:rPr>
              <w:t>00</w:t>
            </w:r>
          </w:p>
        </w:tc>
      </w:tr>
      <w:tr w:rsidR="008716D7" w:rsidRPr="00254A23" w14:paraId="3B3E7560" w14:textId="77777777" w:rsidTr="007B5DEA">
        <w:trPr>
          <w:trHeight w:val="423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2447AB82" w14:textId="6FF22B21" w:rsidR="008716D7" w:rsidRPr="007B5DEA" w:rsidRDefault="008716D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 w:themeColor="text1"/>
                <w:szCs w:val="24"/>
                <w:lang w:eastAsia="en-GB"/>
              </w:rPr>
              <w:t>Allocation WTPF-26 preparation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6C8B68C0" w14:textId="1ECA78C8" w:rsidR="008716D7" w:rsidRPr="007B5DEA" w:rsidRDefault="002C712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80</w:t>
            </w:r>
          </w:p>
        </w:tc>
      </w:tr>
      <w:tr w:rsidR="00CA589D" w:rsidRPr="00254A23" w14:paraId="169447D2" w14:textId="77777777">
        <w:trPr>
          <w:trHeight w:val="680"/>
        </w:trPr>
        <w:tc>
          <w:tcPr>
            <w:tcW w:w="7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02373964" w14:textId="77777777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Transfer from ECWF to the Information and Communication Technologies Development Fund (ICT-DF)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BA1505A" w14:textId="77777777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465</w:t>
            </w:r>
          </w:p>
        </w:tc>
      </w:tr>
      <w:tr w:rsidR="00CA589D" w:rsidRPr="00254A23" w14:paraId="1C51CD94" w14:textId="77777777">
        <w:trPr>
          <w:trHeight w:val="32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5193F378" w14:textId="77777777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33F01491" w14:textId="1AC9ACB5" w:rsidR="00CA589D" w:rsidRPr="007B5DEA" w:rsidRDefault="00CA589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7B5DEA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3</w:t>
            </w:r>
            <w:r w:rsidR="00424744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,</w:t>
            </w:r>
            <w:r w:rsidRPr="007B5DEA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622</w:t>
            </w:r>
          </w:p>
        </w:tc>
      </w:tr>
    </w:tbl>
    <w:p w14:paraId="60D6178A" w14:textId="7B78C8F9" w:rsidR="007B1AC1" w:rsidRDefault="00AC164B" w:rsidP="007B5DE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jc w:val="both"/>
        <w:rPr>
          <w:rFonts w:asciiTheme="minorHAnsi" w:eastAsiaTheme="minorEastAsia" w:hAnsiTheme="minorHAnsi" w:cstheme="minorBidi"/>
          <w:lang w:eastAsia="zh-CN"/>
        </w:rPr>
      </w:pPr>
      <w:r w:rsidRPr="5B641E69">
        <w:rPr>
          <w:rFonts w:asciiTheme="minorHAnsi" w:eastAsia="SimSun" w:hAnsiTheme="minorHAnsi" w:cstheme="minorBidi"/>
        </w:rPr>
        <w:t xml:space="preserve">Should there be any additional budgetary implications resulting from the outcomes of the WTSA-24, those additional resource needs will be </w:t>
      </w:r>
      <w:proofErr w:type="spellStart"/>
      <w:r w:rsidRPr="5B641E69">
        <w:rPr>
          <w:rFonts w:asciiTheme="minorHAnsi" w:eastAsia="SimSun" w:hAnsiTheme="minorHAnsi" w:cstheme="minorBidi"/>
        </w:rPr>
        <w:t>a</w:t>
      </w:r>
      <w:r w:rsidR="00A07574">
        <w:rPr>
          <w:rFonts w:asciiTheme="minorHAnsi" w:eastAsia="SimSun" w:hAnsiTheme="minorHAnsi" w:cstheme="minorBidi"/>
        </w:rPr>
        <w:t>s</w:t>
      </w:r>
      <w:r w:rsidR="00AC4619">
        <w:rPr>
          <w:rFonts w:asciiTheme="minorHAnsi" w:eastAsia="SimSun" w:hAnsiTheme="minorHAnsi" w:cstheme="minorBidi"/>
        </w:rPr>
        <w:t>s</w:t>
      </w:r>
      <w:r w:rsidRPr="5B641E69">
        <w:rPr>
          <w:rFonts w:asciiTheme="minorHAnsi" w:eastAsia="SimSun" w:hAnsiTheme="minorHAnsi" w:cstheme="minorBidi"/>
        </w:rPr>
        <w:t>essed</w:t>
      </w:r>
      <w:proofErr w:type="spellEnd"/>
      <w:r w:rsidRPr="5B641E69">
        <w:rPr>
          <w:rFonts w:asciiTheme="minorHAnsi" w:eastAsia="SimSun" w:hAnsiTheme="minorHAnsi" w:cstheme="minorBidi"/>
        </w:rPr>
        <w:t xml:space="preserve"> and communicated to </w:t>
      </w:r>
      <w:r w:rsidR="00AA36BD">
        <w:rPr>
          <w:rFonts w:asciiTheme="minorHAnsi" w:eastAsia="SimSun" w:hAnsiTheme="minorHAnsi" w:cstheme="minorBidi"/>
        </w:rPr>
        <w:t xml:space="preserve">the </w:t>
      </w:r>
      <w:r w:rsidRPr="5B641E69">
        <w:rPr>
          <w:rFonts w:asciiTheme="minorHAnsi" w:eastAsia="SimSun" w:hAnsiTheme="minorHAnsi" w:cstheme="minorBidi"/>
        </w:rPr>
        <w:t xml:space="preserve">Council 2025 for consideration and decision as </w:t>
      </w:r>
      <w:r w:rsidR="7EC8AE55" w:rsidRPr="5B641E69">
        <w:rPr>
          <w:rFonts w:asciiTheme="minorHAnsi" w:eastAsiaTheme="minorEastAsia" w:hAnsiTheme="minorHAnsi" w:cstheme="minorBidi"/>
          <w:lang w:eastAsia="zh-CN"/>
        </w:rPr>
        <w:t xml:space="preserve">necessary. </w:t>
      </w:r>
    </w:p>
    <w:p w14:paraId="5442AEF0" w14:textId="56691F86" w:rsidR="00C62BB3" w:rsidRPr="00C62BB3" w:rsidRDefault="00C62BB3" w:rsidP="00C62B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before="720"/>
        <w:jc w:val="both"/>
        <w:rPr>
          <w:rFonts w:asciiTheme="minorHAnsi" w:eastAsiaTheme="minorEastAsia" w:hAnsiTheme="minorHAnsi" w:cstheme="minorBidi"/>
          <w:b/>
          <w:bCs/>
          <w:i/>
          <w:iCs/>
          <w:lang w:eastAsia="zh-CN"/>
        </w:rPr>
      </w:pPr>
      <w:r w:rsidRPr="00C62BB3">
        <w:rPr>
          <w:rFonts w:asciiTheme="minorHAnsi" w:eastAsiaTheme="minorEastAsia" w:hAnsiTheme="minorHAnsi" w:cstheme="minorBidi"/>
          <w:b/>
          <w:bCs/>
          <w:i/>
          <w:iCs/>
          <w:lang w:eastAsia="zh-CN"/>
        </w:rPr>
        <w:t>Annex: 1</w:t>
      </w:r>
    </w:p>
    <w:p w14:paraId="30E426EA" w14:textId="19B3A079" w:rsidR="00987737" w:rsidRDefault="0098773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eastAsiaTheme="minorEastAsia" w:hAnsiTheme="minorHAnsi" w:cstheme="minorBidi"/>
          <w:lang w:eastAsia="zh-CN"/>
        </w:rPr>
      </w:pPr>
      <w:r>
        <w:rPr>
          <w:rFonts w:asciiTheme="minorHAnsi" w:eastAsiaTheme="minorEastAsia" w:hAnsiTheme="minorHAnsi" w:cstheme="minorBidi"/>
          <w:lang w:eastAsia="zh-CN"/>
        </w:rPr>
        <w:br w:type="page"/>
      </w:r>
    </w:p>
    <w:p w14:paraId="354D4B7A" w14:textId="353482BB" w:rsidR="00404C3E" w:rsidRDefault="00404C3E" w:rsidP="007B5DEA">
      <w:pPr>
        <w:pStyle w:val="AnnexNo"/>
        <w:rPr>
          <w:rStyle w:val="normaltextrun"/>
          <w:rFonts w:cs="Calibri"/>
          <w:caps w:val="0"/>
          <w:szCs w:val="28"/>
        </w:rPr>
      </w:pPr>
      <w:bookmarkStart w:id="15" w:name="Annex"/>
      <w:r>
        <w:rPr>
          <w:rStyle w:val="normaltextrun"/>
          <w:rFonts w:cs="Calibri"/>
          <w:szCs w:val="28"/>
        </w:rPr>
        <w:lastRenderedPageBreak/>
        <w:t>ANNEX</w:t>
      </w:r>
      <w:bookmarkEnd w:id="15"/>
    </w:p>
    <w:p w14:paraId="1D359BFC" w14:textId="08F5C394" w:rsidR="00404C3E" w:rsidRPr="007B5DEA" w:rsidRDefault="00404C3E" w:rsidP="007B5DEA">
      <w:pPr>
        <w:pStyle w:val="AnnexNo"/>
        <w:rPr>
          <w:rFonts w:asciiTheme="minorHAnsi" w:hAnsiTheme="minorHAnsi" w:cstheme="minorHAnsi"/>
          <w:szCs w:val="28"/>
        </w:rPr>
      </w:pPr>
      <w:r>
        <w:rPr>
          <w:rStyle w:val="normaltextrun"/>
          <w:rFonts w:cs="Calibri"/>
          <w:szCs w:val="28"/>
        </w:rPr>
        <w:t xml:space="preserve">DRAFT </w:t>
      </w:r>
      <w:r w:rsidR="007B5DEA">
        <w:rPr>
          <w:rStyle w:val="normaltextrun"/>
          <w:rFonts w:cs="Calibri"/>
          <w:szCs w:val="28"/>
        </w:rPr>
        <w:t xml:space="preserve">NEW </w:t>
      </w:r>
      <w:r>
        <w:rPr>
          <w:rStyle w:val="normaltextrun"/>
          <w:rFonts w:cs="Calibri"/>
          <w:szCs w:val="28"/>
        </w:rPr>
        <w:t>RESOLUTION [...]</w:t>
      </w:r>
    </w:p>
    <w:p w14:paraId="52153F7B" w14:textId="2DCE5A44" w:rsidR="00404C3E" w:rsidRPr="007B5DEA" w:rsidRDefault="007B5DEA" w:rsidP="00C62BB3">
      <w:pPr>
        <w:pStyle w:val="Annextitle"/>
        <w:rPr>
          <w:rStyle w:val="normaltextrun"/>
        </w:rPr>
      </w:pPr>
      <w:r w:rsidRPr="007B5DEA">
        <w:rPr>
          <w:rStyle w:val="normaltextrun"/>
        </w:rPr>
        <w:t xml:space="preserve">Allocations of savings achieved in 2023 budget implementation </w:t>
      </w:r>
      <w:r w:rsidRPr="007B5DEA">
        <w:rPr>
          <w:rStyle w:val="normaltextrun"/>
        </w:rPr>
        <w:br/>
        <w:t xml:space="preserve">and exhibition working capital </w:t>
      </w:r>
      <w:proofErr w:type="gramStart"/>
      <w:r w:rsidRPr="007B5DEA">
        <w:rPr>
          <w:rStyle w:val="normaltextrun"/>
        </w:rPr>
        <w:t>fund</w:t>
      </w:r>
      <w:proofErr w:type="gramEnd"/>
    </w:p>
    <w:p w14:paraId="359C7A05" w14:textId="647374A5" w:rsidR="007B5DEA" w:rsidRDefault="00404C3E" w:rsidP="00C62BB3">
      <w:pPr>
        <w:pStyle w:val="Normalaftertitle"/>
        <w:rPr>
          <w:rStyle w:val="eop"/>
          <w:rFonts w:cs="Calibri"/>
        </w:rPr>
      </w:pPr>
      <w:r>
        <w:rPr>
          <w:rStyle w:val="normaltextrun"/>
          <w:rFonts w:cs="Calibri"/>
        </w:rPr>
        <w:t xml:space="preserve">The </w:t>
      </w:r>
      <w:r w:rsidR="007B5DEA">
        <w:rPr>
          <w:rStyle w:val="normaltextrun"/>
          <w:rFonts w:cs="Calibri"/>
        </w:rPr>
        <w:t xml:space="preserve">ITU </w:t>
      </w:r>
      <w:r>
        <w:rPr>
          <w:rStyle w:val="normaltextrun"/>
          <w:rFonts w:cs="Calibri"/>
        </w:rPr>
        <w:t>Council,</w:t>
      </w:r>
    </w:p>
    <w:p w14:paraId="29217DAC" w14:textId="6718986D" w:rsidR="00404C3E" w:rsidRDefault="008501A6" w:rsidP="00C62BB3">
      <w:pPr>
        <w:pStyle w:val="Call"/>
        <w:rPr>
          <w:rStyle w:val="eop"/>
          <w:rFonts w:cs="Calibri"/>
          <w:i w:val="0"/>
          <w:iCs/>
        </w:rPr>
      </w:pPr>
      <w:r>
        <w:rPr>
          <w:rStyle w:val="normaltextrun"/>
          <w:rFonts w:cs="Calibri"/>
          <w:iCs/>
        </w:rPr>
        <w:t>h</w:t>
      </w:r>
      <w:r w:rsidR="00273F8E">
        <w:rPr>
          <w:rStyle w:val="normaltextrun"/>
          <w:rFonts w:cs="Calibri"/>
          <w:iCs/>
        </w:rPr>
        <w:t xml:space="preserve">aving </w:t>
      </w:r>
      <w:proofErr w:type="gramStart"/>
      <w:r w:rsidR="00273F8E">
        <w:rPr>
          <w:rStyle w:val="normaltextrun"/>
          <w:rFonts w:cs="Calibri"/>
          <w:iCs/>
        </w:rPr>
        <w:t>considered</w:t>
      </w:r>
      <w:proofErr w:type="gramEnd"/>
    </w:p>
    <w:p w14:paraId="04DF09C7" w14:textId="6C7557D7" w:rsidR="00404C3E" w:rsidRPr="00C62BB3" w:rsidRDefault="00404C3E" w:rsidP="007B5DEA">
      <w:pPr>
        <w:rPr>
          <w:rFonts w:asciiTheme="minorHAnsi" w:hAnsiTheme="minorHAnsi" w:cstheme="minorHAnsi"/>
          <w:szCs w:val="24"/>
        </w:rPr>
      </w:pPr>
      <w:r>
        <w:rPr>
          <w:rStyle w:val="normaltextrun"/>
          <w:rFonts w:cs="Calibri"/>
        </w:rPr>
        <w:t xml:space="preserve">The savings achieved in the implementation of the 2023 budget </w:t>
      </w:r>
      <w:r w:rsidR="00273F8E">
        <w:rPr>
          <w:rStyle w:val="normaltextrun"/>
          <w:rFonts w:cs="Calibri"/>
        </w:rPr>
        <w:t xml:space="preserve">(result) </w:t>
      </w:r>
      <w:r>
        <w:rPr>
          <w:rStyle w:val="normaltextrun"/>
          <w:rFonts w:cs="Calibri"/>
        </w:rPr>
        <w:t>that amount to CHF</w:t>
      </w:r>
      <w:r w:rsidR="008501A6">
        <w:rPr>
          <w:rStyle w:val="normaltextrun"/>
          <w:rFonts w:cs="Calibri"/>
        </w:rPr>
        <w:t> </w:t>
      </w:r>
      <w:r>
        <w:rPr>
          <w:rStyle w:val="normaltextrun"/>
          <w:rFonts w:cs="Calibri"/>
        </w:rPr>
        <w:t>1,423</w:t>
      </w:r>
      <w:r w:rsidR="00424744">
        <w:rPr>
          <w:rStyle w:val="normaltextrun"/>
          <w:rFonts w:cs="Calibri"/>
        </w:rPr>
        <w:t>K</w:t>
      </w:r>
      <w:r>
        <w:rPr>
          <w:rStyle w:val="normaltextrun"/>
          <w:rFonts w:cs="Calibri"/>
        </w:rPr>
        <w:t xml:space="preserve"> plus CHF 1,734</w:t>
      </w:r>
      <w:r w:rsidR="00AE4034">
        <w:rPr>
          <w:rStyle w:val="normaltextrun"/>
          <w:rFonts w:cs="Calibri"/>
        </w:rPr>
        <w:t>K</w:t>
      </w:r>
      <w:r>
        <w:rPr>
          <w:rStyle w:val="normaltextrun"/>
          <w:rFonts w:cs="Calibri"/>
        </w:rPr>
        <w:t xml:space="preserve"> </w:t>
      </w:r>
      <w:r w:rsidR="00273F8E">
        <w:rPr>
          <w:rStyle w:val="normaltextrun"/>
          <w:rFonts w:cs="Calibri"/>
        </w:rPr>
        <w:t>on account of savings from previous year not used to balance the 2023 budget implementation</w:t>
      </w:r>
      <w:r w:rsidR="00C62BB3">
        <w:rPr>
          <w:rStyle w:val="normaltextrun"/>
          <w:rFonts w:cs="Calibri"/>
        </w:rPr>
        <w:t>,</w:t>
      </w:r>
    </w:p>
    <w:p w14:paraId="7B86C60B" w14:textId="6CB7BAE1" w:rsidR="00404C3E" w:rsidRPr="00C62BB3" w:rsidRDefault="00404C3E" w:rsidP="00C62BB3">
      <w:pPr>
        <w:pStyle w:val="Call"/>
        <w:rPr>
          <w:rFonts w:asciiTheme="minorHAnsi" w:hAnsiTheme="minorHAnsi" w:cstheme="minorHAnsi"/>
          <w:szCs w:val="24"/>
        </w:rPr>
      </w:pPr>
      <w:r>
        <w:rPr>
          <w:rStyle w:val="normaltextrun"/>
          <w:rFonts w:cs="Calibri"/>
          <w:iCs/>
        </w:rPr>
        <w:t xml:space="preserve">having </w:t>
      </w:r>
      <w:r w:rsidR="00273F8E">
        <w:rPr>
          <w:rStyle w:val="normaltextrun"/>
          <w:rFonts w:cs="Calibri"/>
          <w:iCs/>
        </w:rPr>
        <w:t xml:space="preserve">further </w:t>
      </w:r>
      <w:proofErr w:type="gramStart"/>
      <w:r>
        <w:rPr>
          <w:rStyle w:val="normaltextrun"/>
          <w:rFonts w:cs="Calibri"/>
          <w:iCs/>
        </w:rPr>
        <w:t>considered</w:t>
      </w:r>
      <w:proofErr w:type="gramEnd"/>
    </w:p>
    <w:p w14:paraId="34A3A830" w14:textId="1EADE28E" w:rsidR="00404C3E" w:rsidRDefault="00404C3E" w:rsidP="00C62BB3">
      <w:pPr>
        <w:rPr>
          <w:rStyle w:val="normaltextrun"/>
          <w:rFonts w:cs="Calibri"/>
          <w:i/>
          <w:iCs/>
        </w:rPr>
      </w:pPr>
      <w:r>
        <w:rPr>
          <w:rStyle w:val="normaltextrun"/>
          <w:rFonts w:cs="Calibri"/>
        </w:rPr>
        <w:t xml:space="preserve">the </w:t>
      </w:r>
      <w:r w:rsidR="00273F8E">
        <w:rPr>
          <w:rStyle w:val="normaltextrun"/>
          <w:rFonts w:cs="Calibri"/>
        </w:rPr>
        <w:t xml:space="preserve">balance of the Exhibition Working </w:t>
      </w:r>
      <w:r w:rsidR="00D940FA">
        <w:rPr>
          <w:rStyle w:val="normaltextrun"/>
          <w:rFonts w:cs="Calibri"/>
        </w:rPr>
        <w:t>C</w:t>
      </w:r>
      <w:r w:rsidR="00273F8E">
        <w:rPr>
          <w:rStyle w:val="normaltextrun"/>
          <w:rFonts w:cs="Calibri"/>
        </w:rPr>
        <w:t xml:space="preserve">apital Fund and the </w:t>
      </w:r>
      <w:r>
        <w:rPr>
          <w:rStyle w:val="normaltextrun"/>
          <w:rFonts w:cs="Calibri"/>
        </w:rPr>
        <w:t xml:space="preserve">report by the Secretary-General </w:t>
      </w:r>
      <w:r w:rsidRPr="00C62BB3">
        <w:rPr>
          <w:rStyle w:val="normaltextrun"/>
          <w:rFonts w:cs="Calibri"/>
          <w:spacing w:val="2"/>
        </w:rPr>
        <w:t>on the status of the Information and Communication Technologies Development Fund (ICT-DF),</w:t>
      </w:r>
    </w:p>
    <w:p w14:paraId="2BB7C0E1" w14:textId="77777777" w:rsidR="007B5DEA" w:rsidRDefault="00404C3E" w:rsidP="00C62BB3">
      <w:pPr>
        <w:pStyle w:val="Call"/>
        <w:rPr>
          <w:rStyle w:val="eop"/>
          <w:rFonts w:cs="Calibri"/>
          <w:i w:val="0"/>
          <w:iCs/>
        </w:rPr>
      </w:pPr>
      <w:r>
        <w:rPr>
          <w:rStyle w:val="normaltextrun"/>
          <w:rFonts w:cs="Calibri"/>
          <w:iCs/>
        </w:rPr>
        <w:t>resolves</w:t>
      </w:r>
    </w:p>
    <w:p w14:paraId="21A1D6B8" w14:textId="46A464B1" w:rsidR="00404C3E" w:rsidRDefault="00E34B1D" w:rsidP="007B5DEA">
      <w:pPr>
        <w:rPr>
          <w:rStyle w:val="normaltextrun"/>
          <w:rFonts w:cs="Calibri"/>
          <w:szCs w:val="24"/>
          <w:lang w:eastAsia="en-GB"/>
        </w:rPr>
      </w:pPr>
      <w:r>
        <w:rPr>
          <w:rStyle w:val="normaltextrun"/>
          <w:rFonts w:cs="Calibri"/>
          <w:szCs w:val="24"/>
          <w:lang w:eastAsia="en-GB"/>
        </w:rPr>
        <w:t xml:space="preserve">to allocate </w:t>
      </w:r>
      <w:r w:rsidR="00273F8E" w:rsidRPr="00273F8E">
        <w:rPr>
          <w:rStyle w:val="normaltextrun"/>
          <w:rFonts w:cs="Calibri"/>
          <w:szCs w:val="24"/>
          <w:lang w:eastAsia="en-GB"/>
        </w:rPr>
        <w:t xml:space="preserve">the 2023 budget </w:t>
      </w:r>
      <w:r w:rsidR="00ED602C">
        <w:rPr>
          <w:rStyle w:val="normaltextrun"/>
          <w:rFonts w:cs="Calibri"/>
          <w:szCs w:val="24"/>
          <w:lang w:eastAsia="en-GB"/>
        </w:rPr>
        <w:t>surplus</w:t>
      </w:r>
      <w:r w:rsidR="00D62A0A">
        <w:rPr>
          <w:rStyle w:val="normaltextrun"/>
          <w:rFonts w:cs="Calibri"/>
          <w:szCs w:val="24"/>
          <w:lang w:eastAsia="en-GB"/>
        </w:rPr>
        <w:t xml:space="preserve"> </w:t>
      </w:r>
      <w:r>
        <w:rPr>
          <w:rStyle w:val="normaltextrun"/>
          <w:rFonts w:cs="Calibri"/>
          <w:szCs w:val="24"/>
          <w:lang w:eastAsia="en-GB"/>
        </w:rPr>
        <w:t>to the implementation of the WRC-23 decisions (CHF</w:t>
      </w:r>
      <w:r w:rsidR="00343502">
        <w:rPr>
          <w:rStyle w:val="normaltextrun"/>
          <w:rFonts w:cs="Calibri"/>
        </w:rPr>
        <w:t> </w:t>
      </w:r>
      <w:r>
        <w:rPr>
          <w:rStyle w:val="normaltextrun"/>
          <w:rFonts w:cs="Calibri"/>
          <w:szCs w:val="24"/>
          <w:lang w:eastAsia="en-GB"/>
        </w:rPr>
        <w:t>1</w:t>
      </w:r>
      <w:r w:rsidR="00AE4034">
        <w:rPr>
          <w:rStyle w:val="normaltextrun"/>
          <w:rFonts w:cs="Calibri"/>
          <w:szCs w:val="24"/>
          <w:lang w:eastAsia="en-GB"/>
        </w:rPr>
        <w:t>,</w:t>
      </w:r>
      <w:r>
        <w:rPr>
          <w:rStyle w:val="normaltextrun"/>
          <w:rFonts w:cs="Calibri"/>
          <w:szCs w:val="24"/>
          <w:lang w:eastAsia="en-GB"/>
        </w:rPr>
        <w:t>423</w:t>
      </w:r>
      <w:r w:rsidR="00AE4034">
        <w:rPr>
          <w:rStyle w:val="normaltextrun"/>
          <w:rFonts w:cs="Calibri"/>
          <w:szCs w:val="24"/>
          <w:lang w:eastAsia="en-GB"/>
        </w:rPr>
        <w:t>K</w:t>
      </w:r>
      <w:r>
        <w:rPr>
          <w:rStyle w:val="normaltextrun"/>
          <w:rFonts w:cs="Calibri"/>
          <w:szCs w:val="24"/>
          <w:lang w:eastAsia="en-GB"/>
        </w:rPr>
        <w:t xml:space="preserve">), </w:t>
      </w:r>
      <w:r w:rsidR="002D174F">
        <w:rPr>
          <w:rStyle w:val="normaltextrun"/>
          <w:rFonts w:cs="Calibri"/>
          <w:szCs w:val="24"/>
          <w:lang w:eastAsia="en-GB"/>
        </w:rPr>
        <w:t xml:space="preserve">to allocate savings from </w:t>
      </w:r>
      <w:r w:rsidR="00B12AB7">
        <w:rPr>
          <w:rStyle w:val="normaltextrun"/>
          <w:rFonts w:cs="Calibri"/>
          <w:szCs w:val="24"/>
          <w:lang w:eastAsia="en-GB"/>
        </w:rPr>
        <w:t xml:space="preserve">previous years to the implementation of </w:t>
      </w:r>
      <w:r w:rsidR="003430C3">
        <w:rPr>
          <w:rStyle w:val="normaltextrun"/>
          <w:rFonts w:cs="Calibri"/>
          <w:szCs w:val="24"/>
          <w:lang w:eastAsia="en-GB"/>
        </w:rPr>
        <w:t>the</w:t>
      </w:r>
      <w:r w:rsidR="003430C3" w:rsidRPr="003430C3">
        <w:t xml:space="preserve"> </w:t>
      </w:r>
      <w:r w:rsidR="003430C3" w:rsidRPr="003430C3">
        <w:rPr>
          <w:rStyle w:val="normaltextrun"/>
          <w:rFonts w:cs="Calibri"/>
          <w:szCs w:val="24"/>
          <w:lang w:eastAsia="en-GB"/>
        </w:rPr>
        <w:t>Transformation roadmap</w:t>
      </w:r>
      <w:r w:rsidR="00113C38">
        <w:rPr>
          <w:rStyle w:val="normaltextrun"/>
          <w:rFonts w:cs="Calibri"/>
          <w:szCs w:val="24"/>
          <w:lang w:eastAsia="en-GB"/>
        </w:rPr>
        <w:t xml:space="preserve"> including</w:t>
      </w:r>
      <w:r w:rsidR="003430C3" w:rsidRPr="003430C3">
        <w:rPr>
          <w:rStyle w:val="normaltextrun"/>
          <w:rFonts w:cs="Calibri"/>
          <w:szCs w:val="24"/>
          <w:lang w:eastAsia="en-GB"/>
        </w:rPr>
        <w:t xml:space="preserve"> </w:t>
      </w:r>
      <w:r w:rsidR="003430C3">
        <w:rPr>
          <w:rStyle w:val="normaltextrun"/>
          <w:rFonts w:cs="Calibri"/>
          <w:szCs w:val="24"/>
          <w:lang w:eastAsia="en-GB"/>
        </w:rPr>
        <w:t xml:space="preserve">the </w:t>
      </w:r>
      <w:r w:rsidR="003430C3" w:rsidRPr="003430C3">
        <w:rPr>
          <w:rStyle w:val="normaltextrun"/>
          <w:rFonts w:cs="Calibri"/>
          <w:szCs w:val="24"/>
          <w:lang w:eastAsia="en-GB"/>
        </w:rPr>
        <w:t>roadmap for website improvement</w:t>
      </w:r>
      <w:r w:rsidR="003430C3">
        <w:rPr>
          <w:rStyle w:val="normaltextrun"/>
          <w:rFonts w:cs="Calibri"/>
          <w:szCs w:val="24"/>
          <w:lang w:eastAsia="en-GB"/>
        </w:rPr>
        <w:t>, the</w:t>
      </w:r>
      <w:r w:rsidR="003430C3" w:rsidRPr="003430C3">
        <w:rPr>
          <w:rStyle w:val="normaltextrun"/>
          <w:rFonts w:cs="Calibri"/>
          <w:szCs w:val="24"/>
          <w:lang w:eastAsia="en-GB"/>
        </w:rPr>
        <w:t xml:space="preserve"> Young Professional Program</w:t>
      </w:r>
      <w:r w:rsidR="002B406E">
        <w:rPr>
          <w:rStyle w:val="normaltextrun"/>
          <w:rFonts w:cs="Calibri"/>
          <w:szCs w:val="24"/>
          <w:lang w:eastAsia="en-GB"/>
        </w:rPr>
        <w:t>me</w:t>
      </w:r>
      <w:r w:rsidR="003430C3" w:rsidRPr="003430C3">
        <w:rPr>
          <w:rStyle w:val="normaltextrun"/>
          <w:rFonts w:cs="Calibri"/>
          <w:szCs w:val="24"/>
          <w:lang w:eastAsia="en-GB"/>
        </w:rPr>
        <w:t xml:space="preserve"> (YPP)</w:t>
      </w:r>
      <w:r w:rsidR="00696666">
        <w:rPr>
          <w:rStyle w:val="normaltextrun"/>
          <w:rFonts w:cs="Calibri"/>
          <w:szCs w:val="24"/>
          <w:lang w:eastAsia="en-GB"/>
        </w:rPr>
        <w:t>,</w:t>
      </w:r>
      <w:r w:rsidR="003430C3" w:rsidRPr="003430C3">
        <w:rPr>
          <w:rStyle w:val="normaltextrun"/>
          <w:rFonts w:cs="Calibri"/>
          <w:szCs w:val="24"/>
          <w:lang w:eastAsia="en-GB"/>
        </w:rPr>
        <w:t xml:space="preserve"> and </w:t>
      </w:r>
      <w:r w:rsidR="003430C3">
        <w:rPr>
          <w:rStyle w:val="normaltextrun"/>
          <w:rFonts w:cs="Calibri"/>
          <w:szCs w:val="24"/>
          <w:lang w:eastAsia="en-GB"/>
        </w:rPr>
        <w:t xml:space="preserve">the preparation of </w:t>
      </w:r>
      <w:r w:rsidR="003430C3" w:rsidRPr="003430C3">
        <w:rPr>
          <w:rStyle w:val="normaltextrun"/>
          <w:rFonts w:cs="Calibri"/>
          <w:szCs w:val="24"/>
          <w:lang w:eastAsia="en-GB"/>
        </w:rPr>
        <w:t>WTPF-26</w:t>
      </w:r>
      <w:r w:rsidR="003430C3">
        <w:rPr>
          <w:rStyle w:val="normaltextrun"/>
          <w:rFonts w:cs="Calibri"/>
          <w:szCs w:val="24"/>
          <w:lang w:eastAsia="en-GB"/>
        </w:rPr>
        <w:t xml:space="preserve"> (</w:t>
      </w:r>
      <w:r w:rsidR="00CA589D">
        <w:rPr>
          <w:rStyle w:val="normaltextrun"/>
          <w:rFonts w:cs="Calibri"/>
          <w:szCs w:val="24"/>
          <w:lang w:eastAsia="en-GB"/>
        </w:rPr>
        <w:t xml:space="preserve">CHF </w:t>
      </w:r>
      <w:r w:rsidR="003430C3">
        <w:rPr>
          <w:rStyle w:val="normaltextrun"/>
          <w:rFonts w:cs="Calibri"/>
          <w:szCs w:val="24"/>
          <w:lang w:eastAsia="en-GB"/>
        </w:rPr>
        <w:t>1</w:t>
      </w:r>
      <w:r w:rsidR="00424744">
        <w:rPr>
          <w:rStyle w:val="normaltextrun"/>
          <w:rFonts w:cs="Calibri"/>
          <w:szCs w:val="24"/>
          <w:lang w:eastAsia="en-GB"/>
        </w:rPr>
        <w:t>,</w:t>
      </w:r>
      <w:r w:rsidR="003430C3">
        <w:rPr>
          <w:rStyle w:val="normaltextrun"/>
          <w:rFonts w:cs="Calibri"/>
          <w:szCs w:val="24"/>
          <w:lang w:eastAsia="en-GB"/>
        </w:rPr>
        <w:t>734</w:t>
      </w:r>
      <w:r w:rsidR="00424744">
        <w:rPr>
          <w:rStyle w:val="normaltextrun"/>
          <w:rFonts w:cs="Calibri"/>
          <w:szCs w:val="24"/>
          <w:lang w:eastAsia="en-GB"/>
        </w:rPr>
        <w:t>K</w:t>
      </w:r>
      <w:r w:rsidR="003430C3">
        <w:rPr>
          <w:rStyle w:val="normaltextrun"/>
          <w:rFonts w:cs="Calibri"/>
          <w:szCs w:val="24"/>
          <w:lang w:eastAsia="en-GB"/>
        </w:rPr>
        <w:t>),</w:t>
      </w:r>
      <w:r w:rsidR="003430C3" w:rsidRPr="003430C3">
        <w:rPr>
          <w:rStyle w:val="normaltextrun"/>
          <w:rFonts w:cs="Calibri"/>
          <w:szCs w:val="24"/>
          <w:lang w:eastAsia="en-GB"/>
        </w:rPr>
        <w:t xml:space="preserve"> </w:t>
      </w:r>
      <w:r w:rsidR="00273F8E">
        <w:rPr>
          <w:rStyle w:val="normaltextrun"/>
          <w:rFonts w:cs="Calibri"/>
          <w:szCs w:val="24"/>
          <w:lang w:eastAsia="en-GB"/>
        </w:rPr>
        <w:t>and to t</w:t>
      </w:r>
      <w:r w:rsidR="00273F8E" w:rsidRPr="00273F8E">
        <w:rPr>
          <w:rStyle w:val="normaltextrun"/>
          <w:rFonts w:cs="Calibri"/>
          <w:szCs w:val="24"/>
          <w:lang w:eastAsia="en-GB"/>
        </w:rPr>
        <w:t xml:space="preserve">ransfer </w:t>
      </w:r>
      <w:r w:rsidR="003430C3">
        <w:rPr>
          <w:rStyle w:val="normaltextrun"/>
          <w:rFonts w:cs="Calibri"/>
          <w:szCs w:val="24"/>
          <w:lang w:eastAsia="en-GB"/>
        </w:rPr>
        <w:t xml:space="preserve">the amount </w:t>
      </w:r>
      <w:r w:rsidR="00273F8E" w:rsidRPr="00273F8E">
        <w:rPr>
          <w:rStyle w:val="normaltextrun"/>
          <w:rFonts w:cs="Calibri"/>
          <w:szCs w:val="24"/>
          <w:lang w:eastAsia="en-GB"/>
        </w:rPr>
        <w:t>of CHF 465</w:t>
      </w:r>
      <w:r w:rsidR="00AE4034">
        <w:rPr>
          <w:rStyle w:val="normaltextrun"/>
          <w:rFonts w:cs="Calibri"/>
          <w:szCs w:val="24"/>
          <w:lang w:eastAsia="en-GB"/>
        </w:rPr>
        <w:t>K</w:t>
      </w:r>
      <w:r w:rsidR="00273F8E" w:rsidRPr="00273F8E">
        <w:rPr>
          <w:rStyle w:val="normaltextrun"/>
          <w:rFonts w:cs="Calibri"/>
          <w:szCs w:val="24"/>
          <w:lang w:eastAsia="en-GB"/>
        </w:rPr>
        <w:t xml:space="preserve"> from the EWCF to the ICT-DF</w:t>
      </w:r>
      <w:r w:rsidR="00CA063A">
        <w:rPr>
          <w:rStyle w:val="normaltextrun"/>
          <w:rFonts w:cs="Calibri"/>
          <w:szCs w:val="24"/>
          <w:lang w:eastAsia="en-GB"/>
        </w:rPr>
        <w:t>.</w:t>
      </w:r>
    </w:p>
    <w:p w14:paraId="3E71C49C" w14:textId="1E1872D3" w:rsidR="00C62BB3" w:rsidRPr="0090147A" w:rsidRDefault="00C62BB3" w:rsidP="00C62BB3">
      <w:pPr>
        <w:spacing w:before="840"/>
        <w:jc w:val="center"/>
        <w:rPr>
          <w:lang w:val="es-ES"/>
        </w:rPr>
      </w:pPr>
      <w:r>
        <w:rPr>
          <w:rStyle w:val="normaltextrun"/>
          <w:rFonts w:cs="Calibri"/>
          <w:szCs w:val="24"/>
          <w:lang w:eastAsia="en-GB"/>
        </w:rPr>
        <w:t>________________</w:t>
      </w:r>
    </w:p>
    <w:sectPr w:rsidR="00C62BB3" w:rsidRPr="0090147A" w:rsidSect="00FC5E07">
      <w:footerReference w:type="default" r:id="rId26"/>
      <w:headerReference w:type="first" r:id="rId27"/>
      <w:footerReference w:type="first" r:id="rId2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98EF" w14:textId="77777777" w:rsidR="00FC5E07" w:rsidRDefault="00FC5E07">
      <w:r>
        <w:separator/>
      </w:r>
    </w:p>
  </w:endnote>
  <w:endnote w:type="continuationSeparator" w:id="0">
    <w:p w14:paraId="35A41897" w14:textId="77777777" w:rsidR="00FC5E07" w:rsidRDefault="00FC5E07">
      <w:r>
        <w:continuationSeparator/>
      </w:r>
    </w:p>
  </w:endnote>
  <w:endnote w:type="continuationNotice" w:id="1">
    <w:p w14:paraId="6306D2C1" w14:textId="77777777" w:rsidR="00FC5E07" w:rsidRDefault="00FC5E0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charset w:val="00"/>
    <w:family w:val="swiss"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701574">
      <w:trPr>
        <w:jc w:val="center"/>
      </w:trPr>
      <w:tc>
        <w:tcPr>
          <w:tcW w:w="1803" w:type="dxa"/>
          <w:vAlign w:val="center"/>
        </w:tcPr>
        <w:p w14:paraId="727FD637" w14:textId="1BECC151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3E55771E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6850BE">
            <w:rPr>
              <w:bCs/>
            </w:rPr>
            <w:t>4</w:t>
          </w:r>
          <w:r w:rsidRPr="00623AE3">
            <w:rPr>
              <w:bCs/>
            </w:rPr>
            <w:t>/</w:t>
          </w:r>
          <w:r w:rsidR="0095648B">
            <w:rPr>
              <w:bCs/>
            </w:rPr>
            <w:t>19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F588A4C" w14:textId="77777777" w:rsidTr="00EE49E8">
      <w:trPr>
        <w:jc w:val="center"/>
      </w:trPr>
      <w:tc>
        <w:tcPr>
          <w:tcW w:w="1803" w:type="dxa"/>
          <w:vAlign w:val="center"/>
        </w:tcPr>
        <w:p w14:paraId="4E7A2825" w14:textId="77777777" w:rsidR="00EE49E8" w:rsidRDefault="00C62BB3" w:rsidP="00EE49E8">
          <w:pPr>
            <w:pStyle w:val="Header"/>
            <w:jc w:val="left"/>
            <w:rPr>
              <w:noProof/>
            </w:rPr>
          </w:pPr>
          <w:hyperlink r:id="rId1" w:history="1">
            <w:r w:rsidR="00EE49E8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3F62E0D8" w14:textId="6FC78A72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23618">
            <w:rPr>
              <w:bCs/>
            </w:rPr>
            <w:t>4</w:t>
          </w:r>
          <w:r w:rsidRPr="00623AE3">
            <w:rPr>
              <w:bCs/>
            </w:rPr>
            <w:t>/</w:t>
          </w:r>
          <w:r w:rsidR="0099262D">
            <w:rPr>
              <w:bCs/>
            </w:rPr>
            <w:t>19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D5D5" w14:textId="77777777" w:rsidR="00FC5E07" w:rsidRDefault="00FC5E07">
      <w:r>
        <w:t>____________________</w:t>
      </w:r>
    </w:p>
  </w:footnote>
  <w:footnote w:type="continuationSeparator" w:id="0">
    <w:p w14:paraId="719457FC" w14:textId="77777777" w:rsidR="00FC5E07" w:rsidRDefault="00FC5E07">
      <w:r>
        <w:continuationSeparator/>
      </w:r>
    </w:p>
  </w:footnote>
  <w:footnote w:type="continuationNotice" w:id="1">
    <w:p w14:paraId="203CDDB4" w14:textId="77777777" w:rsidR="00FC5E07" w:rsidRDefault="00FC5E0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D3606" w:rsidRPr="00784011" w14:paraId="6D4BB9D4" w14:textId="77777777" w:rsidTr="00701574">
      <w:trPr>
        <w:trHeight w:val="1104"/>
        <w:jc w:val="center"/>
      </w:trPr>
      <w:tc>
        <w:tcPr>
          <w:tcW w:w="4390" w:type="dxa"/>
          <w:vAlign w:val="center"/>
        </w:tcPr>
        <w:p w14:paraId="3E21B143" w14:textId="41A3D2F7" w:rsidR="00AD3606" w:rsidRPr="009621F8" w:rsidRDefault="006850BE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6" w:name="_Hlk133422111"/>
          <w:r>
            <w:rPr>
              <w:noProof/>
            </w:rPr>
            <w:drawing>
              <wp:inline distT="0" distB="0" distL="0" distR="0" wp14:anchorId="44E11463" wp14:editId="40423983">
                <wp:extent cx="2369820" cy="558297"/>
                <wp:effectExtent l="0" t="0" r="0" b="0"/>
                <wp:docPr id="2052189270" name="Picture 2052189270" descr="A blue and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189270" name="Picture 1" descr="A blue and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25" cy="580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D9A3A2C" w14:textId="782E9795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25E43F9A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EBBF8F9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6"/>
  <w:p w14:paraId="0D24EB89" w14:textId="4136AD56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2D41BC44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24784" id="Rectangle 5" o:spid="_x0000_s1026" style="position:absolute;margin-left:1.05pt;margin-top:50.8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" fillcolor="#009cd5" stroked="f">
              <o:lock v:ext="edit" aspectratio="t"/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E4BD2"/>
    <w:multiLevelType w:val="hybridMultilevel"/>
    <w:tmpl w:val="C408D856"/>
    <w:lvl w:ilvl="0" w:tplc="172691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95409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118E"/>
    <w:rsid w:val="00001A8D"/>
    <w:rsid w:val="00002F9D"/>
    <w:rsid w:val="00003A04"/>
    <w:rsid w:val="00012BA3"/>
    <w:rsid w:val="000210D4"/>
    <w:rsid w:val="00023F9B"/>
    <w:rsid w:val="000339DD"/>
    <w:rsid w:val="00033FA5"/>
    <w:rsid w:val="00034D5E"/>
    <w:rsid w:val="00036A57"/>
    <w:rsid w:val="00037693"/>
    <w:rsid w:val="0004416E"/>
    <w:rsid w:val="0004698E"/>
    <w:rsid w:val="00051CA2"/>
    <w:rsid w:val="000533BC"/>
    <w:rsid w:val="00054FE7"/>
    <w:rsid w:val="00060292"/>
    <w:rsid w:val="00060CC4"/>
    <w:rsid w:val="00063016"/>
    <w:rsid w:val="00063370"/>
    <w:rsid w:val="000642A8"/>
    <w:rsid w:val="00064522"/>
    <w:rsid w:val="00066795"/>
    <w:rsid w:val="00067B5E"/>
    <w:rsid w:val="00072F74"/>
    <w:rsid w:val="000731DB"/>
    <w:rsid w:val="0007583F"/>
    <w:rsid w:val="00076AF6"/>
    <w:rsid w:val="000775A4"/>
    <w:rsid w:val="00085CF2"/>
    <w:rsid w:val="00086E63"/>
    <w:rsid w:val="000870F7"/>
    <w:rsid w:val="000907E1"/>
    <w:rsid w:val="000A2ED4"/>
    <w:rsid w:val="000A4363"/>
    <w:rsid w:val="000B1626"/>
    <w:rsid w:val="000B1705"/>
    <w:rsid w:val="000B2796"/>
    <w:rsid w:val="000C62DF"/>
    <w:rsid w:val="000D0550"/>
    <w:rsid w:val="000D75B2"/>
    <w:rsid w:val="000F298E"/>
    <w:rsid w:val="000F33A6"/>
    <w:rsid w:val="00107EAF"/>
    <w:rsid w:val="001121F5"/>
    <w:rsid w:val="00113C38"/>
    <w:rsid w:val="00123DCF"/>
    <w:rsid w:val="00125DEB"/>
    <w:rsid w:val="001262B8"/>
    <w:rsid w:val="0013153C"/>
    <w:rsid w:val="001320A5"/>
    <w:rsid w:val="0013217C"/>
    <w:rsid w:val="001400DC"/>
    <w:rsid w:val="00140CE1"/>
    <w:rsid w:val="00145962"/>
    <w:rsid w:val="00151862"/>
    <w:rsid w:val="00151E1D"/>
    <w:rsid w:val="00162A73"/>
    <w:rsid w:val="001660BD"/>
    <w:rsid w:val="00166C49"/>
    <w:rsid w:val="00172723"/>
    <w:rsid w:val="0017539C"/>
    <w:rsid w:val="00175AC2"/>
    <w:rsid w:val="0017609F"/>
    <w:rsid w:val="00183A77"/>
    <w:rsid w:val="001871B4"/>
    <w:rsid w:val="00190C69"/>
    <w:rsid w:val="001922C5"/>
    <w:rsid w:val="00192B98"/>
    <w:rsid w:val="00193D57"/>
    <w:rsid w:val="001A1F8D"/>
    <w:rsid w:val="001A2F1B"/>
    <w:rsid w:val="001A633A"/>
    <w:rsid w:val="001A7D1D"/>
    <w:rsid w:val="001B1F27"/>
    <w:rsid w:val="001B51DD"/>
    <w:rsid w:val="001B73DD"/>
    <w:rsid w:val="001C33FF"/>
    <w:rsid w:val="001C54B2"/>
    <w:rsid w:val="001C628E"/>
    <w:rsid w:val="001D0C1D"/>
    <w:rsid w:val="001E0F7B"/>
    <w:rsid w:val="001F5509"/>
    <w:rsid w:val="001F6A95"/>
    <w:rsid w:val="00205AF9"/>
    <w:rsid w:val="00210DC0"/>
    <w:rsid w:val="002115E4"/>
    <w:rsid w:val="002119FD"/>
    <w:rsid w:val="00212256"/>
    <w:rsid w:val="002130E0"/>
    <w:rsid w:val="00215362"/>
    <w:rsid w:val="00231668"/>
    <w:rsid w:val="0023273E"/>
    <w:rsid w:val="00235237"/>
    <w:rsid w:val="00236857"/>
    <w:rsid w:val="002371DF"/>
    <w:rsid w:val="00241BCB"/>
    <w:rsid w:val="002438D0"/>
    <w:rsid w:val="00254A23"/>
    <w:rsid w:val="0025709F"/>
    <w:rsid w:val="00257AA2"/>
    <w:rsid w:val="002626B2"/>
    <w:rsid w:val="00264425"/>
    <w:rsid w:val="00265875"/>
    <w:rsid w:val="002663DD"/>
    <w:rsid w:val="00267944"/>
    <w:rsid w:val="0027303B"/>
    <w:rsid w:val="00273F8E"/>
    <w:rsid w:val="0028109B"/>
    <w:rsid w:val="002848D4"/>
    <w:rsid w:val="002863AA"/>
    <w:rsid w:val="00297C06"/>
    <w:rsid w:val="002A2188"/>
    <w:rsid w:val="002A7F2E"/>
    <w:rsid w:val="002B0321"/>
    <w:rsid w:val="002B1AE1"/>
    <w:rsid w:val="002B1F58"/>
    <w:rsid w:val="002B3174"/>
    <w:rsid w:val="002B406E"/>
    <w:rsid w:val="002B73ED"/>
    <w:rsid w:val="002C1C7A"/>
    <w:rsid w:val="002C54E2"/>
    <w:rsid w:val="002C7126"/>
    <w:rsid w:val="002D174F"/>
    <w:rsid w:val="002D2E0C"/>
    <w:rsid w:val="002D4813"/>
    <w:rsid w:val="002D52A8"/>
    <w:rsid w:val="002E171E"/>
    <w:rsid w:val="002E60AA"/>
    <w:rsid w:val="002E6D6F"/>
    <w:rsid w:val="002F5310"/>
    <w:rsid w:val="002F5E26"/>
    <w:rsid w:val="0030160F"/>
    <w:rsid w:val="00302523"/>
    <w:rsid w:val="00304CD8"/>
    <w:rsid w:val="00320223"/>
    <w:rsid w:val="0032102B"/>
    <w:rsid w:val="00322D0D"/>
    <w:rsid w:val="00323295"/>
    <w:rsid w:val="00324B4C"/>
    <w:rsid w:val="003253DC"/>
    <w:rsid w:val="00326565"/>
    <w:rsid w:val="00326DBA"/>
    <w:rsid w:val="00335E18"/>
    <w:rsid w:val="0033624B"/>
    <w:rsid w:val="003430C3"/>
    <w:rsid w:val="00343502"/>
    <w:rsid w:val="00345480"/>
    <w:rsid w:val="00350401"/>
    <w:rsid w:val="003521D8"/>
    <w:rsid w:val="0035586D"/>
    <w:rsid w:val="00361465"/>
    <w:rsid w:val="00365AE3"/>
    <w:rsid w:val="00370336"/>
    <w:rsid w:val="00371FB1"/>
    <w:rsid w:val="00372535"/>
    <w:rsid w:val="00372819"/>
    <w:rsid w:val="00383927"/>
    <w:rsid w:val="00384BEF"/>
    <w:rsid w:val="0038518E"/>
    <w:rsid w:val="003877D7"/>
    <w:rsid w:val="003877F5"/>
    <w:rsid w:val="003942D4"/>
    <w:rsid w:val="003958A8"/>
    <w:rsid w:val="003A4DE8"/>
    <w:rsid w:val="003B205E"/>
    <w:rsid w:val="003C0D40"/>
    <w:rsid w:val="003C2533"/>
    <w:rsid w:val="003C3609"/>
    <w:rsid w:val="003C69AD"/>
    <w:rsid w:val="003D262B"/>
    <w:rsid w:val="003D4ACF"/>
    <w:rsid w:val="003D5A7F"/>
    <w:rsid w:val="003E4B56"/>
    <w:rsid w:val="003E572E"/>
    <w:rsid w:val="00400725"/>
    <w:rsid w:val="004016E2"/>
    <w:rsid w:val="0040435A"/>
    <w:rsid w:val="00404C3E"/>
    <w:rsid w:val="00404E92"/>
    <w:rsid w:val="004116E3"/>
    <w:rsid w:val="004128F5"/>
    <w:rsid w:val="00416A24"/>
    <w:rsid w:val="004213BA"/>
    <w:rsid w:val="0042218F"/>
    <w:rsid w:val="00424744"/>
    <w:rsid w:val="004277DC"/>
    <w:rsid w:val="00427DEF"/>
    <w:rsid w:val="00431D9E"/>
    <w:rsid w:val="004323C0"/>
    <w:rsid w:val="00433CE8"/>
    <w:rsid w:val="004344A6"/>
    <w:rsid w:val="00434A5C"/>
    <w:rsid w:val="00435308"/>
    <w:rsid w:val="00436EF4"/>
    <w:rsid w:val="0043780B"/>
    <w:rsid w:val="00447A58"/>
    <w:rsid w:val="004544D9"/>
    <w:rsid w:val="004622F8"/>
    <w:rsid w:val="00466CB8"/>
    <w:rsid w:val="00472BAD"/>
    <w:rsid w:val="0047546F"/>
    <w:rsid w:val="00475830"/>
    <w:rsid w:val="004808B7"/>
    <w:rsid w:val="004819D7"/>
    <w:rsid w:val="00484009"/>
    <w:rsid w:val="004862A4"/>
    <w:rsid w:val="00490E72"/>
    <w:rsid w:val="00491157"/>
    <w:rsid w:val="004921C8"/>
    <w:rsid w:val="00494657"/>
    <w:rsid w:val="00495B0B"/>
    <w:rsid w:val="00497729"/>
    <w:rsid w:val="004A0565"/>
    <w:rsid w:val="004A1B8B"/>
    <w:rsid w:val="004A7AC4"/>
    <w:rsid w:val="004B014C"/>
    <w:rsid w:val="004B1BF5"/>
    <w:rsid w:val="004B3620"/>
    <w:rsid w:val="004B62AF"/>
    <w:rsid w:val="004C244C"/>
    <w:rsid w:val="004C744A"/>
    <w:rsid w:val="004D1851"/>
    <w:rsid w:val="004D424C"/>
    <w:rsid w:val="004D599D"/>
    <w:rsid w:val="004D66BE"/>
    <w:rsid w:val="004D7C98"/>
    <w:rsid w:val="004E2EA5"/>
    <w:rsid w:val="004E3AEB"/>
    <w:rsid w:val="004E78C8"/>
    <w:rsid w:val="004F1678"/>
    <w:rsid w:val="00500D11"/>
    <w:rsid w:val="0050223C"/>
    <w:rsid w:val="0050331B"/>
    <w:rsid w:val="005054C2"/>
    <w:rsid w:val="00510E48"/>
    <w:rsid w:val="00517698"/>
    <w:rsid w:val="00523678"/>
    <w:rsid w:val="005236A2"/>
    <w:rsid w:val="005243FF"/>
    <w:rsid w:val="00524543"/>
    <w:rsid w:val="005305DD"/>
    <w:rsid w:val="00535327"/>
    <w:rsid w:val="00536BB4"/>
    <w:rsid w:val="005474FE"/>
    <w:rsid w:val="005562AE"/>
    <w:rsid w:val="00557FC0"/>
    <w:rsid w:val="00563586"/>
    <w:rsid w:val="00564825"/>
    <w:rsid w:val="00564FBC"/>
    <w:rsid w:val="005700E2"/>
    <w:rsid w:val="00577CE3"/>
    <w:rsid w:val="005800BC"/>
    <w:rsid w:val="00582442"/>
    <w:rsid w:val="00582F3C"/>
    <w:rsid w:val="00586952"/>
    <w:rsid w:val="005925B8"/>
    <w:rsid w:val="00596E95"/>
    <w:rsid w:val="0059767B"/>
    <w:rsid w:val="00597CEF"/>
    <w:rsid w:val="005A25BA"/>
    <w:rsid w:val="005A3B19"/>
    <w:rsid w:val="005B3C88"/>
    <w:rsid w:val="005C205B"/>
    <w:rsid w:val="005C2F54"/>
    <w:rsid w:val="005C4198"/>
    <w:rsid w:val="005D38C4"/>
    <w:rsid w:val="005D58DE"/>
    <w:rsid w:val="005D6357"/>
    <w:rsid w:val="005E354B"/>
    <w:rsid w:val="005F3269"/>
    <w:rsid w:val="005F7276"/>
    <w:rsid w:val="00604CFA"/>
    <w:rsid w:val="00606B13"/>
    <w:rsid w:val="0061475B"/>
    <w:rsid w:val="00614C68"/>
    <w:rsid w:val="00623AE3"/>
    <w:rsid w:val="00633B2B"/>
    <w:rsid w:val="00636FA1"/>
    <w:rsid w:val="0064737F"/>
    <w:rsid w:val="00652182"/>
    <w:rsid w:val="006535F1"/>
    <w:rsid w:val="0065557D"/>
    <w:rsid w:val="00660D50"/>
    <w:rsid w:val="00661ABD"/>
    <w:rsid w:val="00662984"/>
    <w:rsid w:val="0066715C"/>
    <w:rsid w:val="00667626"/>
    <w:rsid w:val="006703CC"/>
    <w:rsid w:val="006716BB"/>
    <w:rsid w:val="00671B7F"/>
    <w:rsid w:val="00674493"/>
    <w:rsid w:val="0067717E"/>
    <w:rsid w:val="006850BE"/>
    <w:rsid w:val="006865AC"/>
    <w:rsid w:val="00696666"/>
    <w:rsid w:val="006A2DE0"/>
    <w:rsid w:val="006A52B7"/>
    <w:rsid w:val="006A5905"/>
    <w:rsid w:val="006A654F"/>
    <w:rsid w:val="006B1859"/>
    <w:rsid w:val="006B4D05"/>
    <w:rsid w:val="006B6680"/>
    <w:rsid w:val="006B6DCC"/>
    <w:rsid w:val="006C2962"/>
    <w:rsid w:val="006C40C7"/>
    <w:rsid w:val="006C6277"/>
    <w:rsid w:val="006D0F10"/>
    <w:rsid w:val="006D2D18"/>
    <w:rsid w:val="006D501A"/>
    <w:rsid w:val="006D565C"/>
    <w:rsid w:val="006E7250"/>
    <w:rsid w:val="006F1DBA"/>
    <w:rsid w:val="00701574"/>
    <w:rsid w:val="00702DEF"/>
    <w:rsid w:val="00704CED"/>
    <w:rsid w:val="00704EB9"/>
    <w:rsid w:val="00706861"/>
    <w:rsid w:val="0071390B"/>
    <w:rsid w:val="0071608A"/>
    <w:rsid w:val="00720BD0"/>
    <w:rsid w:val="00720D4F"/>
    <w:rsid w:val="00724CF4"/>
    <w:rsid w:val="007269F6"/>
    <w:rsid w:val="00727E6B"/>
    <w:rsid w:val="0073425E"/>
    <w:rsid w:val="00740EB7"/>
    <w:rsid w:val="007418DE"/>
    <w:rsid w:val="0075051B"/>
    <w:rsid w:val="00752F88"/>
    <w:rsid w:val="00771978"/>
    <w:rsid w:val="007756D5"/>
    <w:rsid w:val="00782D4A"/>
    <w:rsid w:val="00787B00"/>
    <w:rsid w:val="00791412"/>
    <w:rsid w:val="00793188"/>
    <w:rsid w:val="00793C37"/>
    <w:rsid w:val="00793E54"/>
    <w:rsid w:val="00794D34"/>
    <w:rsid w:val="007B0684"/>
    <w:rsid w:val="007B1AC1"/>
    <w:rsid w:val="007B525D"/>
    <w:rsid w:val="007B5DEA"/>
    <w:rsid w:val="007C0C58"/>
    <w:rsid w:val="007C2DBB"/>
    <w:rsid w:val="007C38AD"/>
    <w:rsid w:val="007C5A02"/>
    <w:rsid w:val="007C7F14"/>
    <w:rsid w:val="007D724D"/>
    <w:rsid w:val="007D732E"/>
    <w:rsid w:val="007E6A64"/>
    <w:rsid w:val="007F020A"/>
    <w:rsid w:val="007F1326"/>
    <w:rsid w:val="007F3630"/>
    <w:rsid w:val="00804B7C"/>
    <w:rsid w:val="00806BAD"/>
    <w:rsid w:val="00813E5E"/>
    <w:rsid w:val="00820E62"/>
    <w:rsid w:val="008236D1"/>
    <w:rsid w:val="00824004"/>
    <w:rsid w:val="00833E65"/>
    <w:rsid w:val="0083581B"/>
    <w:rsid w:val="00840134"/>
    <w:rsid w:val="00841516"/>
    <w:rsid w:val="008501A6"/>
    <w:rsid w:val="00855F7D"/>
    <w:rsid w:val="00860805"/>
    <w:rsid w:val="008626D7"/>
    <w:rsid w:val="00863874"/>
    <w:rsid w:val="00864AFF"/>
    <w:rsid w:val="00865925"/>
    <w:rsid w:val="00870E64"/>
    <w:rsid w:val="00870F7B"/>
    <w:rsid w:val="008716D7"/>
    <w:rsid w:val="0087652B"/>
    <w:rsid w:val="00885673"/>
    <w:rsid w:val="008877B0"/>
    <w:rsid w:val="008964DE"/>
    <w:rsid w:val="00896A00"/>
    <w:rsid w:val="008A0B63"/>
    <w:rsid w:val="008A0F4E"/>
    <w:rsid w:val="008A513C"/>
    <w:rsid w:val="008B1755"/>
    <w:rsid w:val="008B3B97"/>
    <w:rsid w:val="008B4638"/>
    <w:rsid w:val="008B4A6A"/>
    <w:rsid w:val="008B7954"/>
    <w:rsid w:val="008B7E2E"/>
    <w:rsid w:val="008C2D09"/>
    <w:rsid w:val="008C5ED1"/>
    <w:rsid w:val="008C7AC5"/>
    <w:rsid w:val="008C7BE2"/>
    <w:rsid w:val="008C7E27"/>
    <w:rsid w:val="008D01DB"/>
    <w:rsid w:val="008D05EE"/>
    <w:rsid w:val="008D27F6"/>
    <w:rsid w:val="008D316A"/>
    <w:rsid w:val="008E16B2"/>
    <w:rsid w:val="008E1A3F"/>
    <w:rsid w:val="008E2BA7"/>
    <w:rsid w:val="008F0ED5"/>
    <w:rsid w:val="008F29C9"/>
    <w:rsid w:val="008F7448"/>
    <w:rsid w:val="0090147A"/>
    <w:rsid w:val="00902A11"/>
    <w:rsid w:val="0090319B"/>
    <w:rsid w:val="0091107E"/>
    <w:rsid w:val="00914206"/>
    <w:rsid w:val="009173EF"/>
    <w:rsid w:val="00920DB9"/>
    <w:rsid w:val="00932906"/>
    <w:rsid w:val="00937215"/>
    <w:rsid w:val="0094274C"/>
    <w:rsid w:val="00942C52"/>
    <w:rsid w:val="009454E7"/>
    <w:rsid w:val="009487B6"/>
    <w:rsid w:val="0095648B"/>
    <w:rsid w:val="00961B0B"/>
    <w:rsid w:val="00962D33"/>
    <w:rsid w:val="00966DA9"/>
    <w:rsid w:val="0097197E"/>
    <w:rsid w:val="00972181"/>
    <w:rsid w:val="009749BD"/>
    <w:rsid w:val="00976EEC"/>
    <w:rsid w:val="00982C43"/>
    <w:rsid w:val="00986B78"/>
    <w:rsid w:val="00987737"/>
    <w:rsid w:val="0099262D"/>
    <w:rsid w:val="00993616"/>
    <w:rsid w:val="00996572"/>
    <w:rsid w:val="009A017E"/>
    <w:rsid w:val="009A2A9B"/>
    <w:rsid w:val="009A4269"/>
    <w:rsid w:val="009A427E"/>
    <w:rsid w:val="009A70E2"/>
    <w:rsid w:val="009B1E0B"/>
    <w:rsid w:val="009B2A05"/>
    <w:rsid w:val="009B38C3"/>
    <w:rsid w:val="009B65E5"/>
    <w:rsid w:val="009E17BD"/>
    <w:rsid w:val="009E2E17"/>
    <w:rsid w:val="009E485A"/>
    <w:rsid w:val="009E5A6A"/>
    <w:rsid w:val="009E7924"/>
    <w:rsid w:val="009E7DFB"/>
    <w:rsid w:val="009F0596"/>
    <w:rsid w:val="009F4308"/>
    <w:rsid w:val="009F6843"/>
    <w:rsid w:val="00A04CEC"/>
    <w:rsid w:val="00A07574"/>
    <w:rsid w:val="00A10E87"/>
    <w:rsid w:val="00A13278"/>
    <w:rsid w:val="00A1702B"/>
    <w:rsid w:val="00A2165B"/>
    <w:rsid w:val="00A21EA3"/>
    <w:rsid w:val="00A279BC"/>
    <w:rsid w:val="00A27F92"/>
    <w:rsid w:val="00A32257"/>
    <w:rsid w:val="00A3437A"/>
    <w:rsid w:val="00A34AF1"/>
    <w:rsid w:val="00A36995"/>
    <w:rsid w:val="00A36D20"/>
    <w:rsid w:val="00A514A4"/>
    <w:rsid w:val="00A55622"/>
    <w:rsid w:val="00A772D9"/>
    <w:rsid w:val="00A77E74"/>
    <w:rsid w:val="00A80259"/>
    <w:rsid w:val="00A83502"/>
    <w:rsid w:val="00A8406A"/>
    <w:rsid w:val="00A91ED0"/>
    <w:rsid w:val="00A95C49"/>
    <w:rsid w:val="00A978D6"/>
    <w:rsid w:val="00AA0B2B"/>
    <w:rsid w:val="00AA156B"/>
    <w:rsid w:val="00AA36BD"/>
    <w:rsid w:val="00AA70E1"/>
    <w:rsid w:val="00AB0CDE"/>
    <w:rsid w:val="00AB2605"/>
    <w:rsid w:val="00AB35B5"/>
    <w:rsid w:val="00AB62E1"/>
    <w:rsid w:val="00AB7B16"/>
    <w:rsid w:val="00AC164B"/>
    <w:rsid w:val="00AC3AB2"/>
    <w:rsid w:val="00AC4477"/>
    <w:rsid w:val="00AC4619"/>
    <w:rsid w:val="00AC64AD"/>
    <w:rsid w:val="00AD15B3"/>
    <w:rsid w:val="00AD1C7C"/>
    <w:rsid w:val="00AD3606"/>
    <w:rsid w:val="00AD4521"/>
    <w:rsid w:val="00AD4A3D"/>
    <w:rsid w:val="00AD662A"/>
    <w:rsid w:val="00AE0B09"/>
    <w:rsid w:val="00AE1D20"/>
    <w:rsid w:val="00AE1DD5"/>
    <w:rsid w:val="00AE36A7"/>
    <w:rsid w:val="00AE4034"/>
    <w:rsid w:val="00AE4195"/>
    <w:rsid w:val="00AF6E49"/>
    <w:rsid w:val="00B04023"/>
    <w:rsid w:val="00B04A67"/>
    <w:rsid w:val="00B056A3"/>
    <w:rsid w:val="00B0583C"/>
    <w:rsid w:val="00B07094"/>
    <w:rsid w:val="00B12AB7"/>
    <w:rsid w:val="00B14DDC"/>
    <w:rsid w:val="00B154B7"/>
    <w:rsid w:val="00B21931"/>
    <w:rsid w:val="00B2675E"/>
    <w:rsid w:val="00B35A95"/>
    <w:rsid w:val="00B40A81"/>
    <w:rsid w:val="00B44910"/>
    <w:rsid w:val="00B60F1C"/>
    <w:rsid w:val="00B62BC2"/>
    <w:rsid w:val="00B65837"/>
    <w:rsid w:val="00B65B34"/>
    <w:rsid w:val="00B65B59"/>
    <w:rsid w:val="00B66A9B"/>
    <w:rsid w:val="00B72267"/>
    <w:rsid w:val="00B75EAD"/>
    <w:rsid w:val="00B768D6"/>
    <w:rsid w:val="00B76EB6"/>
    <w:rsid w:val="00B7737B"/>
    <w:rsid w:val="00B824C8"/>
    <w:rsid w:val="00B82CF8"/>
    <w:rsid w:val="00B84652"/>
    <w:rsid w:val="00B84B9D"/>
    <w:rsid w:val="00B868B1"/>
    <w:rsid w:val="00BA2D4F"/>
    <w:rsid w:val="00BA727E"/>
    <w:rsid w:val="00BB104D"/>
    <w:rsid w:val="00BB1CD7"/>
    <w:rsid w:val="00BC251A"/>
    <w:rsid w:val="00BC2533"/>
    <w:rsid w:val="00BC3781"/>
    <w:rsid w:val="00BC4214"/>
    <w:rsid w:val="00BC7293"/>
    <w:rsid w:val="00BD032B"/>
    <w:rsid w:val="00BE1E30"/>
    <w:rsid w:val="00BE2640"/>
    <w:rsid w:val="00BF05B2"/>
    <w:rsid w:val="00C01189"/>
    <w:rsid w:val="00C02851"/>
    <w:rsid w:val="00C156C1"/>
    <w:rsid w:val="00C15E89"/>
    <w:rsid w:val="00C21D4C"/>
    <w:rsid w:val="00C350CD"/>
    <w:rsid w:val="00C374DE"/>
    <w:rsid w:val="00C43EC6"/>
    <w:rsid w:val="00C47AD4"/>
    <w:rsid w:val="00C5097C"/>
    <w:rsid w:val="00C5147D"/>
    <w:rsid w:val="00C52C70"/>
    <w:rsid w:val="00C52D81"/>
    <w:rsid w:val="00C53D4C"/>
    <w:rsid w:val="00C540CC"/>
    <w:rsid w:val="00C545BD"/>
    <w:rsid w:val="00C55198"/>
    <w:rsid w:val="00C62448"/>
    <w:rsid w:val="00C62BB3"/>
    <w:rsid w:val="00C67FBE"/>
    <w:rsid w:val="00C72D51"/>
    <w:rsid w:val="00C74349"/>
    <w:rsid w:val="00C748E9"/>
    <w:rsid w:val="00C7553B"/>
    <w:rsid w:val="00C75700"/>
    <w:rsid w:val="00C868A1"/>
    <w:rsid w:val="00C92CAF"/>
    <w:rsid w:val="00CA0148"/>
    <w:rsid w:val="00CA063A"/>
    <w:rsid w:val="00CA589D"/>
    <w:rsid w:val="00CA6393"/>
    <w:rsid w:val="00CB1474"/>
    <w:rsid w:val="00CB18FF"/>
    <w:rsid w:val="00CC1892"/>
    <w:rsid w:val="00CC22DB"/>
    <w:rsid w:val="00CC4CF1"/>
    <w:rsid w:val="00CD0C08"/>
    <w:rsid w:val="00CD3328"/>
    <w:rsid w:val="00CE03FB"/>
    <w:rsid w:val="00CE23C9"/>
    <w:rsid w:val="00CE433C"/>
    <w:rsid w:val="00CE7AF5"/>
    <w:rsid w:val="00CF0161"/>
    <w:rsid w:val="00CF33F3"/>
    <w:rsid w:val="00D02309"/>
    <w:rsid w:val="00D03E39"/>
    <w:rsid w:val="00D06183"/>
    <w:rsid w:val="00D06944"/>
    <w:rsid w:val="00D10154"/>
    <w:rsid w:val="00D102B3"/>
    <w:rsid w:val="00D10306"/>
    <w:rsid w:val="00D10461"/>
    <w:rsid w:val="00D11298"/>
    <w:rsid w:val="00D16CA8"/>
    <w:rsid w:val="00D2213C"/>
    <w:rsid w:val="00D22C42"/>
    <w:rsid w:val="00D36EF9"/>
    <w:rsid w:val="00D62586"/>
    <w:rsid w:val="00D62A0A"/>
    <w:rsid w:val="00D63489"/>
    <w:rsid w:val="00D65041"/>
    <w:rsid w:val="00D65566"/>
    <w:rsid w:val="00D70975"/>
    <w:rsid w:val="00D940FA"/>
    <w:rsid w:val="00DA366E"/>
    <w:rsid w:val="00DA3B58"/>
    <w:rsid w:val="00DB0713"/>
    <w:rsid w:val="00DB1936"/>
    <w:rsid w:val="00DB384B"/>
    <w:rsid w:val="00DB4E47"/>
    <w:rsid w:val="00DB659A"/>
    <w:rsid w:val="00DC10AB"/>
    <w:rsid w:val="00DD41B3"/>
    <w:rsid w:val="00DD65B9"/>
    <w:rsid w:val="00DE21A2"/>
    <w:rsid w:val="00DE3915"/>
    <w:rsid w:val="00DE6575"/>
    <w:rsid w:val="00DF0189"/>
    <w:rsid w:val="00DF18BF"/>
    <w:rsid w:val="00DF1F8B"/>
    <w:rsid w:val="00E0379A"/>
    <w:rsid w:val="00E05F49"/>
    <w:rsid w:val="00E06FD5"/>
    <w:rsid w:val="00E10E80"/>
    <w:rsid w:val="00E124F0"/>
    <w:rsid w:val="00E15BE4"/>
    <w:rsid w:val="00E165E9"/>
    <w:rsid w:val="00E17005"/>
    <w:rsid w:val="00E227F3"/>
    <w:rsid w:val="00E23618"/>
    <w:rsid w:val="00E30CC0"/>
    <w:rsid w:val="00E31D7A"/>
    <w:rsid w:val="00E328EE"/>
    <w:rsid w:val="00E34B1D"/>
    <w:rsid w:val="00E47918"/>
    <w:rsid w:val="00E545C6"/>
    <w:rsid w:val="00E5564A"/>
    <w:rsid w:val="00E559FB"/>
    <w:rsid w:val="00E606C1"/>
    <w:rsid w:val="00E60F04"/>
    <w:rsid w:val="00E65B24"/>
    <w:rsid w:val="00E72B26"/>
    <w:rsid w:val="00E816C0"/>
    <w:rsid w:val="00E854E4"/>
    <w:rsid w:val="00E8582C"/>
    <w:rsid w:val="00E86DBF"/>
    <w:rsid w:val="00E91646"/>
    <w:rsid w:val="00E92367"/>
    <w:rsid w:val="00EA4071"/>
    <w:rsid w:val="00EB0D6F"/>
    <w:rsid w:val="00EB2232"/>
    <w:rsid w:val="00EB2660"/>
    <w:rsid w:val="00EB5C5B"/>
    <w:rsid w:val="00EC13AD"/>
    <w:rsid w:val="00EC4081"/>
    <w:rsid w:val="00EC5337"/>
    <w:rsid w:val="00ED4166"/>
    <w:rsid w:val="00ED602C"/>
    <w:rsid w:val="00EE49E8"/>
    <w:rsid w:val="00EE5162"/>
    <w:rsid w:val="00EE5A1F"/>
    <w:rsid w:val="00F0178C"/>
    <w:rsid w:val="00F03165"/>
    <w:rsid w:val="00F039A3"/>
    <w:rsid w:val="00F12824"/>
    <w:rsid w:val="00F16674"/>
    <w:rsid w:val="00F16BAB"/>
    <w:rsid w:val="00F17A08"/>
    <w:rsid w:val="00F2150A"/>
    <w:rsid w:val="00F231D8"/>
    <w:rsid w:val="00F26F55"/>
    <w:rsid w:val="00F40021"/>
    <w:rsid w:val="00F44C00"/>
    <w:rsid w:val="00F45D2C"/>
    <w:rsid w:val="00F46690"/>
    <w:rsid w:val="00F46C5F"/>
    <w:rsid w:val="00F578A8"/>
    <w:rsid w:val="00F61800"/>
    <w:rsid w:val="00F6189D"/>
    <w:rsid w:val="00F632C0"/>
    <w:rsid w:val="00F63648"/>
    <w:rsid w:val="00F64CCA"/>
    <w:rsid w:val="00F6775A"/>
    <w:rsid w:val="00F73D3B"/>
    <w:rsid w:val="00F74710"/>
    <w:rsid w:val="00F87198"/>
    <w:rsid w:val="00F8731E"/>
    <w:rsid w:val="00F877F9"/>
    <w:rsid w:val="00F923AE"/>
    <w:rsid w:val="00F92C4E"/>
    <w:rsid w:val="00F94A63"/>
    <w:rsid w:val="00F96F67"/>
    <w:rsid w:val="00FA1C28"/>
    <w:rsid w:val="00FA2AF5"/>
    <w:rsid w:val="00FA666A"/>
    <w:rsid w:val="00FA6D74"/>
    <w:rsid w:val="00FB1279"/>
    <w:rsid w:val="00FB25F5"/>
    <w:rsid w:val="00FB65B0"/>
    <w:rsid w:val="00FB6B76"/>
    <w:rsid w:val="00FB7596"/>
    <w:rsid w:val="00FC01C1"/>
    <w:rsid w:val="00FC5E07"/>
    <w:rsid w:val="00FC6D52"/>
    <w:rsid w:val="00FE4077"/>
    <w:rsid w:val="00FE500D"/>
    <w:rsid w:val="00FE77D2"/>
    <w:rsid w:val="00FE7E68"/>
    <w:rsid w:val="00FF49BB"/>
    <w:rsid w:val="00FF5BE2"/>
    <w:rsid w:val="0401F6E7"/>
    <w:rsid w:val="041B2470"/>
    <w:rsid w:val="062F6CE0"/>
    <w:rsid w:val="07CB3D41"/>
    <w:rsid w:val="0DC30DB5"/>
    <w:rsid w:val="11AD1994"/>
    <w:rsid w:val="15373CCD"/>
    <w:rsid w:val="16A3E65B"/>
    <w:rsid w:val="186343B1"/>
    <w:rsid w:val="1E1389B9"/>
    <w:rsid w:val="1E7802B5"/>
    <w:rsid w:val="1EEF217D"/>
    <w:rsid w:val="20C0682E"/>
    <w:rsid w:val="26F2F289"/>
    <w:rsid w:val="2AA17913"/>
    <w:rsid w:val="2B61B2BF"/>
    <w:rsid w:val="2C379E61"/>
    <w:rsid w:val="2C85A9F2"/>
    <w:rsid w:val="2CA1EBC3"/>
    <w:rsid w:val="2D1D6151"/>
    <w:rsid w:val="303523E2"/>
    <w:rsid w:val="30736312"/>
    <w:rsid w:val="342398E6"/>
    <w:rsid w:val="36187AB5"/>
    <w:rsid w:val="37BAFF40"/>
    <w:rsid w:val="383F3F84"/>
    <w:rsid w:val="38F030BB"/>
    <w:rsid w:val="38F6FF80"/>
    <w:rsid w:val="3CB4AB26"/>
    <w:rsid w:val="3E15101D"/>
    <w:rsid w:val="3E7FA024"/>
    <w:rsid w:val="40334D4C"/>
    <w:rsid w:val="40E37342"/>
    <w:rsid w:val="412ECBE7"/>
    <w:rsid w:val="4213CB81"/>
    <w:rsid w:val="45541AA3"/>
    <w:rsid w:val="46AEC5E6"/>
    <w:rsid w:val="47B501F7"/>
    <w:rsid w:val="4B54D4E0"/>
    <w:rsid w:val="4B7F6B9B"/>
    <w:rsid w:val="4E30F363"/>
    <w:rsid w:val="4F6ABA02"/>
    <w:rsid w:val="51D3F075"/>
    <w:rsid w:val="529D54F3"/>
    <w:rsid w:val="57B95F14"/>
    <w:rsid w:val="5A537DFE"/>
    <w:rsid w:val="5B641E69"/>
    <w:rsid w:val="5BC2AA4B"/>
    <w:rsid w:val="5D0C8F58"/>
    <w:rsid w:val="5D89911C"/>
    <w:rsid w:val="5F62AF9E"/>
    <w:rsid w:val="615A3AFB"/>
    <w:rsid w:val="627678F1"/>
    <w:rsid w:val="62F588F2"/>
    <w:rsid w:val="65895C45"/>
    <w:rsid w:val="65AE19B3"/>
    <w:rsid w:val="66295B59"/>
    <w:rsid w:val="66357BE1"/>
    <w:rsid w:val="66A29995"/>
    <w:rsid w:val="6EB810BF"/>
    <w:rsid w:val="71BD4234"/>
    <w:rsid w:val="71EF3E5F"/>
    <w:rsid w:val="721BFD15"/>
    <w:rsid w:val="731A493F"/>
    <w:rsid w:val="74A095F2"/>
    <w:rsid w:val="75931216"/>
    <w:rsid w:val="76292902"/>
    <w:rsid w:val="767DC731"/>
    <w:rsid w:val="76C61148"/>
    <w:rsid w:val="7903CBC5"/>
    <w:rsid w:val="794AC990"/>
    <w:rsid w:val="7B80E8E6"/>
    <w:rsid w:val="7EC8A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B38436FD-4306-4066-A559-594AC6C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850B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styleId="Revision">
    <w:name w:val="Revision"/>
    <w:hidden/>
    <w:uiPriority w:val="99"/>
    <w:semiHidden/>
    <w:rsid w:val="009A017E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A017E"/>
    <w:pPr>
      <w:ind w:left="720"/>
      <w:contextualSpacing/>
    </w:pPr>
  </w:style>
  <w:style w:type="paragraph" w:customStyle="1" w:styleId="paragraph">
    <w:name w:val="paragraph"/>
    <w:basedOn w:val="Normal"/>
    <w:rsid w:val="00404C3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04C3E"/>
  </w:style>
  <w:style w:type="character" w:customStyle="1" w:styleId="eop">
    <w:name w:val="eop"/>
    <w:basedOn w:val="DefaultParagraphFont"/>
    <w:rsid w:val="00404C3E"/>
  </w:style>
  <w:style w:type="character" w:styleId="CommentReference">
    <w:name w:val="annotation reference"/>
    <w:basedOn w:val="DefaultParagraphFont"/>
    <w:semiHidden/>
    <w:unhideWhenUsed/>
    <w:rsid w:val="00365A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5A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5AE3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AE3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md/S11-CL-C-0106/en" TargetMode="External"/><Relationship Id="rId18" Type="http://schemas.openxmlformats.org/officeDocument/2006/relationships/hyperlink" Target="https://www.itu.int/md/S24-CL-C-0053/e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4-CL-C-005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tu.int/council/index97/1997/131/131.html" TargetMode="External"/><Relationship Id="rId17" Type="http://schemas.openxmlformats.org/officeDocument/2006/relationships/hyperlink" Target="https://www.itu.int/md/S24-CL-C-0052/en" TargetMode="External"/><Relationship Id="rId25" Type="http://schemas.openxmlformats.org/officeDocument/2006/relationships/hyperlink" Target="https://www.itu.int/md/S24-CL-C-003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L-INF-0002/en" TargetMode="External"/><Relationship Id="rId20" Type="http://schemas.openxmlformats.org/officeDocument/2006/relationships/hyperlink" Target="https://www.itu.int/md/S24-CL-C-0063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/RES-011-E.pdf" TargetMode="External"/><Relationship Id="rId24" Type="http://schemas.openxmlformats.org/officeDocument/2006/relationships/hyperlink" Target="http://www.itu.int/en/ITU-D/Partners/Pages/ICT-DF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3-CL-C-0116/en" TargetMode="External"/><Relationship Id="rId23" Type="http://schemas.openxmlformats.org/officeDocument/2006/relationships/hyperlink" Target="https://www.itu.int/md/S24-CL-C-0031/en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4-CL-C-0063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CL-C-0034/en" TargetMode="External"/><Relationship Id="rId22" Type="http://schemas.openxmlformats.org/officeDocument/2006/relationships/hyperlink" Target="https://www.itu.int/md/S24-CL-C-0053/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GS\PE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b04e1e-0540-4930-9623-702d547a0a33">
      <UserInfo>
        <DisplayName>Ba, Alassane</DisplayName>
        <AccountId>17</AccountId>
        <AccountType/>
      </UserInfo>
      <UserInfo>
        <DisplayName>Gehner, Monika</DisplayName>
        <AccountId>39</AccountId>
        <AccountType/>
      </UserInfo>
      <UserInfo>
        <DisplayName>Wilson, Joanne</DisplayName>
        <AccountId>33</AccountId>
        <AccountType/>
      </UserInfo>
      <UserInfo>
        <DisplayName>Bereaux, Stephen</DisplayName>
        <AccountId>26</AccountId>
        <AccountType/>
      </UserInfo>
      <UserInfo>
        <DisplayName>Igglesis, Vaggelis</DisplayName>
        <AccountId>54</AccountId>
        <AccountType/>
      </UserInfo>
      <UserInfo>
        <DisplayName>Lamanauskas, Tomas</DisplayName>
        <AccountId>15</AccountId>
        <AccountType/>
      </UserInfo>
      <UserInfo>
        <DisplayName>Abdullah, Nur Sulyna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6" ma:contentTypeDescription="Create a new document." ma:contentTypeScope="" ma:versionID="5c30e77df36f4996b63fd4603273e0c6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e4f51fc0db1f41dee884358016014d31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6ACBD-8B85-4D42-B699-62DEED6EBE6C}">
  <ds:schemaRefs>
    <ds:schemaRef ds:uri="http://purl.org/dc/dcmitype/"/>
    <ds:schemaRef ds:uri="http://purl.org/dc/elements/1.1/"/>
    <ds:schemaRef ds:uri="085b46e1-7f22-4e81-9ba5-912dc5a5fd9a"/>
    <ds:schemaRef ds:uri="http://www.w3.org/XML/1998/namespace"/>
    <ds:schemaRef ds:uri="98b04e1e-0540-4930-9623-702d547a0a3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C9AD3A-E10D-4858-BBD3-52F192F9C4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64D31-DA77-4C98-AAC7-5D25E3C1D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PE_Council23.dotx</Template>
  <TotalTime>13</TotalTime>
  <Pages>4</Pages>
  <Words>1163</Words>
  <Characters>7734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C2024, C24, Council-24</vt:lpstr>
    </vt:vector>
  </TitlesOfParts>
  <Manager>General Secretariat - Pool</Manager>
  <Company>International Telecommunication Union (ITU)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of savings achieved in 2023 budget implementation and exhibition working capital fund</dc:title>
  <dc:subject>Council 2024</dc:subject>
  <dc:creator>author</dc:creator>
  <cp:keywords>C2024, C24, Council-24</cp:keywords>
  <dc:description/>
  <cp:lastModifiedBy>Brouard, Ricarda</cp:lastModifiedBy>
  <cp:revision>3</cp:revision>
  <cp:lastPrinted>2024-04-04T16:13:00Z</cp:lastPrinted>
  <dcterms:created xsi:type="dcterms:W3CDTF">2024-04-09T20:58:00Z</dcterms:created>
  <dcterms:modified xsi:type="dcterms:W3CDTF">2024-04-09T21:11:00Z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0x010100927A014BF6FE3A4AB656F5985E3C82C4</vt:lpwstr>
  </property>
</Properties>
</file>