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5C7428FD" w14:textId="77777777" w:rsidTr="00F363FE">
        <w:tc>
          <w:tcPr>
            <w:tcW w:w="6512" w:type="dxa"/>
          </w:tcPr>
          <w:p w14:paraId="04688D8E" w14:textId="27F8935A"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907B08">
              <w:rPr>
                <w:rFonts w:hint="cs"/>
                <w:b/>
                <w:bCs/>
                <w:rtl/>
                <w:lang w:bidi="ar-EG"/>
              </w:rPr>
              <w:t xml:space="preserve"> </w:t>
            </w:r>
            <w:r w:rsidR="003951CC">
              <w:rPr>
                <w:b/>
                <w:bCs/>
                <w:lang w:bidi="ar-EG"/>
              </w:rPr>
              <w:t>ADM 1</w:t>
            </w:r>
          </w:p>
        </w:tc>
        <w:tc>
          <w:tcPr>
            <w:tcW w:w="3117" w:type="dxa"/>
          </w:tcPr>
          <w:p w14:paraId="3A0B3EC7" w14:textId="71383E5B"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3951CC">
              <w:rPr>
                <w:b/>
                <w:bCs/>
                <w:lang w:bidi="ar-EG"/>
              </w:rPr>
              <w:t>19</w:t>
            </w:r>
            <w:r w:rsidRPr="007B0AA0">
              <w:rPr>
                <w:b/>
                <w:bCs/>
                <w:lang w:bidi="ar-EG"/>
              </w:rPr>
              <w:t>-A</w:t>
            </w:r>
          </w:p>
        </w:tc>
      </w:tr>
      <w:tr w:rsidR="007B0AA0" w14:paraId="43448D9A" w14:textId="77777777" w:rsidTr="00F363FE">
        <w:tc>
          <w:tcPr>
            <w:tcW w:w="6512" w:type="dxa"/>
          </w:tcPr>
          <w:p w14:paraId="6F5563CC" w14:textId="77777777" w:rsidR="007B0AA0" w:rsidRPr="007B0AA0" w:rsidRDefault="007B0AA0" w:rsidP="00F363FE">
            <w:pPr>
              <w:spacing w:before="60" w:after="60" w:line="260" w:lineRule="exact"/>
              <w:rPr>
                <w:b/>
                <w:bCs/>
                <w:rtl/>
                <w:lang w:bidi="ar-EG"/>
              </w:rPr>
            </w:pPr>
          </w:p>
        </w:tc>
        <w:tc>
          <w:tcPr>
            <w:tcW w:w="3117" w:type="dxa"/>
          </w:tcPr>
          <w:p w14:paraId="39E28CE9" w14:textId="786BF7AC" w:rsidR="007B0AA0" w:rsidRPr="007B0AA0" w:rsidRDefault="003951CC" w:rsidP="00F363FE">
            <w:pPr>
              <w:spacing w:before="60" w:after="60" w:line="260" w:lineRule="exact"/>
              <w:rPr>
                <w:b/>
                <w:bCs/>
                <w:rtl/>
                <w:lang w:bidi="ar-EG"/>
              </w:rPr>
            </w:pPr>
            <w:r>
              <w:rPr>
                <w:b/>
                <w:bCs/>
                <w:lang w:bidi="ar-EG"/>
              </w:rPr>
              <w:t>9</w:t>
            </w:r>
            <w:r w:rsidR="007B0AA0" w:rsidRPr="007B0AA0">
              <w:rPr>
                <w:rFonts w:hint="cs"/>
                <w:b/>
                <w:bCs/>
                <w:rtl/>
                <w:lang w:bidi="ar-EG"/>
              </w:rPr>
              <w:t xml:space="preserve"> </w:t>
            </w:r>
            <w:r>
              <w:rPr>
                <w:rFonts w:hint="cs"/>
                <w:b/>
                <w:bCs/>
                <w:rtl/>
                <w:lang w:bidi="ar-EG"/>
              </w:rPr>
              <w:t>أبريل</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1AFA4AED" w14:textId="77777777" w:rsidTr="00F363FE">
        <w:tc>
          <w:tcPr>
            <w:tcW w:w="6512" w:type="dxa"/>
          </w:tcPr>
          <w:p w14:paraId="37F9274F" w14:textId="77777777" w:rsidR="007B0AA0" w:rsidRPr="007B0AA0" w:rsidRDefault="007B0AA0" w:rsidP="00F363FE">
            <w:pPr>
              <w:spacing w:before="60" w:after="60" w:line="260" w:lineRule="exact"/>
              <w:rPr>
                <w:b/>
                <w:bCs/>
                <w:rtl/>
                <w:lang w:bidi="ar-EG"/>
              </w:rPr>
            </w:pPr>
          </w:p>
        </w:tc>
        <w:tc>
          <w:tcPr>
            <w:tcW w:w="3117" w:type="dxa"/>
          </w:tcPr>
          <w:p w14:paraId="6C65DDC9" w14:textId="442E41AE"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3951CC">
              <w:rPr>
                <w:rFonts w:hint="cs"/>
                <w:b/>
                <w:bCs/>
                <w:rtl/>
                <w:lang w:bidi="ar-EG"/>
              </w:rPr>
              <w:t>بالإنكليزية</w:t>
            </w:r>
          </w:p>
        </w:tc>
      </w:tr>
      <w:tr w:rsidR="007B0AA0" w14:paraId="07EA4D6F" w14:textId="77777777" w:rsidTr="00F363FE">
        <w:tc>
          <w:tcPr>
            <w:tcW w:w="6512" w:type="dxa"/>
          </w:tcPr>
          <w:p w14:paraId="0F1936F3" w14:textId="77777777" w:rsidR="007B0AA0" w:rsidRDefault="007B0AA0" w:rsidP="00F363FE">
            <w:pPr>
              <w:spacing w:before="60" w:after="60" w:line="260" w:lineRule="exact"/>
              <w:rPr>
                <w:lang w:bidi="ar-EG"/>
              </w:rPr>
            </w:pPr>
          </w:p>
        </w:tc>
        <w:tc>
          <w:tcPr>
            <w:tcW w:w="3117" w:type="dxa"/>
          </w:tcPr>
          <w:p w14:paraId="555DBB61" w14:textId="77777777" w:rsidR="007B0AA0" w:rsidRDefault="007B0AA0" w:rsidP="00F363FE">
            <w:pPr>
              <w:spacing w:before="60" w:after="60" w:line="260" w:lineRule="exact"/>
              <w:rPr>
                <w:rtl/>
                <w:lang w:bidi="ar-EG"/>
              </w:rPr>
            </w:pPr>
          </w:p>
        </w:tc>
      </w:tr>
      <w:tr w:rsidR="007B0AA0" w14:paraId="77461D5A" w14:textId="77777777" w:rsidTr="00EE7446">
        <w:tc>
          <w:tcPr>
            <w:tcW w:w="9629" w:type="dxa"/>
            <w:gridSpan w:val="2"/>
          </w:tcPr>
          <w:p w14:paraId="42A962F5" w14:textId="44A60A2E" w:rsidR="007B0AA0" w:rsidRDefault="003951CC" w:rsidP="007B0AA0">
            <w:pPr>
              <w:pStyle w:val="Source"/>
              <w:jc w:val="left"/>
              <w:rPr>
                <w:rtl/>
                <w:lang w:bidi="ar-EG"/>
              </w:rPr>
            </w:pPr>
            <w:r>
              <w:rPr>
                <w:rFonts w:hint="cs"/>
                <w:rtl/>
                <w:lang w:bidi="ar-EG"/>
              </w:rPr>
              <w:t>تقرير من الأمينة العامة</w:t>
            </w:r>
          </w:p>
        </w:tc>
      </w:tr>
      <w:tr w:rsidR="007B0AA0" w14:paraId="6F33344C" w14:textId="77777777" w:rsidTr="007B0AA0">
        <w:tc>
          <w:tcPr>
            <w:tcW w:w="9629" w:type="dxa"/>
            <w:gridSpan w:val="2"/>
            <w:tcBorders>
              <w:bottom w:val="single" w:sz="4" w:space="0" w:color="auto"/>
            </w:tcBorders>
          </w:tcPr>
          <w:p w14:paraId="57E1096B" w14:textId="2D1BE18B" w:rsidR="007B0AA0" w:rsidRPr="0019504B" w:rsidRDefault="003951CC" w:rsidP="007B0AA0">
            <w:pPr>
              <w:pStyle w:val="Subtitle0"/>
              <w:rPr>
                <w:spacing w:val="-4"/>
              </w:rPr>
            </w:pPr>
            <w:bookmarkStart w:id="0" w:name="_Hlk163596052"/>
            <w:r w:rsidRPr="0019504B">
              <w:rPr>
                <w:spacing w:val="-4"/>
                <w:rtl/>
              </w:rPr>
              <w:t>مخصصات الوفورات المحققة في تنفيذ ميزانية 2023 وصندوق رأس المال العامل للمعارض</w:t>
            </w:r>
            <w:bookmarkEnd w:id="0"/>
          </w:p>
        </w:tc>
      </w:tr>
      <w:tr w:rsidR="007B0AA0" w14:paraId="5C737BC1" w14:textId="77777777" w:rsidTr="007B0AA0">
        <w:tc>
          <w:tcPr>
            <w:tcW w:w="9629" w:type="dxa"/>
            <w:gridSpan w:val="2"/>
            <w:tcBorders>
              <w:top w:val="single" w:sz="4" w:space="0" w:color="auto"/>
              <w:bottom w:val="single" w:sz="4" w:space="0" w:color="auto"/>
            </w:tcBorders>
          </w:tcPr>
          <w:p w14:paraId="1A6A2D11" w14:textId="77777777" w:rsidR="007B0AA0" w:rsidRPr="007B0AA0" w:rsidRDefault="007B0AA0" w:rsidP="007B0AA0">
            <w:pPr>
              <w:rPr>
                <w:b/>
                <w:bCs/>
                <w:rtl/>
              </w:rPr>
            </w:pPr>
            <w:r w:rsidRPr="007B0AA0">
              <w:rPr>
                <w:rFonts w:hint="cs"/>
                <w:b/>
                <w:bCs/>
                <w:rtl/>
              </w:rPr>
              <w:t>الغرض</w:t>
            </w:r>
          </w:p>
          <w:p w14:paraId="764F968D" w14:textId="219DBF13" w:rsidR="007B0AA0" w:rsidRPr="003951CC" w:rsidRDefault="003951CC" w:rsidP="003951CC">
            <w:pPr>
              <w:rPr>
                <w:rtl/>
                <w:lang w:val="ar-SA" w:eastAsia="zh-TW" w:bidi="en-GB"/>
              </w:rPr>
            </w:pPr>
            <w:r w:rsidRPr="003951CC">
              <w:rPr>
                <w:rtl/>
              </w:rPr>
              <w:t>الغرض من هذه الوثيقة أن يُطلب من المجلس تخويل استخدام الوفورات المحققة من تنفيذ ميزانية 2023 لتمويل بعض الأنشطة التي لا تغطيها الميزانية العادية للاتحاد. وتتناول الوثيقة أيضاً استخدام رصيد صندوق رأس المال العامل للمعارض</w:t>
            </w:r>
            <w:r>
              <w:rPr>
                <w:rFonts w:hint="cs"/>
                <w:rtl/>
              </w:rPr>
              <w:t> </w:t>
            </w:r>
            <w:r>
              <w:t>(</w:t>
            </w:r>
            <w:r w:rsidRPr="003951CC">
              <w:t>EWCF</w:t>
            </w:r>
            <w:r>
              <w:t>)</w:t>
            </w:r>
            <w:r w:rsidRPr="003951CC">
              <w:rPr>
                <w:rtl/>
              </w:rPr>
              <w:t xml:space="preserve"> لتنفيذ مشاريع التنمية.</w:t>
            </w:r>
          </w:p>
          <w:p w14:paraId="664F93F5" w14:textId="77777777" w:rsidR="007B0AA0" w:rsidRPr="007B0AA0" w:rsidRDefault="007B0AA0" w:rsidP="007B0AA0">
            <w:pPr>
              <w:rPr>
                <w:b/>
                <w:bCs/>
                <w:rtl/>
              </w:rPr>
            </w:pPr>
            <w:r w:rsidRPr="007B0AA0">
              <w:rPr>
                <w:rFonts w:hint="cs"/>
                <w:b/>
                <w:bCs/>
                <w:rtl/>
              </w:rPr>
              <w:t>الإجراء المطلوب من المجلس</w:t>
            </w:r>
          </w:p>
          <w:p w14:paraId="15EC1E36" w14:textId="23E71C75" w:rsidR="007B0AA0" w:rsidRPr="003951CC" w:rsidRDefault="003951CC" w:rsidP="003951CC">
            <w:pPr>
              <w:rPr>
                <w:rtl/>
                <w:lang w:val="ar-SA" w:eastAsia="zh-TW" w:bidi="en-GB"/>
              </w:rPr>
            </w:pPr>
            <w:r w:rsidRPr="008461D4">
              <w:rPr>
                <w:rtl/>
              </w:rPr>
              <w:t xml:space="preserve">يدعى المجلس إلى </w:t>
            </w:r>
            <w:r w:rsidRPr="008461D4">
              <w:rPr>
                <w:b/>
                <w:bCs/>
                <w:rtl/>
              </w:rPr>
              <w:t>الموافقة</w:t>
            </w:r>
            <w:r w:rsidRPr="008461D4">
              <w:rPr>
                <w:rtl/>
              </w:rPr>
              <w:t xml:space="preserve"> على مشروع القرار </w:t>
            </w:r>
            <w:hyperlink w:anchor="Annex" w:history="1">
              <w:r w:rsidRPr="008461D4">
                <w:rPr>
                  <w:rStyle w:val="Hyperlink"/>
                  <w:rtl/>
                </w:rPr>
                <w:t>الملحق</w:t>
              </w:r>
            </w:hyperlink>
            <w:r w:rsidRPr="008461D4">
              <w:rPr>
                <w:rtl/>
              </w:rPr>
              <w:t xml:space="preserve"> بهذه الوثيقة.</w:t>
            </w:r>
          </w:p>
          <w:p w14:paraId="1E4FA8EE" w14:textId="76E31C59" w:rsidR="00907B08" w:rsidRPr="00023276" w:rsidRDefault="00907B08" w:rsidP="00907B08">
            <w:pPr>
              <w:rPr>
                <w:b/>
                <w:bCs/>
                <w:rtl/>
              </w:rPr>
            </w:pPr>
            <w:r w:rsidRPr="00023276">
              <w:rPr>
                <w:b/>
                <w:bCs/>
                <w:rtl/>
              </w:rPr>
              <w:t>الصلة بالخطة الإستراتيجية</w:t>
            </w:r>
          </w:p>
          <w:p w14:paraId="7110657C" w14:textId="1CF6906D" w:rsidR="00907B08" w:rsidRPr="003951CC" w:rsidRDefault="003951CC" w:rsidP="003951CC">
            <w:pPr>
              <w:rPr>
                <w:rtl/>
              </w:rPr>
            </w:pPr>
            <w:r w:rsidRPr="003951CC">
              <w:rPr>
                <w:rtl/>
              </w:rPr>
              <w:t>تتوافق هذه الوثيقة مع الخطة الاستراتيجية للفترة 2024-2027</w:t>
            </w:r>
            <w:r>
              <w:rPr>
                <w:rFonts w:hint="cs"/>
                <w:rtl/>
              </w:rPr>
              <w:t>.</w:t>
            </w:r>
          </w:p>
          <w:p w14:paraId="1D123AA3" w14:textId="77777777" w:rsidR="00907B08" w:rsidRPr="00023276" w:rsidRDefault="00907B08" w:rsidP="00907B08">
            <w:pPr>
              <w:rPr>
                <w:b/>
                <w:bCs/>
                <w:rtl/>
              </w:rPr>
            </w:pPr>
            <w:r w:rsidRPr="00023276">
              <w:rPr>
                <w:b/>
                <w:bCs/>
                <w:rtl/>
              </w:rPr>
              <w:t>الآثار المالية</w:t>
            </w:r>
          </w:p>
          <w:p w14:paraId="5F604AF7" w14:textId="054DDF9A" w:rsidR="00907B08" w:rsidRPr="003951CC" w:rsidRDefault="003951CC" w:rsidP="003951CC">
            <w:pPr>
              <w:rPr>
                <w:rtl/>
              </w:rPr>
            </w:pPr>
            <w:r w:rsidRPr="003951CC">
              <w:rPr>
                <w:rtl/>
              </w:rPr>
              <w:t>تخصيص</w:t>
            </w:r>
            <w:r w:rsidRPr="003951CC">
              <w:t xml:space="preserve"> </w:t>
            </w:r>
            <w:r w:rsidRPr="003951CC">
              <w:rPr>
                <w:rtl/>
              </w:rPr>
              <w:t xml:space="preserve">مبلغ </w:t>
            </w:r>
            <w:r w:rsidRPr="003951CC">
              <w:rPr>
                <w:b/>
                <w:bCs/>
              </w:rPr>
              <w:t>3 157</w:t>
            </w:r>
            <w:r w:rsidRPr="003951CC">
              <w:rPr>
                <w:b/>
                <w:bCs/>
                <w:rtl/>
              </w:rPr>
              <w:t xml:space="preserve"> ألف فرنك سويسري</w:t>
            </w:r>
            <w:r w:rsidRPr="003951CC">
              <w:rPr>
                <w:rtl/>
              </w:rPr>
              <w:t xml:space="preserve"> من الوفورات المحققة في تنفيذ ميزانية 2023 لتمويل أنشطة لا تغطيها الميزانية العادية. ونقل مبلغ </w:t>
            </w:r>
            <w:r w:rsidRPr="003951CC">
              <w:rPr>
                <w:b/>
                <w:bCs/>
                <w:rtl/>
              </w:rPr>
              <w:t>465 ألف فرنك سويسري</w:t>
            </w:r>
            <w:r w:rsidRPr="003951CC">
              <w:rPr>
                <w:rtl/>
              </w:rPr>
              <w:t xml:space="preserve"> من صندوق رأس المال العامل للمعارض إلى صندوق تنمية تكنولوجيا المعلومات والاتصالات</w:t>
            </w:r>
            <w:r>
              <w:rPr>
                <w:rFonts w:hint="cs"/>
                <w:rtl/>
                <w:lang w:bidi="ar-EG"/>
              </w:rPr>
              <w:t xml:space="preserve"> </w:t>
            </w:r>
            <w:r>
              <w:rPr>
                <w:lang w:bidi="ar-EG"/>
              </w:rPr>
              <w:t>(</w:t>
            </w:r>
            <w:r w:rsidRPr="003951CC">
              <w:t>ICT-DF</w:t>
            </w:r>
            <w:r>
              <w:t>)</w:t>
            </w:r>
            <w:r w:rsidRPr="003951CC">
              <w:rPr>
                <w:rtl/>
              </w:rPr>
              <w:t>.</w:t>
            </w:r>
          </w:p>
          <w:p w14:paraId="0C28D813"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5F60B6D" w14:textId="77777777" w:rsidR="007B0AA0" w:rsidRPr="007B0AA0" w:rsidRDefault="007B0AA0" w:rsidP="007B0AA0">
            <w:pPr>
              <w:rPr>
                <w:b/>
                <w:bCs/>
                <w:rtl/>
              </w:rPr>
            </w:pPr>
            <w:r w:rsidRPr="007B0AA0">
              <w:rPr>
                <w:rFonts w:hint="cs"/>
                <w:b/>
                <w:bCs/>
                <w:rtl/>
              </w:rPr>
              <w:t>المراجع</w:t>
            </w:r>
          </w:p>
          <w:p w14:paraId="1B2102C2" w14:textId="4EF13515" w:rsidR="007B0AA0" w:rsidRPr="002670BE" w:rsidRDefault="003951CC" w:rsidP="0019504B">
            <w:pPr>
              <w:spacing w:after="120"/>
              <w:rPr>
                <w:i/>
                <w:iCs/>
                <w:rtl/>
              </w:rPr>
            </w:pPr>
            <w:r w:rsidRPr="002670BE">
              <w:rPr>
                <w:i/>
                <w:iCs/>
                <w:rtl/>
              </w:rPr>
              <w:t xml:space="preserve">المقرر 5 (المراجَع في بوخارست، 2022)؛ </w:t>
            </w:r>
            <w:hyperlink r:id="rId8" w:history="1">
              <w:r w:rsidRPr="002670BE">
                <w:rPr>
                  <w:rStyle w:val="Hyperlink"/>
                  <w:i/>
                  <w:iCs/>
                  <w:rtl/>
                </w:rPr>
                <w:t>القرار 11 (الملغى في بوخارست، 2022) لمؤتمر المندوبين المفوضين</w:t>
              </w:r>
            </w:hyperlink>
            <w:r w:rsidRPr="002670BE">
              <w:rPr>
                <w:i/>
                <w:iCs/>
                <w:rtl/>
              </w:rPr>
              <w:t xml:space="preserve">؛ القراران </w:t>
            </w:r>
            <w:hyperlink r:id="rId9" w:history="1">
              <w:r w:rsidRPr="002670BE">
                <w:rPr>
                  <w:rStyle w:val="Hyperlink"/>
                  <w:i/>
                  <w:iCs/>
                  <w:rtl/>
                </w:rPr>
                <w:t>1111</w:t>
              </w:r>
            </w:hyperlink>
            <w:r w:rsidRPr="002670BE">
              <w:rPr>
                <w:i/>
                <w:iCs/>
                <w:rtl/>
              </w:rPr>
              <w:t xml:space="preserve"> و</w:t>
            </w:r>
            <w:hyperlink r:id="rId10" w:history="1">
              <w:r w:rsidRPr="002670BE">
                <w:rPr>
                  <w:rStyle w:val="Hyperlink"/>
                  <w:i/>
                  <w:iCs/>
                  <w:rtl/>
                </w:rPr>
                <w:t>1338</w:t>
              </w:r>
            </w:hyperlink>
            <w:r w:rsidRPr="002670BE">
              <w:rPr>
                <w:i/>
                <w:iCs/>
                <w:rtl/>
              </w:rPr>
              <w:t xml:space="preserve"> الصادران عن المجلس؛ وثائق المجلس </w:t>
            </w:r>
            <w:hyperlink r:id="rId11">
              <w:r w:rsidRPr="002670BE">
                <w:rPr>
                  <w:rStyle w:val="Hyperlink"/>
                  <w:rFonts w:asciiTheme="minorHAnsi" w:hAnsiTheme="minorHAnsi" w:cstheme="minorBidi"/>
                  <w:i/>
                  <w:iCs/>
                </w:rPr>
                <w:t>C24/34</w:t>
              </w:r>
            </w:hyperlink>
            <w:r w:rsidRPr="002670BE">
              <w:rPr>
                <w:i/>
                <w:iCs/>
                <w:rtl/>
              </w:rPr>
              <w:t xml:space="preserve"> و</w:t>
            </w:r>
            <w:hyperlink r:id="rId12" w:history="1">
              <w:r w:rsidRPr="002670BE">
                <w:rPr>
                  <w:rStyle w:val="Hyperlink"/>
                  <w:rFonts w:asciiTheme="minorHAnsi" w:hAnsiTheme="minorHAnsi" w:cstheme="minorBidi"/>
                  <w:i/>
                  <w:iCs/>
                </w:rPr>
                <w:t>C23/116</w:t>
              </w:r>
            </w:hyperlink>
            <w:r w:rsidRPr="002670BE">
              <w:rPr>
                <w:i/>
                <w:iCs/>
                <w:rtl/>
              </w:rPr>
              <w:t xml:space="preserve"> و</w:t>
            </w:r>
            <w:hyperlink r:id="rId13" w:history="1">
              <w:r w:rsidRPr="002670BE">
                <w:rPr>
                  <w:rStyle w:val="Hyperlink"/>
                  <w:rFonts w:asciiTheme="minorHAnsi" w:hAnsiTheme="minorHAnsi" w:cstheme="minorBidi"/>
                  <w:i/>
                  <w:iCs/>
                </w:rPr>
                <w:t>C24/INF/2</w:t>
              </w:r>
            </w:hyperlink>
            <w:r w:rsidRPr="002670BE">
              <w:rPr>
                <w:i/>
                <w:iCs/>
                <w:rtl/>
              </w:rPr>
              <w:t xml:space="preserve"> و</w:t>
            </w:r>
            <w:hyperlink r:id="rId14" w:history="1">
              <w:r w:rsidRPr="002670BE">
                <w:rPr>
                  <w:rStyle w:val="Hyperlink"/>
                  <w:rFonts w:asciiTheme="minorHAnsi" w:hAnsiTheme="minorHAnsi" w:cstheme="minorBidi"/>
                  <w:i/>
                  <w:iCs/>
                </w:rPr>
                <w:t>C24/52</w:t>
              </w:r>
            </w:hyperlink>
            <w:r w:rsidRPr="002670BE">
              <w:rPr>
                <w:i/>
                <w:iCs/>
                <w:rtl/>
              </w:rPr>
              <w:t xml:space="preserve"> و</w:t>
            </w:r>
            <w:hyperlink r:id="rId15" w:history="1">
              <w:r w:rsidRPr="002670BE">
                <w:rPr>
                  <w:rStyle w:val="Hyperlink"/>
                  <w:rFonts w:asciiTheme="minorHAnsi" w:hAnsiTheme="minorHAnsi" w:cstheme="minorBidi"/>
                  <w:i/>
                  <w:iCs/>
                </w:rPr>
                <w:t>C24/53</w:t>
              </w:r>
            </w:hyperlink>
            <w:r w:rsidRPr="002670BE">
              <w:rPr>
                <w:i/>
                <w:iCs/>
                <w:rtl/>
              </w:rPr>
              <w:t xml:space="preserve"> و</w:t>
            </w:r>
            <w:hyperlink r:id="rId16" w:history="1">
              <w:r w:rsidRPr="002670BE">
                <w:rPr>
                  <w:rStyle w:val="Hyperlink"/>
                  <w:rFonts w:asciiTheme="minorHAnsi" w:hAnsiTheme="minorHAnsi" w:cstheme="minorBidi"/>
                  <w:i/>
                  <w:iCs/>
                </w:rPr>
                <w:t>C24/63</w:t>
              </w:r>
            </w:hyperlink>
          </w:p>
        </w:tc>
      </w:tr>
    </w:tbl>
    <w:p w14:paraId="555F8C8E" w14:textId="77777777" w:rsidR="00E61BE8" w:rsidRDefault="00E61BE8" w:rsidP="00E61BE8">
      <w:pPr>
        <w:rPr>
          <w:rtl/>
          <w:lang w:bidi="ar-EG"/>
        </w:rPr>
      </w:pPr>
    </w:p>
    <w:p w14:paraId="4D9FFD93" w14:textId="77777777" w:rsidR="00F50E3F" w:rsidRDefault="00F50E3F" w:rsidP="00907B08">
      <w:pPr>
        <w:rPr>
          <w:rtl/>
          <w:lang w:bidi="ar-EG"/>
        </w:rPr>
      </w:pPr>
      <w:r>
        <w:rPr>
          <w:rtl/>
          <w:lang w:bidi="ar-EG"/>
        </w:rPr>
        <w:br w:type="page"/>
      </w:r>
    </w:p>
    <w:p w14:paraId="116CD645" w14:textId="77777777" w:rsidR="003951CC" w:rsidRPr="002670BE" w:rsidRDefault="003951CC" w:rsidP="002670BE">
      <w:pPr>
        <w:pStyle w:val="Heading1"/>
      </w:pPr>
      <w:r w:rsidRPr="002670BE">
        <w:rPr>
          <w:rtl/>
        </w:rPr>
        <w:lastRenderedPageBreak/>
        <w:t>1</w:t>
      </w:r>
      <w:r w:rsidRPr="002670BE">
        <w:rPr>
          <w:rtl/>
        </w:rPr>
        <w:tab/>
        <w:t>مقدمة</w:t>
      </w:r>
    </w:p>
    <w:p w14:paraId="1764D761" w14:textId="6A139EBD" w:rsidR="003951CC" w:rsidRPr="002670BE" w:rsidRDefault="003951CC" w:rsidP="002670BE">
      <w:pPr>
        <w:rPr>
          <w:spacing w:val="-2"/>
        </w:rPr>
      </w:pPr>
      <w:r w:rsidRPr="002670BE">
        <w:rPr>
          <w:spacing w:val="-2"/>
          <w:rtl/>
        </w:rPr>
        <w:t xml:space="preserve">أثناء تنفيذ ميزانية 2023، ونتيجة للإدارة الفعالة للموارد، لم تكن الإدارة بحاجة إلى استخدام مبلغ </w:t>
      </w:r>
      <w:r w:rsidRPr="002670BE">
        <w:rPr>
          <w:spacing w:val="-2"/>
        </w:rPr>
        <w:t>1</w:t>
      </w:r>
      <w:r w:rsidR="002670BE" w:rsidRPr="002670BE">
        <w:rPr>
          <w:spacing w:val="-2"/>
        </w:rPr>
        <w:t> </w:t>
      </w:r>
      <w:r w:rsidRPr="002670BE">
        <w:rPr>
          <w:spacing w:val="-2"/>
        </w:rPr>
        <w:t>734</w:t>
      </w:r>
      <w:r w:rsidRPr="002670BE">
        <w:rPr>
          <w:spacing w:val="-2"/>
          <w:rtl/>
        </w:rPr>
        <w:t xml:space="preserve"> ألف فرنك سويسري المخول بموجب القرار 1405 لموازنة ميزانية 2023. وبالإضافة إلى ذلك، انتهت سنة الميزانية بفائض قدره </w:t>
      </w:r>
      <w:r w:rsidRPr="002670BE">
        <w:rPr>
          <w:spacing w:val="-2"/>
        </w:rPr>
        <w:t>1</w:t>
      </w:r>
      <w:r w:rsidR="002670BE" w:rsidRPr="002670BE">
        <w:rPr>
          <w:spacing w:val="-2"/>
        </w:rPr>
        <w:t> </w:t>
      </w:r>
      <w:r w:rsidRPr="002670BE">
        <w:rPr>
          <w:spacing w:val="-2"/>
        </w:rPr>
        <w:t>423</w:t>
      </w:r>
      <w:r w:rsidR="002670BE" w:rsidRPr="002670BE">
        <w:rPr>
          <w:spacing w:val="-2"/>
        </w:rPr>
        <w:t> </w:t>
      </w:r>
      <w:r w:rsidRPr="002670BE">
        <w:rPr>
          <w:spacing w:val="-2"/>
        </w:rPr>
        <w:t>584,81</w:t>
      </w:r>
      <w:r w:rsidRPr="002670BE">
        <w:rPr>
          <w:spacing w:val="-2"/>
          <w:rtl/>
        </w:rPr>
        <w:t xml:space="preserve"> فرنكاً</w:t>
      </w:r>
      <w:r w:rsidR="002670BE" w:rsidRPr="002670BE">
        <w:rPr>
          <w:rFonts w:hint="cs"/>
          <w:spacing w:val="-2"/>
          <w:rtl/>
        </w:rPr>
        <w:t> </w:t>
      </w:r>
      <w:r w:rsidRPr="002670BE">
        <w:rPr>
          <w:spacing w:val="-2"/>
          <w:rtl/>
        </w:rPr>
        <w:t xml:space="preserve">سويسرياً. وبالتالي، لا يزال مبلغ </w:t>
      </w:r>
      <w:r w:rsidRPr="002670BE">
        <w:rPr>
          <w:b/>
          <w:bCs/>
          <w:i/>
          <w:iCs/>
          <w:spacing w:val="-2"/>
        </w:rPr>
        <w:t>3</w:t>
      </w:r>
      <w:r w:rsidR="002670BE" w:rsidRPr="002670BE">
        <w:rPr>
          <w:b/>
          <w:bCs/>
          <w:i/>
          <w:iCs/>
          <w:spacing w:val="-2"/>
        </w:rPr>
        <w:t> </w:t>
      </w:r>
      <w:r w:rsidRPr="002670BE">
        <w:rPr>
          <w:b/>
          <w:bCs/>
          <w:i/>
          <w:iCs/>
          <w:spacing w:val="-2"/>
        </w:rPr>
        <w:t>157</w:t>
      </w:r>
      <w:r w:rsidR="002670BE" w:rsidRPr="002670BE">
        <w:rPr>
          <w:b/>
          <w:bCs/>
          <w:i/>
          <w:iCs/>
          <w:spacing w:val="-2"/>
        </w:rPr>
        <w:t> </w:t>
      </w:r>
      <w:r w:rsidRPr="002670BE">
        <w:rPr>
          <w:b/>
          <w:bCs/>
          <w:i/>
          <w:iCs/>
          <w:spacing w:val="-2"/>
        </w:rPr>
        <w:t>584,81</w:t>
      </w:r>
      <w:r w:rsidRPr="002670BE">
        <w:rPr>
          <w:b/>
          <w:bCs/>
          <w:i/>
          <w:iCs/>
          <w:spacing w:val="-2"/>
          <w:rtl/>
        </w:rPr>
        <w:t xml:space="preserve"> فرنكاً سويسرياً</w:t>
      </w:r>
      <w:r w:rsidRPr="002670BE">
        <w:rPr>
          <w:spacing w:val="-2"/>
          <w:rtl/>
        </w:rPr>
        <w:t xml:space="preserve"> متاحاً لتمويل بعض الأنشطة التي لا تغطيها الميزانية العادية.</w:t>
      </w:r>
    </w:p>
    <w:p w14:paraId="12A77491" w14:textId="50BD7295" w:rsidR="003951CC" w:rsidRPr="00A1702B" w:rsidRDefault="003951CC" w:rsidP="002670BE">
      <w:pPr>
        <w:rPr>
          <w:rFonts w:asciiTheme="minorHAnsi" w:eastAsia="SimSun" w:hAnsiTheme="minorHAnsi" w:cstheme="minorHAnsi"/>
          <w:szCs w:val="20"/>
          <w:lang w:val="ar-SA" w:eastAsia="zh-TW" w:bidi="en-GB"/>
        </w:rPr>
      </w:pPr>
      <w:r w:rsidRPr="0019504B">
        <w:rPr>
          <w:rtl/>
        </w:rPr>
        <w:t>وعلاوة</w:t>
      </w:r>
      <w:r w:rsidR="002670BE" w:rsidRPr="0019504B">
        <w:rPr>
          <w:rFonts w:hint="cs"/>
          <w:rtl/>
        </w:rPr>
        <w:t>ً</w:t>
      </w:r>
      <w:r w:rsidRPr="0019504B">
        <w:rPr>
          <w:rtl/>
        </w:rPr>
        <w:t xml:space="preserve"> على ذلك، يبلغ الرصيد المتبقي في صندوق رأس المال العامل للمعارض </w:t>
      </w:r>
      <w:r w:rsidRPr="0019504B">
        <w:t>465</w:t>
      </w:r>
      <w:r w:rsidR="002670BE" w:rsidRPr="0019504B">
        <w:t> </w:t>
      </w:r>
      <w:r w:rsidRPr="0019504B">
        <w:t>110,56</w:t>
      </w:r>
      <w:r w:rsidRPr="0019504B">
        <w:rPr>
          <w:rtl/>
        </w:rPr>
        <w:t xml:space="preserve"> فرنكات سويسرية.</w:t>
      </w:r>
    </w:p>
    <w:p w14:paraId="3D2F875D" w14:textId="77777777" w:rsidR="003951CC" w:rsidRPr="002670BE" w:rsidRDefault="003951CC" w:rsidP="002670BE">
      <w:pPr>
        <w:pStyle w:val="Heading1"/>
      </w:pPr>
      <w:r w:rsidRPr="002670BE">
        <w:rPr>
          <w:rtl/>
        </w:rPr>
        <w:t>2</w:t>
      </w:r>
      <w:r w:rsidRPr="002670BE">
        <w:rPr>
          <w:rtl/>
        </w:rPr>
        <w:tab/>
        <w:t>الموارد المخصصة للأعمال اللاحقة بالمؤتمر العالمي للاتصالات الراديوية لعام 2023</w:t>
      </w:r>
    </w:p>
    <w:p w14:paraId="6368C676" w14:textId="02725074" w:rsidR="003951CC" w:rsidRPr="002670BE" w:rsidRDefault="003951CC" w:rsidP="002670BE">
      <w:r w:rsidRPr="005849BB">
        <w:rPr>
          <w:rtl/>
        </w:rPr>
        <w:t>اعتمد المؤتمر العالمي للاتصالات الراديوية لعام 2023 (WRC-23) مقررات وقرارات ذات تبعات مالية كبيرة بلغت نحو 12,5</w:t>
      </w:r>
      <w:r w:rsidR="005849BB" w:rsidRPr="005849BB">
        <w:rPr>
          <w:rFonts w:hint="cs"/>
          <w:rtl/>
        </w:rPr>
        <w:t> </w:t>
      </w:r>
      <w:r w:rsidRPr="005849BB">
        <w:rPr>
          <w:rtl/>
        </w:rPr>
        <w:t xml:space="preserve">مليون فرنك سويسري على مدى 4 سنوات (2024-2027). وأجرى مكتب الاتصالات الراديوية تقييماً مفصلاً للحد الأدنى للمبلغ اللازم لتنفيذ قرارات المؤتمر WRC-23 المطلوبة في عام 2024 على النحو المبين في الوثيقة </w:t>
      </w:r>
      <w:hyperlink r:id="rId17" w:history="1">
        <w:r w:rsidRPr="005849BB">
          <w:rPr>
            <w:rStyle w:val="Hyperlink"/>
          </w:rPr>
          <w:t>C24/63</w:t>
        </w:r>
      </w:hyperlink>
      <w:r w:rsidRPr="005849BB">
        <w:rPr>
          <w:rtl/>
        </w:rPr>
        <w:t xml:space="preserve">. ويبلغ هذا الحد الأدنى المطلق </w:t>
      </w:r>
      <w:r w:rsidRPr="005849BB">
        <w:t>3</w:t>
      </w:r>
      <w:r w:rsidR="005849BB" w:rsidRPr="005849BB">
        <w:t> </w:t>
      </w:r>
      <w:r w:rsidRPr="005849BB">
        <w:t>330</w:t>
      </w:r>
      <w:r w:rsidRPr="005849BB">
        <w:rPr>
          <w:rtl/>
        </w:rPr>
        <w:t xml:space="preserve"> ألف فرنك سويسري. ويُقترح، كمساهمة أولية في هذا المبلغ، تخصيص كامل مبلغ الوفورات المحققة في</w:t>
      </w:r>
      <w:r w:rsidR="005849BB" w:rsidRPr="005849BB">
        <w:rPr>
          <w:rFonts w:hint="cs"/>
          <w:rtl/>
        </w:rPr>
        <w:t> </w:t>
      </w:r>
      <w:r w:rsidRPr="005849BB">
        <w:rPr>
          <w:rtl/>
        </w:rPr>
        <w:t xml:space="preserve">تنفيذ ميزانية 2023، أي </w:t>
      </w:r>
      <w:r w:rsidRPr="005849BB">
        <w:rPr>
          <w:b/>
          <w:bCs/>
        </w:rPr>
        <w:t>1</w:t>
      </w:r>
      <w:r w:rsidR="005849BB" w:rsidRPr="005849BB">
        <w:rPr>
          <w:b/>
          <w:bCs/>
        </w:rPr>
        <w:t> </w:t>
      </w:r>
      <w:r w:rsidRPr="005849BB">
        <w:rPr>
          <w:b/>
          <w:bCs/>
        </w:rPr>
        <w:t>423</w:t>
      </w:r>
      <w:r w:rsidRPr="005849BB">
        <w:rPr>
          <w:b/>
          <w:bCs/>
          <w:rtl/>
        </w:rPr>
        <w:t xml:space="preserve"> ألف فرنك سويسري</w:t>
      </w:r>
      <w:r w:rsidRPr="005849BB">
        <w:rPr>
          <w:rtl/>
        </w:rPr>
        <w:t>، لتنفيذ قرارات المؤتمر WRC-23. وتود الإدارة أن تلتمس من الدول الأعضاء تقديم مساهمات طوعية لدعم تنفيذ قرارات المؤتمر WRC-23.</w:t>
      </w:r>
    </w:p>
    <w:p w14:paraId="4592883D" w14:textId="0DB63D49" w:rsidR="003951CC" w:rsidRPr="002670BE" w:rsidRDefault="003951CC" w:rsidP="005849BB">
      <w:pPr>
        <w:pStyle w:val="Heading1"/>
      </w:pPr>
      <w:r w:rsidRPr="002670BE">
        <w:rPr>
          <w:rtl/>
        </w:rPr>
        <w:t>3</w:t>
      </w:r>
      <w:r w:rsidRPr="002670BE">
        <w:rPr>
          <w:rtl/>
        </w:rPr>
        <w:tab/>
        <w:t xml:space="preserve">الموارد المخصصة لعملية التحول وخارطة طريق التحول، وخارطة الطريق لتحسين الموقع الإلكتروني، وبرنامج المهنيين الشباب </w:t>
      </w:r>
      <w:r w:rsidR="005849BB">
        <w:t>(</w:t>
      </w:r>
      <w:r w:rsidR="005849BB" w:rsidRPr="002670BE">
        <w:t>YPP</w:t>
      </w:r>
      <w:r w:rsidR="005849BB">
        <w:t>)</w:t>
      </w:r>
      <w:r w:rsidRPr="002670BE">
        <w:rPr>
          <w:rtl/>
        </w:rPr>
        <w:t>، والأعمال التحضيرية للمنتدى العالمي لسياسات الاتصالات لعام 2026 (WTPF)</w:t>
      </w:r>
    </w:p>
    <w:p w14:paraId="2181712A" w14:textId="0D62D9A4" w:rsidR="003951CC" w:rsidRPr="002670BE" w:rsidRDefault="005849BB" w:rsidP="002670BE">
      <w:r>
        <w:rPr>
          <w:rFonts w:hint="eastAsia"/>
          <w:rtl/>
          <w:lang w:bidi="ar-EG"/>
        </w:rPr>
        <w:t> </w:t>
      </w:r>
      <w:r w:rsidR="003951CC" w:rsidRPr="002670BE">
        <w:rPr>
          <w:rtl/>
        </w:rPr>
        <w:t>أ</w:t>
      </w:r>
      <w:r>
        <w:rPr>
          <w:rFonts w:hint="cs"/>
          <w:rtl/>
        </w:rPr>
        <w:t> </w:t>
      </w:r>
      <w:r w:rsidR="003951CC" w:rsidRPr="002670BE">
        <w:rPr>
          <w:rtl/>
        </w:rPr>
        <w:t>)</w:t>
      </w:r>
      <w:r w:rsidR="003951CC" w:rsidRPr="002670BE">
        <w:rPr>
          <w:rtl/>
        </w:rPr>
        <w:tab/>
        <w:t>سُلط الضوء على مبررات التغيير بشأن التميز المؤسسي للاتحاد في الخطة الاستراتيجية للاتحاد للفترة 2024-2027 وفي المقرر</w:t>
      </w:r>
      <w:r>
        <w:rPr>
          <w:rFonts w:hint="cs"/>
          <w:rtl/>
        </w:rPr>
        <w:t> </w:t>
      </w:r>
      <w:r w:rsidR="003951CC" w:rsidRPr="002670BE">
        <w:rPr>
          <w:rtl/>
        </w:rPr>
        <w:t>5 لمؤتمر المندوبين المفوضين. وي</w:t>
      </w:r>
      <w:r>
        <w:rPr>
          <w:rFonts w:hint="cs"/>
          <w:rtl/>
        </w:rPr>
        <w:t>ُ</w:t>
      </w:r>
      <w:r w:rsidR="003951CC" w:rsidRPr="002670BE">
        <w:rPr>
          <w:rtl/>
        </w:rPr>
        <w:t>شير التميز المؤسسي إلى تحسين جودة عمل أمانة الاتحاد، ومن ثم تحسين الخدمات التي يقدمها الاتحاد لأعضائه ولأصحاب المصلحة الآخرين. وتتمحور عملية التحول وخارطة طريق التحول حول أربع</w:t>
      </w:r>
      <w:r>
        <w:rPr>
          <w:rFonts w:hint="cs"/>
          <w:rtl/>
        </w:rPr>
        <w:t> </w:t>
      </w:r>
      <w:r w:rsidR="003951CC" w:rsidRPr="002670BE">
        <w:rPr>
          <w:rtl/>
        </w:rPr>
        <w:t>ركائز، هي</w:t>
      </w:r>
      <w:r w:rsidR="003951CC" w:rsidRPr="002670BE">
        <w:t xml:space="preserve">: </w:t>
      </w:r>
      <w:r w:rsidR="003951CC" w:rsidRPr="002670BE">
        <w:rPr>
          <w:rtl/>
        </w:rPr>
        <w:t xml:space="preserve">(1) الأشخاص والثقافة؛ (2) الاستخدام الأمثل للموارد؛ (3) الأنظمة والعمليات والأدوات؛ (4) الإدارة. وسيتطلب التنفيذ، على النحو المفصل في الوثيقة </w:t>
      </w:r>
      <w:hyperlink r:id="rId18" w:history="1">
        <w:r w:rsidR="003951CC" w:rsidRPr="002670BE">
          <w:rPr>
            <w:rStyle w:val="Hyperlink"/>
          </w:rPr>
          <w:t>C24/52</w:t>
        </w:r>
      </w:hyperlink>
      <w:r w:rsidR="003951CC" w:rsidRPr="002670BE">
        <w:rPr>
          <w:rtl/>
        </w:rPr>
        <w:t>، موارد بشرية ومالية.</w:t>
      </w:r>
    </w:p>
    <w:p w14:paraId="7DDF2C66" w14:textId="07800D5D" w:rsidR="003951CC" w:rsidRPr="002670BE" w:rsidRDefault="003951CC" w:rsidP="002670BE">
      <w:r w:rsidRPr="002670BE">
        <w:rPr>
          <w:rtl/>
        </w:rPr>
        <w:t>ب)</w:t>
      </w:r>
      <w:r w:rsidRPr="002670BE">
        <w:rPr>
          <w:rtl/>
        </w:rPr>
        <w:tab/>
        <w:t xml:space="preserve">تشمل عملية التحول خارطة الطريق لتحسين البحث في الموقع الإلكتروني للاتحاد وتنسيقه، ما يركّز على إنشاء موقع إلكتروني حديث ومتجاوب مع الأجهزة المتنقلة وآمن ومتعدد اللغات، يتسم بوحدة معمارية المعلومات والتصنيف المحدد جيداً لها. والغاية من ذلك توفير قدرات بحث قوية وتصفح سهل والترويج للعلامة التجارية والتواصل بشكل متسق. والهدف هو ضمان تصميم يعطي الأولوية لتجربة المستعمل ويعمل على تحسينها. يرجى الاطلاع على الوثيقة </w:t>
      </w:r>
      <w:hyperlink r:id="rId19" w:history="1">
        <w:r w:rsidRPr="002670BE">
          <w:rPr>
            <w:rStyle w:val="Hyperlink"/>
          </w:rPr>
          <w:t>C24/53</w:t>
        </w:r>
      </w:hyperlink>
      <w:r w:rsidRPr="002670BE">
        <w:rPr>
          <w:rtl/>
        </w:rPr>
        <w:t xml:space="preserve"> لمزيد من التفاصيل.</w:t>
      </w:r>
    </w:p>
    <w:p w14:paraId="75B74494" w14:textId="77777777" w:rsidR="003951CC" w:rsidRPr="002670BE" w:rsidRDefault="003951CC" w:rsidP="002670BE">
      <w:r w:rsidRPr="002670BE">
        <w:rPr>
          <w:rtl/>
        </w:rPr>
        <w:t>ويتطلب المشروع ميزانية تقديرية تبلغ 600 ألف فرنك سويسري كجزء من خارطة طريق التحول وميزانيته.</w:t>
      </w:r>
    </w:p>
    <w:p w14:paraId="12CEE7F7" w14:textId="75139621" w:rsidR="003951CC" w:rsidRPr="002670BE" w:rsidRDefault="003951CC" w:rsidP="002670BE">
      <w:r w:rsidRPr="002670BE">
        <w:rPr>
          <w:rtl/>
        </w:rPr>
        <w:t>ج)</w:t>
      </w:r>
      <w:r w:rsidRPr="002670BE">
        <w:rPr>
          <w:rtl/>
        </w:rPr>
        <w:tab/>
        <w:t xml:space="preserve">ينص القرار 198 (المراجَع في بوخارست، 2022) لمؤتمر المندوبين المفوضين، بشأن تمكين الشباب من خلال الاتصالات/تكنولوجيا المعلومات والاتصالات، على تكليف الأمين العام بأن يستمر في ضمان إدراج منظور الشباب في برامج العمل، ونُهج الإدارة، وأنشطة تنمية الموارد البشرية في الاتحاد. ويُقترح تعزيز وضع برنامج المهنيين الشباب لفترة السنتين المقبلة من خلال هذا المورد المخصص، بميزانية تقديرية تبلغ 300 ألف فرنك سويسري. يرجى الاطلاع على الوثيقة </w:t>
      </w:r>
      <w:hyperlink r:id="rId20" w:history="1">
        <w:r w:rsidRPr="002670BE">
          <w:rPr>
            <w:rStyle w:val="Hyperlink"/>
          </w:rPr>
          <w:t>C24/31</w:t>
        </w:r>
      </w:hyperlink>
      <w:r w:rsidRPr="002670BE">
        <w:rPr>
          <w:rtl/>
        </w:rPr>
        <w:t xml:space="preserve"> لمزيد من التفاصيل.</w:t>
      </w:r>
    </w:p>
    <w:p w14:paraId="26A5AE7F" w14:textId="61A4412F" w:rsidR="003951CC" w:rsidRPr="002670BE" w:rsidRDefault="003951CC" w:rsidP="002670BE">
      <w:r w:rsidRPr="002670BE">
        <w:rPr>
          <w:rtl/>
        </w:rPr>
        <w:t>د</w:t>
      </w:r>
      <w:r w:rsidR="00D62AB7">
        <w:rPr>
          <w:rFonts w:hint="cs"/>
          <w:rtl/>
        </w:rPr>
        <w:t> </w:t>
      </w:r>
      <w:r w:rsidRPr="002670BE">
        <w:rPr>
          <w:rtl/>
        </w:rPr>
        <w:t>)</w:t>
      </w:r>
      <w:r w:rsidRPr="002670BE">
        <w:rPr>
          <w:rtl/>
        </w:rPr>
        <w:tab/>
        <w:t>كلف مؤتمر المندوبين المفوضين (بوخارست، 2022) المجلس بتحديد موعد لعقد دورة للمنتدى العالمي لسياسات الاتصالات/تكنولوجيا المعلومات والاتصالات (</w:t>
      </w:r>
      <w:r w:rsidRPr="002670BE">
        <w:t>WTPF</w:t>
      </w:r>
      <w:r w:rsidRPr="002670BE">
        <w:rPr>
          <w:rtl/>
        </w:rPr>
        <w:t>) في عام 2026. ويجب على الأمانة أن تحضّر لعقد حدث عام 2026 في</w:t>
      </w:r>
      <w:r w:rsidR="00D62AB7">
        <w:rPr>
          <w:rFonts w:hint="cs"/>
          <w:rtl/>
        </w:rPr>
        <w:t> </w:t>
      </w:r>
      <w:r w:rsidRPr="002670BE">
        <w:rPr>
          <w:rtl/>
        </w:rPr>
        <w:t>أفضل الظروف الممكنة.</w:t>
      </w:r>
    </w:p>
    <w:p w14:paraId="3D2407B8" w14:textId="158486C7" w:rsidR="003951CC" w:rsidRPr="002670BE" w:rsidRDefault="003951CC" w:rsidP="002670BE">
      <w:r w:rsidRPr="002670BE">
        <w:rPr>
          <w:rtl/>
        </w:rPr>
        <w:t>ولتحقيق ذلك، واستناداً إلى العرف المتبع سابقاً، سيكون من الضروري تقديم الدعم في شكل عقد لاتفاق الخدمة الخاصة</w:t>
      </w:r>
      <w:r w:rsidR="00D62AB7">
        <w:rPr>
          <w:rFonts w:hint="eastAsia"/>
          <w:rtl/>
        </w:rPr>
        <w:t> </w:t>
      </w:r>
      <w:r w:rsidR="00D62AB7">
        <w:t>(</w:t>
      </w:r>
      <w:r w:rsidR="00D62AB7" w:rsidRPr="002670BE">
        <w:t>SSA</w:t>
      </w:r>
      <w:r w:rsidR="00D62AB7">
        <w:t>)</w:t>
      </w:r>
      <w:r w:rsidRPr="002670BE">
        <w:rPr>
          <w:rtl/>
        </w:rPr>
        <w:t xml:space="preserve">. وتقدر تكلفة هذا الدعم بمبلغ </w:t>
      </w:r>
      <w:r w:rsidRPr="002670BE">
        <w:t>80</w:t>
      </w:r>
      <w:r w:rsidR="00D62AB7">
        <w:t> </w:t>
      </w:r>
      <w:r w:rsidRPr="002670BE">
        <w:t>000</w:t>
      </w:r>
      <w:r w:rsidRPr="002670BE">
        <w:rPr>
          <w:rtl/>
        </w:rPr>
        <w:t xml:space="preserve"> فرنك سويسري.</w:t>
      </w:r>
    </w:p>
    <w:p w14:paraId="2A48DF8F" w14:textId="7E75A852" w:rsidR="003951CC" w:rsidRDefault="003951CC" w:rsidP="002670BE">
      <w:pPr>
        <w:rPr>
          <w:rFonts w:asciiTheme="minorHAnsi" w:eastAsia="SimSun" w:hAnsiTheme="minorHAnsi" w:cstheme="minorHAnsi"/>
          <w:szCs w:val="20"/>
          <w:lang w:val="ar-SA" w:eastAsia="zh-TW" w:bidi="en-GB"/>
        </w:rPr>
      </w:pPr>
      <w:r w:rsidRPr="002670BE">
        <w:rPr>
          <w:rtl/>
        </w:rPr>
        <w:t xml:space="preserve">ولدعم الأنشطة أ) وب) ج) ود) أعلاه مالياً، يُقترح تخصيص مبلغ </w:t>
      </w:r>
      <w:r w:rsidRPr="00D62AB7">
        <w:rPr>
          <w:b/>
          <w:bCs/>
        </w:rPr>
        <w:t>1</w:t>
      </w:r>
      <w:r w:rsidR="00D62AB7" w:rsidRPr="00D62AB7">
        <w:rPr>
          <w:b/>
          <w:bCs/>
        </w:rPr>
        <w:t> </w:t>
      </w:r>
      <w:r w:rsidRPr="00D62AB7">
        <w:rPr>
          <w:b/>
          <w:bCs/>
        </w:rPr>
        <w:t>734</w:t>
      </w:r>
      <w:r w:rsidRPr="00D62AB7">
        <w:rPr>
          <w:b/>
          <w:bCs/>
          <w:rtl/>
        </w:rPr>
        <w:t xml:space="preserve"> ألف فرنك سويسري</w:t>
      </w:r>
      <w:r w:rsidRPr="002670BE">
        <w:rPr>
          <w:rtl/>
        </w:rPr>
        <w:t xml:space="preserve"> من وفورات محققة في السنوات السابقة ولم تُستخدم لتحقيق التوازن في تنفيذ ميزانية 2023.</w:t>
      </w:r>
    </w:p>
    <w:p w14:paraId="48B52FE4" w14:textId="13594AB2" w:rsidR="003951CC" w:rsidRPr="00D62AB7" w:rsidRDefault="003951CC" w:rsidP="00D62AB7">
      <w:pPr>
        <w:pStyle w:val="Heading1"/>
      </w:pPr>
      <w:r w:rsidRPr="00D62AB7">
        <w:rPr>
          <w:rtl/>
        </w:rPr>
        <w:lastRenderedPageBreak/>
        <w:t>4</w:t>
      </w:r>
      <w:r w:rsidRPr="00D62AB7">
        <w:rPr>
          <w:rtl/>
        </w:rPr>
        <w:tab/>
        <w:t xml:space="preserve">صندوق تنمية تكنولوجيا المعلومات والاتصالات </w:t>
      </w:r>
      <w:r w:rsidR="00D62AB7">
        <w:t>(</w:t>
      </w:r>
      <w:r w:rsidRPr="00D62AB7">
        <w:t>ICT-DF</w:t>
      </w:r>
      <w:r w:rsidR="00D62AB7">
        <w:t>)</w:t>
      </w:r>
    </w:p>
    <w:p w14:paraId="69FB077B" w14:textId="6448F52B" w:rsidR="003951CC" w:rsidRPr="00D62AB7" w:rsidRDefault="003951CC" w:rsidP="00D62AB7">
      <w:r w:rsidRPr="0019504B">
        <w:rPr>
          <w:rtl/>
        </w:rPr>
        <w:t>فيما يتعلق بالمبادرات الإقليمية، أُطلق صندوق تنمية تكنولوجيا المعلومات والاتصالات</w:t>
      </w:r>
      <w:r w:rsidR="00D62AB7" w:rsidRPr="0019504B">
        <w:rPr>
          <w:rFonts w:hint="cs"/>
          <w:rtl/>
        </w:rPr>
        <w:t> </w:t>
      </w:r>
      <w:r w:rsidR="00D62AB7" w:rsidRPr="0019504B">
        <w:t>(</w:t>
      </w:r>
      <w:hyperlink r:id="rId21" w:history="1">
        <w:r w:rsidR="00D62AB7" w:rsidRPr="0019504B">
          <w:rPr>
            <w:rStyle w:val="Hyperlink"/>
          </w:rPr>
          <w:t>ICT-DF</w:t>
        </w:r>
      </w:hyperlink>
      <w:r w:rsidR="00D62AB7" w:rsidRPr="0019504B">
        <w:t>)</w:t>
      </w:r>
      <w:r w:rsidRPr="0019504B">
        <w:rPr>
          <w:rtl/>
        </w:rPr>
        <w:t xml:space="preserve"> في عام 1997، وهو يدعم تنفيذ مشاريع تقوم على شراكات متعددة أصحاب المصلحة مع الدول الأعضاء في الاتحاد وأعضاء قطاعات الاتحاد، والقطاعين العام والخاص، ومنظمات متعددة الأطراف ومؤسسات </w:t>
      </w:r>
      <w:proofErr w:type="spellStart"/>
      <w:r w:rsidRPr="0019504B">
        <w:rPr>
          <w:rtl/>
        </w:rPr>
        <w:t>ومؤسسات</w:t>
      </w:r>
      <w:proofErr w:type="spellEnd"/>
      <w:r w:rsidRPr="0019504B">
        <w:rPr>
          <w:rtl/>
        </w:rPr>
        <w:t xml:space="preserve"> مالية ووكالات إنمائية.</w:t>
      </w:r>
      <w:bookmarkStart w:id="1" w:name="dnote"/>
      <w:bookmarkEnd w:id="1"/>
    </w:p>
    <w:p w14:paraId="5E5AE8BA" w14:textId="236BE35E" w:rsidR="003951CC" w:rsidRPr="00D62AB7" w:rsidRDefault="003951CC" w:rsidP="00D62AB7">
      <w:bookmarkStart w:id="2" w:name="_Hlk65835106"/>
      <w:r w:rsidRPr="00D62AB7">
        <w:rPr>
          <w:rtl/>
        </w:rPr>
        <w:t>وقد ألغي القرار 11 لمؤتمر المندوبين المفوضين بشأن أحداث تليكوم الاتحاد في مؤتمر المندوبين المفوضين لعام</w:t>
      </w:r>
      <w:r w:rsidR="00D62AB7">
        <w:rPr>
          <w:rFonts w:hint="cs"/>
          <w:rtl/>
        </w:rPr>
        <w:t> </w:t>
      </w:r>
      <w:r w:rsidRPr="00D62AB7">
        <w:rPr>
          <w:rtl/>
        </w:rPr>
        <w:t>2022 (بوخارست، 2022). وكلف مؤتمر المندوبين المفوضين لعام 2022 أيضاً المجلس بأن يقوم، في دورته العادية، بنقل الرصيد المتبقي في صندوق رأس المال العامل للمعارض إلى صندوق تنمية تكنولوجيا المعلومات والاتصالات وتكليف الأمين العام ومديري المكاتب بمواصلة وضع مبادرات لتشجيع مشاركة الشركات الصغيرة والمتوسطة وجميع أصحاب المصلحة الآخرين في أحداث الاتحاد ومنتدياته الرئيسية، وتنمية هذه المشاركة وتعزيزها.</w:t>
      </w:r>
      <w:bookmarkStart w:id="3" w:name="_Hlk129942447"/>
      <w:bookmarkEnd w:id="2"/>
      <w:bookmarkEnd w:id="3"/>
    </w:p>
    <w:p w14:paraId="609F08C0" w14:textId="499E887D" w:rsidR="003951CC" w:rsidRPr="00065EF5" w:rsidRDefault="003951CC" w:rsidP="00D62AB7">
      <w:pPr>
        <w:rPr>
          <w:spacing w:val="-2"/>
        </w:rPr>
      </w:pPr>
      <w:r w:rsidRPr="00065EF5">
        <w:rPr>
          <w:spacing w:val="-2"/>
          <w:rtl/>
        </w:rPr>
        <w:t>وبناء</w:t>
      </w:r>
      <w:r w:rsidR="00D62AB7" w:rsidRPr="00065EF5">
        <w:rPr>
          <w:rFonts w:hint="cs"/>
          <w:spacing w:val="-2"/>
          <w:rtl/>
        </w:rPr>
        <w:t>ً</w:t>
      </w:r>
      <w:r w:rsidRPr="00065EF5">
        <w:rPr>
          <w:spacing w:val="-2"/>
          <w:rtl/>
        </w:rPr>
        <w:t xml:space="preserve"> على ذلك، ي</w:t>
      </w:r>
      <w:r w:rsidR="00D62AB7" w:rsidRPr="00065EF5">
        <w:rPr>
          <w:rFonts w:hint="cs"/>
          <w:spacing w:val="-2"/>
          <w:rtl/>
        </w:rPr>
        <w:t>ُ</w:t>
      </w:r>
      <w:r w:rsidRPr="00065EF5">
        <w:rPr>
          <w:spacing w:val="-2"/>
          <w:rtl/>
        </w:rPr>
        <w:t xml:space="preserve">دعى المجلس إلى </w:t>
      </w:r>
      <w:r w:rsidRPr="00065EF5">
        <w:rPr>
          <w:b/>
          <w:bCs/>
          <w:spacing w:val="-2"/>
          <w:rtl/>
        </w:rPr>
        <w:t>الموافقة</w:t>
      </w:r>
      <w:r w:rsidRPr="00065EF5">
        <w:rPr>
          <w:spacing w:val="-2"/>
          <w:rtl/>
        </w:rPr>
        <w:t xml:space="preserve"> على نقل مبلغ </w:t>
      </w:r>
      <w:r w:rsidRPr="00065EF5">
        <w:rPr>
          <w:b/>
          <w:bCs/>
          <w:spacing w:val="-2"/>
          <w:rtl/>
        </w:rPr>
        <w:t>465 ألف فرنك سويسري</w:t>
      </w:r>
      <w:r w:rsidRPr="00065EF5">
        <w:rPr>
          <w:spacing w:val="-2"/>
          <w:rtl/>
        </w:rPr>
        <w:t xml:space="preserve"> من صندوق رأس المال العامل للمعارض إلى حساب رأس مال صندوق تنمية تكنولوجيا المعلومات والاتصالات. وبنقل هذا المبلغ، سيبلغ الرصيد المتوفر في</w:t>
      </w:r>
      <w:r w:rsidR="00D62AB7" w:rsidRPr="00065EF5">
        <w:rPr>
          <w:rFonts w:hint="cs"/>
          <w:spacing w:val="-2"/>
          <w:rtl/>
        </w:rPr>
        <w:t> </w:t>
      </w:r>
      <w:r w:rsidRPr="00065EF5">
        <w:rPr>
          <w:spacing w:val="-2"/>
          <w:rtl/>
        </w:rPr>
        <w:t xml:space="preserve">صندوق تنمية تكنولوجيا المعلومات والاتصالات </w:t>
      </w:r>
      <w:r w:rsidRPr="00065EF5">
        <w:rPr>
          <w:b/>
          <w:bCs/>
          <w:spacing w:val="-2"/>
        </w:rPr>
        <w:t>5</w:t>
      </w:r>
      <w:r w:rsidR="00D62AB7" w:rsidRPr="00065EF5">
        <w:rPr>
          <w:b/>
          <w:bCs/>
          <w:spacing w:val="-2"/>
        </w:rPr>
        <w:t> </w:t>
      </w:r>
      <w:r w:rsidRPr="00065EF5">
        <w:rPr>
          <w:b/>
          <w:bCs/>
          <w:spacing w:val="-2"/>
        </w:rPr>
        <w:t>317</w:t>
      </w:r>
      <w:r w:rsidRPr="00065EF5">
        <w:rPr>
          <w:b/>
          <w:bCs/>
          <w:spacing w:val="-2"/>
          <w:rtl/>
        </w:rPr>
        <w:t xml:space="preserve"> ألف فرنك سويسري</w:t>
      </w:r>
      <w:r w:rsidRPr="00065EF5">
        <w:rPr>
          <w:spacing w:val="-2"/>
          <w:rtl/>
        </w:rPr>
        <w:t xml:space="preserve">. يرجى الاطلاع على الوثيقة </w:t>
      </w:r>
      <w:hyperlink r:id="rId22" w:history="1">
        <w:r w:rsidRPr="00065EF5">
          <w:rPr>
            <w:rStyle w:val="Hyperlink"/>
            <w:spacing w:val="-2"/>
          </w:rPr>
          <w:t>C24/34</w:t>
        </w:r>
      </w:hyperlink>
      <w:r w:rsidRPr="00065EF5">
        <w:rPr>
          <w:spacing w:val="-2"/>
          <w:rtl/>
        </w:rPr>
        <w:t xml:space="preserve"> لمزيد من التفاصيل.</w:t>
      </w:r>
    </w:p>
    <w:p w14:paraId="501F9E24" w14:textId="77777777" w:rsidR="003951CC" w:rsidRDefault="003951CC" w:rsidP="00D62AB7">
      <w:pPr>
        <w:rPr>
          <w:rFonts w:asciiTheme="minorHAnsi" w:eastAsia="SimSun" w:hAnsiTheme="minorHAnsi" w:cstheme="minorHAnsi"/>
          <w:szCs w:val="20"/>
          <w:lang w:val="ar-SA" w:eastAsia="zh-TW" w:bidi="en-GB"/>
        </w:rPr>
      </w:pPr>
      <w:r w:rsidRPr="00D62AB7">
        <w:rPr>
          <w:rtl/>
        </w:rPr>
        <w:t>ويُستخدم الرصيد المتبقي المحتفظ به في صندوق رأس المال العامل للمعارض لتوفير اعتماد لتغطية أي تصفية لجميع الالتزامات المالية لتليكوم الاتحاد.</w:t>
      </w:r>
    </w:p>
    <w:p w14:paraId="6802B699" w14:textId="77777777" w:rsidR="003951CC" w:rsidRPr="00D62AB7" w:rsidRDefault="003951CC" w:rsidP="00D62AB7">
      <w:pPr>
        <w:pStyle w:val="Heading1"/>
        <w:spacing w:after="120"/>
      </w:pPr>
      <w:r w:rsidRPr="00D62AB7">
        <w:rPr>
          <w:rtl/>
        </w:rPr>
        <w:t>5</w:t>
      </w:r>
      <w:r w:rsidRPr="00D62AB7">
        <w:rPr>
          <w:rtl/>
        </w:rPr>
        <w:tab/>
        <w:t>ملخص المقترح</w:t>
      </w:r>
    </w:p>
    <w:tbl>
      <w:tblPr>
        <w:bidiVisual/>
        <w:tblW w:w="8512" w:type="dxa"/>
        <w:tblLayout w:type="fixed"/>
        <w:tblLook w:val="04A0" w:firstRow="1" w:lastRow="0" w:firstColumn="1" w:lastColumn="0" w:noHBand="0" w:noVBand="1"/>
      </w:tblPr>
      <w:tblGrid>
        <w:gridCol w:w="7060"/>
        <w:gridCol w:w="1452"/>
      </w:tblGrid>
      <w:tr w:rsidR="003951CC" w:rsidRPr="00D62AB7" w14:paraId="6B1CFC0A" w14:textId="77777777" w:rsidTr="0019504B">
        <w:trPr>
          <w:trHeight w:val="320"/>
        </w:trPr>
        <w:tc>
          <w:tcPr>
            <w:tcW w:w="7060" w:type="dxa"/>
            <w:tcBorders>
              <w:top w:val="single" w:sz="4" w:space="0" w:color="auto"/>
              <w:left w:val="single" w:sz="4" w:space="0" w:color="auto"/>
              <w:bottom w:val="single" w:sz="4" w:space="0" w:color="auto"/>
              <w:right w:val="single" w:sz="4" w:space="0" w:color="auto"/>
            </w:tcBorders>
            <w:shd w:val="clear" w:color="auto" w:fill="C0E6F5"/>
            <w:noWrap/>
            <w:vAlign w:val="center"/>
            <w:hideMark/>
          </w:tcPr>
          <w:p w14:paraId="4B23FE86" w14:textId="77777777" w:rsidR="003951CC" w:rsidRPr="00D62AB7" w:rsidRDefault="003951CC" w:rsidP="005E54C4">
            <w:pPr>
              <w:pStyle w:val="TableHead"/>
              <w:jc w:val="left"/>
            </w:pPr>
            <w:r w:rsidRPr="00D62AB7">
              <w:rPr>
                <w:rtl/>
              </w:rPr>
              <w:t>الموارد المخصصة المخططة</w:t>
            </w:r>
          </w:p>
        </w:tc>
        <w:tc>
          <w:tcPr>
            <w:tcW w:w="1452" w:type="dxa"/>
            <w:tcBorders>
              <w:top w:val="single" w:sz="4" w:space="0" w:color="auto"/>
              <w:left w:val="nil"/>
              <w:bottom w:val="single" w:sz="4" w:space="0" w:color="auto"/>
              <w:right w:val="single" w:sz="4" w:space="0" w:color="auto"/>
            </w:tcBorders>
            <w:shd w:val="clear" w:color="auto" w:fill="C0E6F5"/>
            <w:noWrap/>
            <w:vAlign w:val="center"/>
            <w:hideMark/>
          </w:tcPr>
          <w:p w14:paraId="3EE82695" w14:textId="77777777" w:rsidR="003951CC" w:rsidRPr="00D62AB7" w:rsidRDefault="003951CC" w:rsidP="005E54C4">
            <w:pPr>
              <w:pStyle w:val="TableHead"/>
              <w:jc w:val="left"/>
            </w:pPr>
            <w:r w:rsidRPr="00D62AB7">
              <w:rPr>
                <w:rtl/>
              </w:rPr>
              <w:t>بآلاف الفرنكات السويسرية</w:t>
            </w:r>
          </w:p>
        </w:tc>
      </w:tr>
      <w:tr w:rsidR="003951CC" w:rsidRPr="00D62AB7" w14:paraId="634F1784" w14:textId="77777777" w:rsidTr="0019504B">
        <w:trPr>
          <w:trHeight w:val="340"/>
        </w:trPr>
        <w:tc>
          <w:tcPr>
            <w:tcW w:w="7060" w:type="dxa"/>
            <w:tcBorders>
              <w:top w:val="nil"/>
              <w:left w:val="single" w:sz="4" w:space="0" w:color="auto"/>
              <w:bottom w:val="single" w:sz="4" w:space="0" w:color="auto"/>
              <w:right w:val="single" w:sz="4" w:space="0" w:color="auto"/>
            </w:tcBorders>
            <w:shd w:val="clear" w:color="auto" w:fill="C1F0C8"/>
            <w:vAlign w:val="bottom"/>
            <w:hideMark/>
          </w:tcPr>
          <w:p w14:paraId="51FE0AA3" w14:textId="77777777" w:rsidR="003951CC" w:rsidRPr="00D62AB7" w:rsidRDefault="003951CC" w:rsidP="00D62AB7">
            <w:pPr>
              <w:pStyle w:val="Tabletexte"/>
            </w:pPr>
            <w:r w:rsidRPr="00D62AB7">
              <w:rPr>
                <w:rtl/>
              </w:rPr>
              <w:t>الموارد المخصصة للأعمال اللاحقة بالمؤتمر WRC-23</w:t>
            </w:r>
          </w:p>
        </w:tc>
        <w:tc>
          <w:tcPr>
            <w:tcW w:w="1452" w:type="dxa"/>
            <w:tcBorders>
              <w:top w:val="nil"/>
              <w:left w:val="nil"/>
              <w:bottom w:val="single" w:sz="4" w:space="0" w:color="auto"/>
              <w:right w:val="single" w:sz="4" w:space="0" w:color="auto"/>
            </w:tcBorders>
            <w:shd w:val="clear" w:color="auto" w:fill="C1F0C8"/>
            <w:noWrap/>
            <w:vAlign w:val="bottom"/>
            <w:hideMark/>
          </w:tcPr>
          <w:p w14:paraId="19EAE490" w14:textId="2BF3AE22" w:rsidR="003951CC" w:rsidRPr="00D62AB7" w:rsidRDefault="003951CC" w:rsidP="00D62AB7">
            <w:pPr>
              <w:pStyle w:val="Tabletexte"/>
            </w:pPr>
            <w:r w:rsidRPr="00D62AB7">
              <w:rPr>
                <w:rtl/>
              </w:rPr>
              <w:t>423</w:t>
            </w:r>
            <w:r w:rsidR="005E54C4">
              <w:t> </w:t>
            </w:r>
            <w:r w:rsidRPr="00D62AB7">
              <w:rPr>
                <w:rtl/>
              </w:rPr>
              <w:t>1</w:t>
            </w:r>
          </w:p>
        </w:tc>
      </w:tr>
      <w:tr w:rsidR="003951CC" w:rsidRPr="00D62AB7" w14:paraId="37EEBAFD" w14:textId="77777777" w:rsidTr="0019504B">
        <w:trPr>
          <w:trHeight w:val="429"/>
        </w:trPr>
        <w:tc>
          <w:tcPr>
            <w:tcW w:w="7060" w:type="dxa"/>
            <w:tcBorders>
              <w:top w:val="nil"/>
              <w:left w:val="single" w:sz="4" w:space="0" w:color="auto"/>
              <w:bottom w:val="single" w:sz="4" w:space="0" w:color="auto"/>
              <w:right w:val="single" w:sz="4" w:space="0" w:color="auto"/>
            </w:tcBorders>
            <w:shd w:val="clear" w:color="auto" w:fill="D9E2F3" w:themeFill="accent5" w:themeFillTint="33"/>
            <w:vAlign w:val="bottom"/>
            <w:hideMark/>
          </w:tcPr>
          <w:p w14:paraId="6C460D6D" w14:textId="77777777" w:rsidR="003951CC" w:rsidRPr="00D62AB7" w:rsidRDefault="003951CC" w:rsidP="00D62AB7">
            <w:pPr>
              <w:pStyle w:val="Tabletexte"/>
            </w:pPr>
            <w:r w:rsidRPr="00D62AB7">
              <w:rPr>
                <w:rtl/>
              </w:rPr>
              <w:t>الموارد المخططة لتنفيذ خارطة طريق التحول وخارطة الطريق لتحسين الموقع الإلكتروني</w:t>
            </w:r>
          </w:p>
        </w:tc>
        <w:tc>
          <w:tcPr>
            <w:tcW w:w="1452" w:type="dxa"/>
            <w:tcBorders>
              <w:top w:val="nil"/>
              <w:left w:val="nil"/>
              <w:bottom w:val="single" w:sz="4" w:space="0" w:color="auto"/>
              <w:right w:val="single" w:sz="4" w:space="0" w:color="auto"/>
            </w:tcBorders>
            <w:shd w:val="clear" w:color="auto" w:fill="D9E2F3" w:themeFill="accent5" w:themeFillTint="33"/>
            <w:noWrap/>
            <w:vAlign w:val="bottom"/>
            <w:hideMark/>
          </w:tcPr>
          <w:p w14:paraId="567DECB5" w14:textId="54E761A3" w:rsidR="003951CC" w:rsidRPr="00D62AB7" w:rsidRDefault="003951CC" w:rsidP="00D62AB7">
            <w:pPr>
              <w:pStyle w:val="Tabletexte"/>
            </w:pPr>
            <w:r w:rsidRPr="00D62AB7">
              <w:rPr>
                <w:rtl/>
              </w:rPr>
              <w:t>354</w:t>
            </w:r>
            <w:r w:rsidR="005E54C4">
              <w:t> </w:t>
            </w:r>
            <w:r w:rsidRPr="00D62AB7">
              <w:rPr>
                <w:rtl/>
              </w:rPr>
              <w:t>1</w:t>
            </w:r>
          </w:p>
        </w:tc>
      </w:tr>
      <w:tr w:rsidR="003951CC" w:rsidRPr="00D62AB7" w14:paraId="2574162C" w14:textId="77777777" w:rsidTr="0019504B">
        <w:trPr>
          <w:trHeight w:val="389"/>
        </w:trPr>
        <w:tc>
          <w:tcPr>
            <w:tcW w:w="7060" w:type="dxa"/>
            <w:tcBorders>
              <w:top w:val="nil"/>
              <w:left w:val="single" w:sz="4" w:space="0" w:color="auto"/>
              <w:bottom w:val="single" w:sz="4" w:space="0" w:color="auto"/>
              <w:right w:val="single" w:sz="4" w:space="0" w:color="auto"/>
            </w:tcBorders>
            <w:shd w:val="clear" w:color="auto" w:fill="D9E2F3" w:themeFill="accent5" w:themeFillTint="33"/>
            <w:vAlign w:val="bottom"/>
          </w:tcPr>
          <w:p w14:paraId="5C885094" w14:textId="607AB493" w:rsidR="003951CC" w:rsidRPr="00D62AB7" w:rsidRDefault="003951CC" w:rsidP="00D62AB7">
            <w:pPr>
              <w:pStyle w:val="Tabletexte"/>
            </w:pPr>
            <w:r w:rsidRPr="00D62AB7">
              <w:rPr>
                <w:rtl/>
              </w:rPr>
              <w:t xml:space="preserve">الموارد المخصصة لبرنامج المهنيين الشباب </w:t>
            </w:r>
            <w:r w:rsidR="005E54C4">
              <w:t>(</w:t>
            </w:r>
            <w:r w:rsidR="005E54C4" w:rsidRPr="00D62AB7">
              <w:t>YPP</w:t>
            </w:r>
            <w:r w:rsidR="005E54C4">
              <w:t>)</w:t>
            </w:r>
          </w:p>
        </w:tc>
        <w:tc>
          <w:tcPr>
            <w:tcW w:w="1452" w:type="dxa"/>
            <w:tcBorders>
              <w:top w:val="nil"/>
              <w:left w:val="nil"/>
              <w:bottom w:val="single" w:sz="4" w:space="0" w:color="auto"/>
              <w:right w:val="single" w:sz="4" w:space="0" w:color="auto"/>
            </w:tcBorders>
            <w:shd w:val="clear" w:color="auto" w:fill="D9E2F3" w:themeFill="accent5" w:themeFillTint="33"/>
            <w:noWrap/>
            <w:vAlign w:val="bottom"/>
          </w:tcPr>
          <w:p w14:paraId="74882158" w14:textId="77777777" w:rsidR="003951CC" w:rsidRPr="00D62AB7" w:rsidRDefault="003951CC" w:rsidP="00D62AB7">
            <w:pPr>
              <w:pStyle w:val="Tabletexte"/>
            </w:pPr>
            <w:r w:rsidRPr="00D62AB7">
              <w:rPr>
                <w:rtl/>
              </w:rPr>
              <w:t>300</w:t>
            </w:r>
          </w:p>
        </w:tc>
      </w:tr>
      <w:tr w:rsidR="003951CC" w:rsidRPr="00D62AB7" w14:paraId="2B7C4F5D" w14:textId="77777777" w:rsidTr="0019504B">
        <w:trPr>
          <w:trHeight w:val="423"/>
        </w:trPr>
        <w:tc>
          <w:tcPr>
            <w:tcW w:w="7060" w:type="dxa"/>
            <w:tcBorders>
              <w:top w:val="nil"/>
              <w:left w:val="single" w:sz="4" w:space="0" w:color="auto"/>
              <w:bottom w:val="single" w:sz="4" w:space="0" w:color="auto"/>
              <w:right w:val="single" w:sz="4" w:space="0" w:color="auto"/>
            </w:tcBorders>
            <w:shd w:val="clear" w:color="auto" w:fill="D9E2F3" w:themeFill="accent5" w:themeFillTint="33"/>
            <w:vAlign w:val="bottom"/>
          </w:tcPr>
          <w:p w14:paraId="71834A5B" w14:textId="77777777" w:rsidR="003951CC" w:rsidRPr="00D62AB7" w:rsidRDefault="003951CC" w:rsidP="00D62AB7">
            <w:pPr>
              <w:pStyle w:val="Tabletexte"/>
            </w:pPr>
            <w:r w:rsidRPr="00D62AB7">
              <w:rPr>
                <w:rtl/>
              </w:rPr>
              <w:t>الموارد المخصصة للأعمال التحضيرية للمنتدى WTPF-26</w:t>
            </w:r>
          </w:p>
        </w:tc>
        <w:tc>
          <w:tcPr>
            <w:tcW w:w="1452" w:type="dxa"/>
            <w:tcBorders>
              <w:top w:val="nil"/>
              <w:left w:val="nil"/>
              <w:bottom w:val="single" w:sz="4" w:space="0" w:color="auto"/>
              <w:right w:val="single" w:sz="4" w:space="0" w:color="auto"/>
            </w:tcBorders>
            <w:shd w:val="clear" w:color="auto" w:fill="D9E2F3" w:themeFill="accent5" w:themeFillTint="33"/>
            <w:noWrap/>
            <w:vAlign w:val="bottom"/>
          </w:tcPr>
          <w:p w14:paraId="54C883FC" w14:textId="77777777" w:rsidR="003951CC" w:rsidRPr="00D62AB7" w:rsidRDefault="003951CC" w:rsidP="00D62AB7">
            <w:pPr>
              <w:pStyle w:val="Tabletexte"/>
            </w:pPr>
            <w:r w:rsidRPr="00D62AB7">
              <w:rPr>
                <w:rtl/>
              </w:rPr>
              <w:t>80</w:t>
            </w:r>
          </w:p>
        </w:tc>
      </w:tr>
      <w:tr w:rsidR="003951CC" w:rsidRPr="00D62AB7" w14:paraId="2D716288" w14:textId="77777777" w:rsidTr="0019504B">
        <w:trPr>
          <w:trHeight w:val="680"/>
        </w:trPr>
        <w:tc>
          <w:tcPr>
            <w:tcW w:w="7060" w:type="dxa"/>
            <w:tcBorders>
              <w:top w:val="nil"/>
              <w:left w:val="single" w:sz="4" w:space="0" w:color="auto"/>
              <w:bottom w:val="nil"/>
              <w:right w:val="single" w:sz="4" w:space="0" w:color="auto"/>
            </w:tcBorders>
            <w:shd w:val="clear" w:color="auto" w:fill="FBE2D5"/>
            <w:vAlign w:val="bottom"/>
            <w:hideMark/>
          </w:tcPr>
          <w:p w14:paraId="5AFD5D14" w14:textId="0EEDE92D" w:rsidR="003951CC" w:rsidRPr="00D62AB7" w:rsidRDefault="003951CC" w:rsidP="00D62AB7">
            <w:pPr>
              <w:pStyle w:val="Tabletexte"/>
            </w:pPr>
            <w:r w:rsidRPr="00D62AB7">
              <w:rPr>
                <w:rtl/>
              </w:rPr>
              <w:t>النقل من صندوق رأس المال العامل للمعارض إلى صندوق تنمية تكنولوجيا المعلومات والاتصالات</w:t>
            </w:r>
            <w:r w:rsidR="005E54C4">
              <w:rPr>
                <w:rFonts w:hint="cs"/>
                <w:rtl/>
              </w:rPr>
              <w:t> </w:t>
            </w:r>
            <w:r w:rsidR="005E54C4">
              <w:t>(</w:t>
            </w:r>
            <w:r w:rsidR="005E54C4" w:rsidRPr="00D62AB7">
              <w:t>ICT-DF</w:t>
            </w:r>
            <w:r w:rsidR="005E54C4">
              <w:t>)</w:t>
            </w:r>
          </w:p>
        </w:tc>
        <w:tc>
          <w:tcPr>
            <w:tcW w:w="1452" w:type="dxa"/>
            <w:tcBorders>
              <w:top w:val="nil"/>
              <w:left w:val="nil"/>
              <w:bottom w:val="nil"/>
              <w:right w:val="single" w:sz="4" w:space="0" w:color="auto"/>
            </w:tcBorders>
            <w:shd w:val="clear" w:color="auto" w:fill="FBE2D5"/>
            <w:noWrap/>
            <w:vAlign w:val="bottom"/>
            <w:hideMark/>
          </w:tcPr>
          <w:p w14:paraId="44E8AE3E" w14:textId="77777777" w:rsidR="003951CC" w:rsidRPr="00D62AB7" w:rsidRDefault="003951CC" w:rsidP="00D62AB7">
            <w:pPr>
              <w:pStyle w:val="Tabletexte"/>
            </w:pPr>
            <w:r w:rsidRPr="00D62AB7">
              <w:rPr>
                <w:rtl/>
              </w:rPr>
              <w:t>465</w:t>
            </w:r>
          </w:p>
        </w:tc>
      </w:tr>
      <w:tr w:rsidR="003951CC" w:rsidRPr="00D62AB7" w14:paraId="0621CDAC" w14:textId="77777777" w:rsidTr="0019504B">
        <w:trPr>
          <w:trHeight w:val="320"/>
        </w:trPr>
        <w:tc>
          <w:tcPr>
            <w:tcW w:w="7060" w:type="dxa"/>
            <w:tcBorders>
              <w:top w:val="single" w:sz="4" w:space="0" w:color="auto"/>
              <w:left w:val="single" w:sz="4" w:space="0" w:color="auto"/>
              <w:bottom w:val="single" w:sz="4" w:space="0" w:color="auto"/>
              <w:right w:val="single" w:sz="4" w:space="0" w:color="auto"/>
            </w:tcBorders>
            <w:shd w:val="clear" w:color="auto" w:fill="C0E6F5"/>
            <w:noWrap/>
            <w:vAlign w:val="bottom"/>
            <w:hideMark/>
          </w:tcPr>
          <w:p w14:paraId="71DDC55C" w14:textId="77777777" w:rsidR="003951CC" w:rsidRPr="005E54C4" w:rsidRDefault="003951CC" w:rsidP="00D62AB7">
            <w:pPr>
              <w:pStyle w:val="Tabletexte"/>
              <w:rPr>
                <w:b/>
                <w:bCs/>
              </w:rPr>
            </w:pPr>
            <w:r w:rsidRPr="005E54C4">
              <w:rPr>
                <w:b/>
                <w:bCs/>
                <w:rtl/>
              </w:rPr>
              <w:t>المجموع</w:t>
            </w:r>
          </w:p>
        </w:tc>
        <w:tc>
          <w:tcPr>
            <w:tcW w:w="1452" w:type="dxa"/>
            <w:tcBorders>
              <w:top w:val="single" w:sz="4" w:space="0" w:color="auto"/>
              <w:left w:val="nil"/>
              <w:bottom w:val="single" w:sz="4" w:space="0" w:color="auto"/>
              <w:right w:val="single" w:sz="4" w:space="0" w:color="auto"/>
            </w:tcBorders>
            <w:shd w:val="clear" w:color="auto" w:fill="C0E6F5"/>
            <w:noWrap/>
            <w:vAlign w:val="bottom"/>
            <w:hideMark/>
          </w:tcPr>
          <w:p w14:paraId="63E93EF9" w14:textId="5DD02336" w:rsidR="003951CC" w:rsidRPr="005E54C4" w:rsidRDefault="003951CC" w:rsidP="00D62AB7">
            <w:pPr>
              <w:pStyle w:val="Tabletexte"/>
              <w:rPr>
                <w:b/>
                <w:bCs/>
              </w:rPr>
            </w:pPr>
            <w:r w:rsidRPr="005E54C4">
              <w:rPr>
                <w:b/>
                <w:bCs/>
                <w:rtl/>
              </w:rPr>
              <w:t>622</w:t>
            </w:r>
            <w:r w:rsidR="005E54C4" w:rsidRPr="005E54C4">
              <w:rPr>
                <w:b/>
                <w:bCs/>
              </w:rPr>
              <w:t> </w:t>
            </w:r>
            <w:r w:rsidRPr="005E54C4">
              <w:rPr>
                <w:b/>
                <w:bCs/>
                <w:rtl/>
              </w:rPr>
              <w:t>3</w:t>
            </w:r>
          </w:p>
        </w:tc>
      </w:tr>
    </w:tbl>
    <w:p w14:paraId="59DBF296" w14:textId="563FD132" w:rsidR="003951CC" w:rsidRPr="005E54C4" w:rsidRDefault="003951CC" w:rsidP="0019504B">
      <w:pPr>
        <w:spacing w:before="240"/>
      </w:pPr>
      <w:r w:rsidRPr="005E54C4">
        <w:rPr>
          <w:rtl/>
        </w:rPr>
        <w:t>وإذا نجمت أي آثار إضافية على الميزانية عن نتائج الجمعية العالمية لتقييس الاتصالات لعام 2024، فستقيَّم تلك الاحتياجات الإضافية من الموارد ويبلَّغ المجلس بها في دورته لعام 2025 من أجل النظر فيها واتخاذ قرار بشـأنها حسب الاقتضاء.</w:t>
      </w:r>
    </w:p>
    <w:p w14:paraId="65F639AF" w14:textId="77777777" w:rsidR="003951CC" w:rsidRPr="00C62BB3" w:rsidRDefault="003951CC" w:rsidP="003951CC">
      <w:pPr>
        <w:tabs>
          <w:tab w:val="left" w:pos="709"/>
        </w:tabs>
        <w:snapToGrid w:val="0"/>
        <w:spacing w:before="720"/>
        <w:textDirection w:val="tbRlV"/>
        <w:rPr>
          <w:rFonts w:asciiTheme="minorHAnsi" w:hAnsiTheme="minorHAnsi" w:cstheme="minorBidi"/>
          <w:b/>
          <w:bCs/>
          <w:i/>
          <w:iCs/>
          <w:szCs w:val="20"/>
          <w:lang w:val="ar-SA" w:eastAsia="zh-TW" w:bidi="en-GB"/>
        </w:rPr>
      </w:pPr>
      <w:r>
        <w:rPr>
          <w:b/>
          <w:bCs/>
          <w:i/>
          <w:iCs/>
          <w:rtl/>
        </w:rPr>
        <w:t>الملحقات</w:t>
      </w:r>
      <w:r>
        <w:rPr>
          <w:rFonts w:ascii="Simplified Arabic"/>
          <w:b/>
          <w:bCs/>
          <w:i/>
          <w:iCs/>
          <w:szCs w:val="20"/>
        </w:rPr>
        <w:t>:</w:t>
      </w:r>
      <w:r>
        <w:rPr>
          <w:b/>
          <w:bCs/>
          <w:i/>
          <w:iCs/>
          <w:rtl/>
        </w:rPr>
        <w:t xml:space="preserve"> </w:t>
      </w:r>
      <w:r>
        <w:rPr>
          <w:rFonts w:ascii="Simplified Arabic"/>
          <w:b/>
          <w:bCs/>
          <w:i/>
          <w:iCs/>
          <w:szCs w:val="20"/>
          <w:rtl/>
        </w:rPr>
        <w:t>1</w:t>
      </w:r>
    </w:p>
    <w:p w14:paraId="320FDC92" w14:textId="77777777" w:rsidR="003951CC" w:rsidRDefault="003951CC" w:rsidP="003951CC">
      <w:pPr>
        <w:spacing w:before="0"/>
        <w:rPr>
          <w:rFonts w:asciiTheme="minorHAnsi" w:hAnsiTheme="minorHAnsi" w:cstheme="minorBidi"/>
        </w:rPr>
      </w:pPr>
      <w:r>
        <w:rPr>
          <w:rFonts w:asciiTheme="minorHAnsi" w:hAnsiTheme="minorHAnsi" w:cstheme="minorBidi"/>
        </w:rPr>
        <w:br w:type="page"/>
      </w:r>
    </w:p>
    <w:p w14:paraId="258D9965" w14:textId="77777777" w:rsidR="003951CC" w:rsidRPr="008461D4" w:rsidRDefault="003951CC" w:rsidP="008461D4">
      <w:pPr>
        <w:pStyle w:val="AnnexNo"/>
      </w:pPr>
      <w:bookmarkStart w:id="4" w:name="Annex"/>
      <w:r w:rsidRPr="008461D4">
        <w:rPr>
          <w:rtl/>
        </w:rPr>
        <w:lastRenderedPageBreak/>
        <w:t>الملحق</w:t>
      </w:r>
      <w:bookmarkEnd w:id="4"/>
    </w:p>
    <w:p w14:paraId="44426EB0" w14:textId="77777777" w:rsidR="003951CC" w:rsidRPr="008461D4" w:rsidRDefault="003951CC" w:rsidP="008461D4">
      <w:pPr>
        <w:pStyle w:val="ResNo"/>
      </w:pPr>
      <w:r w:rsidRPr="008461D4">
        <w:rPr>
          <w:rtl/>
        </w:rPr>
        <w:t>مشروع القرار الجديد [...]</w:t>
      </w:r>
    </w:p>
    <w:p w14:paraId="439D3C37" w14:textId="217D1610" w:rsidR="003951CC" w:rsidRPr="008461D4" w:rsidRDefault="003951CC" w:rsidP="008461D4">
      <w:pPr>
        <w:pStyle w:val="Restitle"/>
      </w:pPr>
      <w:r w:rsidRPr="008461D4">
        <w:rPr>
          <w:rtl/>
        </w:rPr>
        <w:t xml:space="preserve">مخصصات الوفورات المحققة في تنفيذ ميزانية 2023 </w:t>
      </w:r>
      <w:r w:rsidR="008461D4">
        <w:br/>
      </w:r>
      <w:r w:rsidRPr="008461D4">
        <w:rPr>
          <w:rtl/>
        </w:rPr>
        <w:t>وصندوق رأس المال العامل للمعارض</w:t>
      </w:r>
    </w:p>
    <w:p w14:paraId="021BE180" w14:textId="77777777" w:rsidR="003951CC" w:rsidRPr="008461D4" w:rsidRDefault="003951CC" w:rsidP="008461D4">
      <w:pPr>
        <w:pStyle w:val="Normalaftertitle"/>
      </w:pPr>
      <w:r w:rsidRPr="008461D4">
        <w:rPr>
          <w:rtl/>
        </w:rPr>
        <w:t>إن مجلس الاتحاد الدولي للاتصالات،</w:t>
      </w:r>
    </w:p>
    <w:p w14:paraId="02A6A4F9" w14:textId="77777777" w:rsidR="003951CC" w:rsidRPr="008461D4" w:rsidRDefault="003951CC" w:rsidP="008461D4">
      <w:pPr>
        <w:pStyle w:val="Call"/>
      </w:pPr>
      <w:r w:rsidRPr="008461D4">
        <w:rPr>
          <w:rtl/>
        </w:rPr>
        <w:t>إذ يضع في اعتباره</w:t>
      </w:r>
    </w:p>
    <w:p w14:paraId="4E13A426" w14:textId="634CA5D1" w:rsidR="003951CC" w:rsidRPr="008461D4" w:rsidRDefault="003951CC" w:rsidP="008461D4">
      <w:r w:rsidRPr="008461D4">
        <w:rPr>
          <w:rtl/>
        </w:rPr>
        <w:t xml:space="preserve">الوفورات المحققة في تنفيذ (نتيجة) ميزانية 2023 البالغة </w:t>
      </w:r>
      <w:r w:rsidRPr="008461D4">
        <w:t>1</w:t>
      </w:r>
      <w:r w:rsidR="008461D4">
        <w:t> </w:t>
      </w:r>
      <w:r w:rsidRPr="008461D4">
        <w:t>423</w:t>
      </w:r>
      <w:r w:rsidRPr="008461D4">
        <w:rPr>
          <w:rtl/>
        </w:rPr>
        <w:t xml:space="preserve"> ألف فرنك سويسري بالإضافة إلى </w:t>
      </w:r>
      <w:r w:rsidRPr="008461D4">
        <w:t>1</w:t>
      </w:r>
      <w:r w:rsidR="008461D4">
        <w:t> </w:t>
      </w:r>
      <w:r w:rsidRPr="008461D4">
        <w:t>734</w:t>
      </w:r>
      <w:r w:rsidRPr="008461D4">
        <w:rPr>
          <w:rtl/>
        </w:rPr>
        <w:t xml:space="preserve"> ألف فرنك سويسري نتيجة لوفورات محققة في السنة السابقة ولم تُستخدم لتحقيق التوازن في تنفيذ ميزانية 2023،</w:t>
      </w:r>
    </w:p>
    <w:p w14:paraId="628D1F6A" w14:textId="77777777" w:rsidR="003951CC" w:rsidRPr="008461D4" w:rsidRDefault="003951CC" w:rsidP="008461D4">
      <w:pPr>
        <w:pStyle w:val="Call"/>
      </w:pPr>
      <w:r w:rsidRPr="008461D4">
        <w:rPr>
          <w:rtl/>
        </w:rPr>
        <w:t>وإذ يضع في اعتباره أيضاً</w:t>
      </w:r>
    </w:p>
    <w:p w14:paraId="5AFB00FE" w14:textId="0E1B9711" w:rsidR="003951CC" w:rsidRPr="008461D4" w:rsidRDefault="003951CC" w:rsidP="008461D4">
      <w:r w:rsidRPr="008461D4">
        <w:rPr>
          <w:rtl/>
        </w:rPr>
        <w:t>رصيد صندوق رأس المال العامل للمعارض وتقرير الأمينة العامة عن حالة صندوق تنمية تكنولوجيا المعلومات والاتصالات</w:t>
      </w:r>
      <w:r w:rsidR="008461D4">
        <w:rPr>
          <w:rFonts w:hint="cs"/>
          <w:rtl/>
        </w:rPr>
        <w:t> </w:t>
      </w:r>
      <w:r w:rsidR="008461D4">
        <w:t>(</w:t>
      </w:r>
      <w:r w:rsidR="008461D4" w:rsidRPr="008461D4">
        <w:t>ICT-DF</w:t>
      </w:r>
      <w:r w:rsidR="008461D4">
        <w:t>)</w:t>
      </w:r>
      <w:r w:rsidRPr="008461D4">
        <w:rPr>
          <w:rtl/>
        </w:rPr>
        <w:t>،</w:t>
      </w:r>
    </w:p>
    <w:p w14:paraId="6A620828" w14:textId="77777777" w:rsidR="003951CC" w:rsidRPr="008461D4" w:rsidRDefault="003951CC" w:rsidP="008461D4">
      <w:pPr>
        <w:pStyle w:val="Call"/>
      </w:pPr>
      <w:r w:rsidRPr="008461D4">
        <w:rPr>
          <w:rtl/>
        </w:rPr>
        <w:t>يقرر</w:t>
      </w:r>
    </w:p>
    <w:p w14:paraId="0DCFD004" w14:textId="38780E53" w:rsidR="00F50E3F" w:rsidRPr="008461D4" w:rsidRDefault="003951CC" w:rsidP="008461D4">
      <w:pPr>
        <w:rPr>
          <w:rFonts w:cs="Calibri"/>
          <w:szCs w:val="20"/>
          <w:rtl/>
          <w:lang w:val="ar-SA" w:eastAsia="zh-TW" w:bidi="en-GB"/>
        </w:rPr>
      </w:pPr>
      <w:r w:rsidRPr="008461D4">
        <w:rPr>
          <w:rtl/>
        </w:rPr>
        <w:t>تخصيص فائض ميزانية 2023 لتنفيذ قرارات المؤتمر العالمي للاتصالات الراديوية لعام 2023 (</w:t>
      </w:r>
      <w:r w:rsidRPr="008461D4">
        <w:t>1</w:t>
      </w:r>
      <w:r w:rsidR="008461D4">
        <w:t> </w:t>
      </w:r>
      <w:r w:rsidRPr="008461D4">
        <w:t>423</w:t>
      </w:r>
      <w:r w:rsidRPr="008461D4">
        <w:rPr>
          <w:rtl/>
        </w:rPr>
        <w:t xml:space="preserve"> ألف فرنك سويسري)، وتخصيص الوفورات المحققة في السنوات السابقة لتنفيذ خارطة طريق التحول بما في ذلك خارطة الطريق لتحسين الموقع الإلكتروني وبرنامج المهنيين الشباب </w:t>
      </w:r>
      <w:r w:rsidR="008461D4">
        <w:t>(</w:t>
      </w:r>
      <w:r w:rsidR="008461D4" w:rsidRPr="008461D4">
        <w:t>YPP</w:t>
      </w:r>
      <w:r w:rsidR="008461D4">
        <w:t>)</w:t>
      </w:r>
      <w:r w:rsidRPr="008461D4">
        <w:rPr>
          <w:rtl/>
        </w:rPr>
        <w:t xml:space="preserve"> والأعمال التحضيرية للمنتدى العالمي لسياسات الاتصالات/تكنولوجيا المعلومات والاتصالات لعام 2026 (</w:t>
      </w:r>
      <w:r w:rsidRPr="008461D4">
        <w:t>1</w:t>
      </w:r>
      <w:r w:rsidR="008461D4">
        <w:t> </w:t>
      </w:r>
      <w:r w:rsidRPr="008461D4">
        <w:t>734</w:t>
      </w:r>
      <w:r w:rsidRPr="008461D4">
        <w:rPr>
          <w:rtl/>
        </w:rPr>
        <w:t xml:space="preserve"> ألف فرنك سويسري)، ونقل مبلغ 465 ألف فرنك سويسري من صندوق رأس المال العامل للمعارض إلى صندوق تنمية تكنولوجيا المعلومات والاتصالات.</w:t>
      </w:r>
    </w:p>
    <w:p w14:paraId="786BD43C" w14:textId="77777777" w:rsidR="00F50E3F" w:rsidRPr="00907B08" w:rsidRDefault="00907B08" w:rsidP="008461D4">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23"/>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9499" w14:textId="77777777" w:rsidR="00EE1222" w:rsidRDefault="00EE1222" w:rsidP="006C3242">
      <w:pPr>
        <w:spacing w:before="0" w:line="240" w:lineRule="auto"/>
      </w:pPr>
      <w:r>
        <w:separator/>
      </w:r>
    </w:p>
  </w:endnote>
  <w:endnote w:type="continuationSeparator" w:id="0">
    <w:p w14:paraId="26A8E9AA" w14:textId="77777777" w:rsidR="00EE1222" w:rsidRDefault="00EE122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D8D910E" w14:textId="77777777" w:rsidTr="00357086">
      <w:trPr>
        <w:jc w:val="center"/>
      </w:trPr>
      <w:tc>
        <w:tcPr>
          <w:tcW w:w="868" w:type="pct"/>
          <w:vAlign w:val="center"/>
        </w:tcPr>
        <w:p w14:paraId="3DE4EA2E"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11F8CB31" w14:textId="52878013"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3951CC">
            <w:rPr>
              <w:rFonts w:ascii="Calibri" w:hAnsi="Calibri" w:cs="Arial"/>
              <w:bCs/>
              <w:color w:val="7F7F7F"/>
              <w:sz w:val="18"/>
            </w:rPr>
            <w:t>19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097E089"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B02A326"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7A37A8B" w14:textId="77777777" w:rsidTr="00F50E3F">
      <w:trPr>
        <w:jc w:val="center"/>
      </w:trPr>
      <w:tc>
        <w:tcPr>
          <w:tcW w:w="868" w:type="pct"/>
          <w:vAlign w:val="center"/>
        </w:tcPr>
        <w:p w14:paraId="14F5670E" w14:textId="77777777" w:rsidR="007B0AA0" w:rsidRPr="007B0AA0" w:rsidRDefault="0019504B"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57F4C65" w14:textId="29EC7893"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3951CC">
            <w:rPr>
              <w:rFonts w:ascii="Calibri" w:hAnsi="Calibri" w:cs="Arial"/>
              <w:bCs/>
              <w:color w:val="7F7F7F"/>
              <w:sz w:val="18"/>
            </w:rPr>
            <w:t>19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FA27D09"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5A0E9C9"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F722" w14:textId="77777777" w:rsidR="00EE1222" w:rsidRDefault="00EE1222" w:rsidP="006C3242">
      <w:pPr>
        <w:spacing w:before="0" w:line="240" w:lineRule="auto"/>
      </w:pPr>
      <w:r>
        <w:separator/>
      </w:r>
    </w:p>
  </w:footnote>
  <w:footnote w:type="continuationSeparator" w:id="0">
    <w:p w14:paraId="367DE478" w14:textId="77777777" w:rsidR="00EE1222" w:rsidRDefault="00EE122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E042"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8BD203E" wp14:editId="0A8AF4EB">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D598B"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FE2A1BB" wp14:editId="04634BEB">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22"/>
    <w:rsid w:val="0006468A"/>
    <w:rsid w:val="00065EF5"/>
    <w:rsid w:val="00090574"/>
    <w:rsid w:val="0009186A"/>
    <w:rsid w:val="000C1C0E"/>
    <w:rsid w:val="000C548A"/>
    <w:rsid w:val="0019504B"/>
    <w:rsid w:val="00195B5F"/>
    <w:rsid w:val="001C0169"/>
    <w:rsid w:val="001D1D50"/>
    <w:rsid w:val="001D6745"/>
    <w:rsid w:val="001E446E"/>
    <w:rsid w:val="001F2A62"/>
    <w:rsid w:val="002154EE"/>
    <w:rsid w:val="002276D2"/>
    <w:rsid w:val="0023283D"/>
    <w:rsid w:val="0026373E"/>
    <w:rsid w:val="002670BE"/>
    <w:rsid w:val="00271C43"/>
    <w:rsid w:val="00290728"/>
    <w:rsid w:val="002978F4"/>
    <w:rsid w:val="002B028D"/>
    <w:rsid w:val="002E6541"/>
    <w:rsid w:val="00334924"/>
    <w:rsid w:val="003409BC"/>
    <w:rsid w:val="00357185"/>
    <w:rsid w:val="00383829"/>
    <w:rsid w:val="00387876"/>
    <w:rsid w:val="003951CC"/>
    <w:rsid w:val="003F4B29"/>
    <w:rsid w:val="0042686F"/>
    <w:rsid w:val="004317D8"/>
    <w:rsid w:val="00434183"/>
    <w:rsid w:val="00443869"/>
    <w:rsid w:val="00447F32"/>
    <w:rsid w:val="004B14F7"/>
    <w:rsid w:val="004B7334"/>
    <w:rsid w:val="004E11DC"/>
    <w:rsid w:val="004E47D2"/>
    <w:rsid w:val="00525DDD"/>
    <w:rsid w:val="005409AC"/>
    <w:rsid w:val="0055516A"/>
    <w:rsid w:val="00562A38"/>
    <w:rsid w:val="0058491B"/>
    <w:rsid w:val="005849BB"/>
    <w:rsid w:val="00592EA5"/>
    <w:rsid w:val="005A3170"/>
    <w:rsid w:val="005E54C4"/>
    <w:rsid w:val="00605D43"/>
    <w:rsid w:val="00677396"/>
    <w:rsid w:val="0069200F"/>
    <w:rsid w:val="006A65CB"/>
    <w:rsid w:val="006C3242"/>
    <w:rsid w:val="006C7CC0"/>
    <w:rsid w:val="006F63F7"/>
    <w:rsid w:val="007025C7"/>
    <w:rsid w:val="00706D7A"/>
    <w:rsid w:val="00722F0D"/>
    <w:rsid w:val="0074420E"/>
    <w:rsid w:val="00783E26"/>
    <w:rsid w:val="007B0AA0"/>
    <w:rsid w:val="007C3BC7"/>
    <w:rsid w:val="007C3BCD"/>
    <w:rsid w:val="007D4ACF"/>
    <w:rsid w:val="007F0787"/>
    <w:rsid w:val="00810B7B"/>
    <w:rsid w:val="0082358A"/>
    <w:rsid w:val="008235CD"/>
    <w:rsid w:val="008247DE"/>
    <w:rsid w:val="008339C0"/>
    <w:rsid w:val="00840B10"/>
    <w:rsid w:val="008461D4"/>
    <w:rsid w:val="008513CB"/>
    <w:rsid w:val="008A7F84"/>
    <w:rsid w:val="00907B08"/>
    <w:rsid w:val="0091702E"/>
    <w:rsid w:val="00923B0C"/>
    <w:rsid w:val="0094021C"/>
    <w:rsid w:val="00952F86"/>
    <w:rsid w:val="00974B51"/>
    <w:rsid w:val="00982B28"/>
    <w:rsid w:val="009D313F"/>
    <w:rsid w:val="00A47A5A"/>
    <w:rsid w:val="00A6683B"/>
    <w:rsid w:val="00A97F94"/>
    <w:rsid w:val="00AA7EA2"/>
    <w:rsid w:val="00B03099"/>
    <w:rsid w:val="00B05BC8"/>
    <w:rsid w:val="00B6080B"/>
    <w:rsid w:val="00B64B47"/>
    <w:rsid w:val="00B91B14"/>
    <w:rsid w:val="00B95654"/>
    <w:rsid w:val="00C002DE"/>
    <w:rsid w:val="00C53BF8"/>
    <w:rsid w:val="00C66157"/>
    <w:rsid w:val="00C674FE"/>
    <w:rsid w:val="00C67501"/>
    <w:rsid w:val="00C75633"/>
    <w:rsid w:val="00CE2EE1"/>
    <w:rsid w:val="00CE3349"/>
    <w:rsid w:val="00CE36E5"/>
    <w:rsid w:val="00CF27F5"/>
    <w:rsid w:val="00CF3FFD"/>
    <w:rsid w:val="00D10CCF"/>
    <w:rsid w:val="00D13941"/>
    <w:rsid w:val="00D62AB7"/>
    <w:rsid w:val="00D63735"/>
    <w:rsid w:val="00D77D0F"/>
    <w:rsid w:val="00DA1CF0"/>
    <w:rsid w:val="00DC1E02"/>
    <w:rsid w:val="00DC24B4"/>
    <w:rsid w:val="00DC5FB0"/>
    <w:rsid w:val="00DF16DC"/>
    <w:rsid w:val="00E45211"/>
    <w:rsid w:val="00E473C5"/>
    <w:rsid w:val="00E61BE8"/>
    <w:rsid w:val="00E92863"/>
    <w:rsid w:val="00E95327"/>
    <w:rsid w:val="00EB796D"/>
    <w:rsid w:val="00EE1222"/>
    <w:rsid w:val="00F058DC"/>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D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customStyle="1" w:styleId="AnnexNo0">
    <w:name w:val="Annex_No"/>
    <w:basedOn w:val="Normal"/>
    <w:next w:val="Normal"/>
    <w:rsid w:val="003951CC"/>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Times New Roman" w:eastAsia="Times New Roman" w:hAnsi="CG Times" w:cs="Simplified Arabic" w:hint="cs"/>
      <w:sz w:val="28"/>
      <w:szCs w:val="30"/>
    </w:rPr>
  </w:style>
  <w:style w:type="paragraph" w:customStyle="1" w:styleId="Annextitle0">
    <w:name w:val="Annex_title"/>
    <w:basedOn w:val="Normal"/>
    <w:next w:val="Normal"/>
    <w:rsid w:val="003951CC"/>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ascii="Times New Roman" w:eastAsia="Times New Roman" w:hAnsi="CG Times" w:cs="Simplified Arabic" w:hint="cs"/>
      <w:b/>
      <w:sz w:val="28"/>
      <w:szCs w:val="30"/>
    </w:rPr>
  </w:style>
  <w:style w:type="character" w:customStyle="1" w:styleId="normaltextrun">
    <w:name w:val="normaltextrun"/>
    <w:basedOn w:val="DefaultParagraphFont"/>
    <w:rsid w:val="003951CC"/>
  </w:style>
  <w:style w:type="character" w:customStyle="1" w:styleId="eop">
    <w:name w:val="eop"/>
    <w:basedOn w:val="DefaultParagraphFont"/>
    <w:rsid w:val="003951CC"/>
  </w:style>
  <w:style w:type="character" w:styleId="UnresolvedMention">
    <w:name w:val="Unresolved Mention"/>
    <w:basedOn w:val="DefaultParagraphFont"/>
    <w:uiPriority w:val="99"/>
    <w:semiHidden/>
    <w:unhideWhenUsed/>
    <w:rsid w:val="003951CC"/>
    <w:rPr>
      <w:color w:val="605E5C"/>
      <w:shd w:val="clear" w:color="auto" w:fill="E1DFDD"/>
    </w:rPr>
  </w:style>
  <w:style w:type="character" w:styleId="FollowedHyperlink">
    <w:name w:val="FollowedHyperlink"/>
    <w:basedOn w:val="DefaultParagraphFont"/>
    <w:uiPriority w:val="99"/>
    <w:semiHidden/>
    <w:unhideWhenUsed/>
    <w:rsid w:val="003951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A.pdf" TargetMode="External"/><Relationship Id="rId13" Type="http://schemas.openxmlformats.org/officeDocument/2006/relationships/hyperlink" Target="https://www.itu.int/md/S24-CL-INF-0002/en" TargetMode="External"/><Relationship Id="rId18" Type="http://schemas.openxmlformats.org/officeDocument/2006/relationships/hyperlink" Target="https://www.itu.int/md/S24-CL-C-0052/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en/ITU-D/Partners/Pages/ICT-DF/default.aspx" TargetMode="External"/><Relationship Id="rId7" Type="http://schemas.openxmlformats.org/officeDocument/2006/relationships/endnotes" Target="endnotes.xml"/><Relationship Id="rId12" Type="http://schemas.openxmlformats.org/officeDocument/2006/relationships/hyperlink" Target="https://www.itu.int/md/S23-CL-C-0116/en" TargetMode="External"/><Relationship Id="rId17" Type="http://schemas.openxmlformats.org/officeDocument/2006/relationships/hyperlink" Target="https://www.itu.int/md/S24-CL-C-0063/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4-CL-C-0063/en" TargetMode="External"/><Relationship Id="rId20" Type="http://schemas.openxmlformats.org/officeDocument/2006/relationships/hyperlink" Target="https://www.itu.int/md/S24-CL-C-003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34/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4-CL-C-0053/en" TargetMode="External"/><Relationship Id="rId23" Type="http://schemas.openxmlformats.org/officeDocument/2006/relationships/footer" Target="footer1.xml"/><Relationship Id="rId10" Type="http://schemas.openxmlformats.org/officeDocument/2006/relationships/hyperlink" Target="http://www.itu.int/md/S11-CL-C-0106/en" TargetMode="External"/><Relationship Id="rId19" Type="http://schemas.openxmlformats.org/officeDocument/2006/relationships/hyperlink" Target="https://www.itu.int/md/S24-CL-C-0053/en" TargetMode="External"/><Relationship Id="rId4" Type="http://schemas.openxmlformats.org/officeDocument/2006/relationships/settings" Target="settings.xml"/><Relationship Id="rId9" Type="http://schemas.openxmlformats.org/officeDocument/2006/relationships/hyperlink" Target="http://www.itu.int/council/index97/1997/131/131.html" TargetMode="External"/><Relationship Id="rId14" Type="http://schemas.openxmlformats.org/officeDocument/2006/relationships/hyperlink" Target="https://www.itu.int/md/S24-CL-C-0052/en" TargetMode="External"/><Relationship Id="rId22" Type="http://schemas.openxmlformats.org/officeDocument/2006/relationships/hyperlink" Target="https://www.itu.int/md/S24-CL-C-0034/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4</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2024-05-30T11:45:00Z</dcterms:created>
  <dcterms:modified xsi:type="dcterms:W3CDTF">2024-05-30T11:50:00Z</dcterms:modified>
  <cp:category>Conference document</cp:category>
</cp:coreProperties>
</file>