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F4594" w14:paraId="2592CC74" w14:textId="77777777" w:rsidTr="00D72F49">
        <w:trPr>
          <w:cantSplit/>
          <w:trHeight w:val="23"/>
        </w:trPr>
        <w:tc>
          <w:tcPr>
            <w:tcW w:w="3969" w:type="dxa"/>
            <w:vMerge w:val="restart"/>
            <w:tcMar>
              <w:left w:w="0" w:type="dxa"/>
            </w:tcMar>
          </w:tcPr>
          <w:p w14:paraId="27E56DEB" w14:textId="5E5465AA" w:rsidR="00D72F49" w:rsidRPr="006F4594" w:rsidRDefault="00D72F49" w:rsidP="006F4594">
            <w:pPr>
              <w:tabs>
                <w:tab w:val="left" w:pos="851"/>
              </w:tabs>
              <w:spacing w:before="0"/>
              <w:rPr>
                <w:b/>
              </w:rPr>
            </w:pPr>
            <w:r w:rsidRPr="006F4594">
              <w:rPr>
                <w:b/>
              </w:rPr>
              <w:t>Point de l</w:t>
            </w:r>
            <w:r w:rsidR="006F4594">
              <w:rPr>
                <w:b/>
              </w:rPr>
              <w:t>'</w:t>
            </w:r>
            <w:r w:rsidRPr="006F4594">
              <w:rPr>
                <w:b/>
              </w:rPr>
              <w:t>ordre du jour:</w:t>
            </w:r>
            <w:r w:rsidR="00A962EC" w:rsidRPr="006F4594">
              <w:rPr>
                <w:b/>
              </w:rPr>
              <w:t xml:space="preserve"> PL 2</w:t>
            </w:r>
          </w:p>
        </w:tc>
        <w:tc>
          <w:tcPr>
            <w:tcW w:w="5245" w:type="dxa"/>
          </w:tcPr>
          <w:p w14:paraId="27B6A98A" w14:textId="24DA5B7C" w:rsidR="00D72F49" w:rsidRPr="006F4594" w:rsidRDefault="00D72F49" w:rsidP="006F4594">
            <w:pPr>
              <w:tabs>
                <w:tab w:val="left" w:pos="851"/>
              </w:tabs>
              <w:spacing w:before="0"/>
              <w:jc w:val="right"/>
              <w:rPr>
                <w:b/>
              </w:rPr>
            </w:pPr>
            <w:r w:rsidRPr="006F4594">
              <w:rPr>
                <w:b/>
              </w:rPr>
              <w:t>Document C2</w:t>
            </w:r>
            <w:r w:rsidR="0073275D" w:rsidRPr="006F4594">
              <w:rPr>
                <w:b/>
              </w:rPr>
              <w:t>4</w:t>
            </w:r>
            <w:r w:rsidRPr="006F4594">
              <w:rPr>
                <w:b/>
              </w:rPr>
              <w:t>/</w:t>
            </w:r>
            <w:r w:rsidR="00A962EC" w:rsidRPr="006F4594">
              <w:rPr>
                <w:b/>
              </w:rPr>
              <w:t>18</w:t>
            </w:r>
            <w:r w:rsidRPr="006F4594">
              <w:rPr>
                <w:b/>
              </w:rPr>
              <w:t>-F</w:t>
            </w:r>
          </w:p>
        </w:tc>
      </w:tr>
      <w:tr w:rsidR="00D72F49" w:rsidRPr="006F4594" w14:paraId="41096C77" w14:textId="77777777" w:rsidTr="00D72F49">
        <w:trPr>
          <w:cantSplit/>
        </w:trPr>
        <w:tc>
          <w:tcPr>
            <w:tcW w:w="3969" w:type="dxa"/>
            <w:vMerge/>
          </w:tcPr>
          <w:p w14:paraId="0BBA5643" w14:textId="77777777" w:rsidR="00D72F49" w:rsidRPr="006F4594" w:rsidRDefault="00D72F49" w:rsidP="006F4594">
            <w:pPr>
              <w:tabs>
                <w:tab w:val="left" w:pos="851"/>
              </w:tabs>
              <w:rPr>
                <w:b/>
              </w:rPr>
            </w:pPr>
          </w:p>
        </w:tc>
        <w:tc>
          <w:tcPr>
            <w:tcW w:w="5245" w:type="dxa"/>
          </w:tcPr>
          <w:p w14:paraId="068BECD5" w14:textId="438FC3A4" w:rsidR="00D72F49" w:rsidRPr="006F4594" w:rsidRDefault="00A962EC" w:rsidP="006F4594">
            <w:pPr>
              <w:tabs>
                <w:tab w:val="left" w:pos="851"/>
              </w:tabs>
              <w:spacing w:before="0"/>
              <w:jc w:val="right"/>
              <w:rPr>
                <w:b/>
              </w:rPr>
            </w:pPr>
            <w:r w:rsidRPr="006F4594">
              <w:rPr>
                <w:b/>
              </w:rPr>
              <w:t>18 avril</w:t>
            </w:r>
            <w:r w:rsidR="00D72F49" w:rsidRPr="006F4594">
              <w:rPr>
                <w:b/>
              </w:rPr>
              <w:t xml:space="preserve"> 202</w:t>
            </w:r>
            <w:r w:rsidR="0073275D" w:rsidRPr="006F4594">
              <w:rPr>
                <w:b/>
              </w:rPr>
              <w:t>4</w:t>
            </w:r>
          </w:p>
        </w:tc>
      </w:tr>
      <w:tr w:rsidR="00D72F49" w:rsidRPr="006F4594" w14:paraId="17E5B988" w14:textId="77777777" w:rsidTr="00D72F49">
        <w:trPr>
          <w:cantSplit/>
          <w:trHeight w:val="23"/>
        </w:trPr>
        <w:tc>
          <w:tcPr>
            <w:tcW w:w="3969" w:type="dxa"/>
            <w:vMerge/>
          </w:tcPr>
          <w:p w14:paraId="2192D6D7" w14:textId="77777777" w:rsidR="00D72F49" w:rsidRPr="006F4594" w:rsidRDefault="00D72F49" w:rsidP="006F4594">
            <w:pPr>
              <w:tabs>
                <w:tab w:val="left" w:pos="851"/>
              </w:tabs>
              <w:rPr>
                <w:b/>
              </w:rPr>
            </w:pPr>
          </w:p>
        </w:tc>
        <w:tc>
          <w:tcPr>
            <w:tcW w:w="5245" w:type="dxa"/>
          </w:tcPr>
          <w:p w14:paraId="1948C622" w14:textId="77777777" w:rsidR="00D72F49" w:rsidRPr="006F4594" w:rsidRDefault="00D72F49" w:rsidP="006F4594">
            <w:pPr>
              <w:tabs>
                <w:tab w:val="left" w:pos="851"/>
              </w:tabs>
              <w:spacing w:before="0"/>
              <w:jc w:val="right"/>
              <w:rPr>
                <w:b/>
              </w:rPr>
            </w:pPr>
            <w:r w:rsidRPr="006F4594">
              <w:rPr>
                <w:b/>
              </w:rPr>
              <w:t>Original: anglais</w:t>
            </w:r>
          </w:p>
        </w:tc>
      </w:tr>
      <w:tr w:rsidR="00D72F49" w:rsidRPr="006F4594" w14:paraId="53623BEE" w14:textId="77777777" w:rsidTr="00D72F49">
        <w:trPr>
          <w:cantSplit/>
          <w:trHeight w:val="23"/>
        </w:trPr>
        <w:tc>
          <w:tcPr>
            <w:tcW w:w="3969" w:type="dxa"/>
          </w:tcPr>
          <w:p w14:paraId="630B4C34" w14:textId="77777777" w:rsidR="00D72F49" w:rsidRPr="006F4594" w:rsidRDefault="00D72F49" w:rsidP="006F4594">
            <w:pPr>
              <w:tabs>
                <w:tab w:val="left" w:pos="851"/>
              </w:tabs>
              <w:rPr>
                <w:b/>
              </w:rPr>
            </w:pPr>
          </w:p>
        </w:tc>
        <w:tc>
          <w:tcPr>
            <w:tcW w:w="5245" w:type="dxa"/>
          </w:tcPr>
          <w:p w14:paraId="437750C4" w14:textId="77777777" w:rsidR="00D72F49" w:rsidRPr="006F4594" w:rsidRDefault="00D72F49" w:rsidP="006F4594">
            <w:pPr>
              <w:tabs>
                <w:tab w:val="left" w:pos="851"/>
              </w:tabs>
              <w:spacing w:before="0"/>
              <w:jc w:val="right"/>
              <w:rPr>
                <w:b/>
              </w:rPr>
            </w:pPr>
          </w:p>
        </w:tc>
      </w:tr>
      <w:tr w:rsidR="00D72F49" w:rsidRPr="006F4594" w14:paraId="31FFA2A5" w14:textId="77777777" w:rsidTr="00D72F49">
        <w:trPr>
          <w:cantSplit/>
        </w:trPr>
        <w:tc>
          <w:tcPr>
            <w:tcW w:w="9214" w:type="dxa"/>
            <w:gridSpan w:val="2"/>
            <w:tcMar>
              <w:left w:w="0" w:type="dxa"/>
            </w:tcMar>
          </w:tcPr>
          <w:p w14:paraId="7AA1F34C" w14:textId="3E7729BE" w:rsidR="00D72F49" w:rsidRPr="006F4594" w:rsidRDefault="00D72F49" w:rsidP="006F4594">
            <w:pPr>
              <w:pStyle w:val="Source"/>
              <w:jc w:val="left"/>
              <w:rPr>
                <w:sz w:val="34"/>
                <w:szCs w:val="34"/>
              </w:rPr>
            </w:pPr>
            <w:r w:rsidRPr="006F4594">
              <w:rPr>
                <w:rFonts w:cstheme="minorHAnsi"/>
                <w:color w:val="000000"/>
                <w:sz w:val="34"/>
                <w:szCs w:val="34"/>
              </w:rPr>
              <w:t xml:space="preserve">Rapport </w:t>
            </w:r>
            <w:r w:rsidR="00E95647" w:rsidRPr="006F4594">
              <w:rPr>
                <w:rFonts w:cstheme="minorHAnsi"/>
                <w:color w:val="000000"/>
                <w:sz w:val="34"/>
                <w:szCs w:val="34"/>
              </w:rPr>
              <w:t xml:space="preserve">de la </w:t>
            </w:r>
            <w:r w:rsidRPr="006F4594">
              <w:rPr>
                <w:rFonts w:cstheme="minorHAnsi"/>
                <w:color w:val="000000"/>
                <w:sz w:val="34"/>
                <w:szCs w:val="34"/>
              </w:rPr>
              <w:t>Secrétaire général</w:t>
            </w:r>
            <w:r w:rsidR="00E95647" w:rsidRPr="006F4594">
              <w:rPr>
                <w:rFonts w:cstheme="minorHAnsi"/>
                <w:color w:val="000000"/>
                <w:sz w:val="34"/>
                <w:szCs w:val="34"/>
              </w:rPr>
              <w:t>e</w:t>
            </w:r>
          </w:p>
        </w:tc>
      </w:tr>
      <w:tr w:rsidR="00D72F49" w:rsidRPr="006F4594" w14:paraId="65E7E3D8" w14:textId="77777777" w:rsidTr="00D72F49">
        <w:trPr>
          <w:cantSplit/>
        </w:trPr>
        <w:tc>
          <w:tcPr>
            <w:tcW w:w="9214" w:type="dxa"/>
            <w:gridSpan w:val="2"/>
            <w:tcMar>
              <w:left w:w="0" w:type="dxa"/>
            </w:tcMar>
          </w:tcPr>
          <w:p w14:paraId="370F6D7B" w14:textId="7BBCF009" w:rsidR="00D72F49" w:rsidRPr="006F4594" w:rsidRDefault="00A962EC" w:rsidP="006F4594">
            <w:pPr>
              <w:pStyle w:val="Subtitle"/>
              <w:framePr w:hSpace="0" w:wrap="auto" w:hAnchor="text" w:xAlign="left" w:yAlign="inline"/>
              <w:rPr>
                <w:lang w:val="fr-FR"/>
              </w:rPr>
            </w:pPr>
            <w:r w:rsidRPr="006F4594">
              <w:rPr>
                <w:rFonts w:cstheme="minorHAnsi"/>
                <w:lang w:val="fr-FR"/>
              </w:rPr>
              <w:t>ACTIVITÉS DE L</w:t>
            </w:r>
            <w:r w:rsidR="006F4594">
              <w:rPr>
                <w:rFonts w:cstheme="minorHAnsi"/>
                <w:lang w:val="fr-FR"/>
              </w:rPr>
              <w:t>'</w:t>
            </w:r>
            <w:r w:rsidRPr="006F4594">
              <w:rPr>
                <w:rFonts w:cstheme="minorHAnsi"/>
                <w:lang w:val="fr-FR"/>
              </w:rPr>
              <w:t>UIT RELATIVES AU RENFORCEMENT DU RÔLE DE L</w:t>
            </w:r>
            <w:r w:rsidR="006F4594">
              <w:rPr>
                <w:rFonts w:cstheme="minorHAnsi"/>
                <w:lang w:val="fr-FR"/>
              </w:rPr>
              <w:t>'</w:t>
            </w:r>
            <w:r w:rsidRPr="006F4594">
              <w:rPr>
                <w:rFonts w:cstheme="minorHAnsi"/>
                <w:lang w:val="fr-FR"/>
              </w:rPr>
              <w:t>UNION DANS L</w:t>
            </w:r>
            <w:r w:rsidR="006F4594">
              <w:rPr>
                <w:rFonts w:cstheme="minorHAnsi"/>
                <w:lang w:val="fr-FR"/>
              </w:rPr>
              <w:t>'</w:t>
            </w:r>
            <w:r w:rsidRPr="006F4594">
              <w:rPr>
                <w:rFonts w:cstheme="minorHAnsi"/>
                <w:lang w:val="fr-FR"/>
              </w:rPr>
              <w:t>INSTAURATION DE LA CONFIANCE ET DE LA SÉCURITÉ DANS L</w:t>
            </w:r>
            <w:r w:rsidR="006F4594">
              <w:rPr>
                <w:rFonts w:cstheme="minorHAnsi"/>
                <w:lang w:val="fr-FR"/>
              </w:rPr>
              <w:t>'</w:t>
            </w:r>
            <w:r w:rsidRPr="006F4594">
              <w:rPr>
                <w:rFonts w:cstheme="minorHAnsi"/>
                <w:lang w:val="fr-FR"/>
              </w:rPr>
              <w:t>UTILISATION DES TECHNOLOGIES DE L</w:t>
            </w:r>
            <w:r w:rsidR="006F4594">
              <w:rPr>
                <w:rFonts w:cstheme="minorHAnsi"/>
                <w:lang w:val="fr-FR"/>
              </w:rPr>
              <w:t>'</w:t>
            </w:r>
            <w:r w:rsidRPr="006F4594">
              <w:rPr>
                <w:rFonts w:cstheme="minorHAnsi"/>
                <w:lang w:val="fr-FR"/>
              </w:rPr>
              <w:t>INFORMATION ET DE LA COMMUNICATION</w:t>
            </w:r>
          </w:p>
        </w:tc>
      </w:tr>
      <w:tr w:rsidR="00D72F49" w:rsidRPr="006F4594"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6F4594" w:rsidRDefault="00F37FE5" w:rsidP="006F4594">
            <w:pPr>
              <w:spacing w:before="160"/>
              <w:rPr>
                <w:b/>
                <w:bCs/>
                <w:sz w:val="26"/>
                <w:szCs w:val="26"/>
              </w:rPr>
            </w:pPr>
            <w:r w:rsidRPr="006F4594">
              <w:rPr>
                <w:b/>
                <w:bCs/>
                <w:sz w:val="26"/>
                <w:szCs w:val="26"/>
              </w:rPr>
              <w:t>Objet</w:t>
            </w:r>
          </w:p>
          <w:p w14:paraId="45E55FB2" w14:textId="66585E2D" w:rsidR="00D72F49" w:rsidRPr="006F4594" w:rsidRDefault="00A962EC" w:rsidP="006F4594">
            <w:r w:rsidRPr="006F4594">
              <w:t xml:space="preserve">Le présent rapport </w:t>
            </w:r>
            <w:r w:rsidR="00201AE9" w:rsidRPr="006F4594">
              <w:t>rend compte des</w:t>
            </w:r>
            <w:r w:rsidRPr="006F4594">
              <w:t xml:space="preserve"> activités menées par l</w:t>
            </w:r>
            <w:r w:rsidR="006F4594">
              <w:t>'</w:t>
            </w:r>
            <w:r w:rsidRPr="006F4594">
              <w:t>UIT en 2023-2024 au titre de la Résolution 130 (Rév. Bucarest, 2022) de la Conférence de plénipotentiaires, du rôle de l</w:t>
            </w:r>
            <w:r w:rsidR="006F4594">
              <w:t>'</w:t>
            </w:r>
            <w:r w:rsidRPr="006F4594">
              <w:t>UIT en tant que coordonnateur unique pour la grande orientation C5 du SMSI et des autres décisions prises par les membres concernant le renforcement du rôle de l</w:t>
            </w:r>
            <w:r w:rsidR="006F4594">
              <w:t>'</w:t>
            </w:r>
            <w:r w:rsidRPr="006F4594">
              <w:t>UIT dans l</w:t>
            </w:r>
            <w:r w:rsidR="006F4594">
              <w:t>'</w:t>
            </w:r>
            <w:r w:rsidRPr="006F4594">
              <w:t>instauration de la confiance et de la sécurité dans l</w:t>
            </w:r>
            <w:r w:rsidR="006F4594">
              <w:t>'</w:t>
            </w:r>
            <w:r w:rsidRPr="006F4594">
              <w:t>utilisation des technologies de l</w:t>
            </w:r>
            <w:r w:rsidR="006F4594">
              <w:t>'</w:t>
            </w:r>
            <w:r w:rsidRPr="006F4594">
              <w:t>information et de la communication (TIC).</w:t>
            </w:r>
          </w:p>
          <w:p w14:paraId="0B950982" w14:textId="77777777" w:rsidR="00D72F49" w:rsidRPr="006F4594" w:rsidRDefault="00D72F49" w:rsidP="006F4594">
            <w:pPr>
              <w:spacing w:before="160"/>
              <w:rPr>
                <w:b/>
                <w:bCs/>
                <w:sz w:val="26"/>
                <w:szCs w:val="26"/>
              </w:rPr>
            </w:pPr>
            <w:r w:rsidRPr="006F4594">
              <w:rPr>
                <w:b/>
                <w:bCs/>
                <w:sz w:val="26"/>
                <w:szCs w:val="26"/>
              </w:rPr>
              <w:t>Suite à donner par le Conseil</w:t>
            </w:r>
          </w:p>
          <w:p w14:paraId="6F9A6B88" w14:textId="57DDD408" w:rsidR="00D72F49" w:rsidRPr="006F4594" w:rsidRDefault="00A962EC" w:rsidP="006F4594">
            <w:r w:rsidRPr="006F4594">
              <w:t xml:space="preserve">Le Conseil est invité à </w:t>
            </w:r>
            <w:r w:rsidRPr="006F4594">
              <w:rPr>
                <w:b/>
              </w:rPr>
              <w:t>prendre note</w:t>
            </w:r>
            <w:r w:rsidRPr="006F4594">
              <w:t xml:space="preserve"> du présent rapport.</w:t>
            </w:r>
          </w:p>
          <w:p w14:paraId="121C402A" w14:textId="4FDE1FF1" w:rsidR="00D72F49" w:rsidRPr="006F4594" w:rsidRDefault="00D72F49" w:rsidP="006F4594">
            <w:pPr>
              <w:spacing w:before="160"/>
              <w:rPr>
                <w:b/>
                <w:bCs/>
                <w:sz w:val="26"/>
                <w:szCs w:val="26"/>
              </w:rPr>
            </w:pPr>
            <w:r w:rsidRPr="006F4594">
              <w:rPr>
                <w:b/>
                <w:bCs/>
                <w:sz w:val="26"/>
                <w:szCs w:val="26"/>
              </w:rPr>
              <w:t xml:space="preserve">Lien(s) pertinent(s) avec le </w:t>
            </w:r>
            <w:r w:rsidR="00F37FE5" w:rsidRPr="006F4594">
              <w:rPr>
                <w:b/>
                <w:bCs/>
                <w:sz w:val="26"/>
                <w:szCs w:val="26"/>
              </w:rPr>
              <w:t>p</w:t>
            </w:r>
            <w:r w:rsidRPr="006F4594">
              <w:rPr>
                <w:b/>
                <w:bCs/>
                <w:sz w:val="26"/>
                <w:szCs w:val="26"/>
              </w:rPr>
              <w:t>lan stratégique</w:t>
            </w:r>
          </w:p>
          <w:p w14:paraId="60D63331" w14:textId="24018E2B" w:rsidR="00D72F49" w:rsidRPr="006F4594" w:rsidRDefault="0087164D" w:rsidP="006F4594">
            <w:r w:rsidRPr="006F4594">
              <w:t>Promouvoir la connectivité universelle; transformation numérique durable; infrastructures et services de télécommunication/TIC inclusifs et sûrs.</w:t>
            </w:r>
          </w:p>
          <w:p w14:paraId="11FAADC9" w14:textId="1471BDE8" w:rsidR="00E95647" w:rsidRPr="006F4594" w:rsidRDefault="00D72F49" w:rsidP="006F4594">
            <w:pPr>
              <w:spacing w:before="160"/>
              <w:rPr>
                <w:b/>
                <w:bCs/>
                <w:sz w:val="26"/>
                <w:szCs w:val="26"/>
              </w:rPr>
            </w:pPr>
            <w:r w:rsidRPr="006F4594">
              <w:rPr>
                <w:b/>
                <w:bCs/>
                <w:sz w:val="26"/>
                <w:szCs w:val="26"/>
              </w:rPr>
              <w:t>Incidences financières:</w:t>
            </w:r>
          </w:p>
          <w:p w14:paraId="1476D7E3" w14:textId="27F8C365" w:rsidR="00D72F49" w:rsidRPr="006F4594" w:rsidRDefault="0087164D" w:rsidP="006F4594">
            <w:pPr>
              <w:spacing w:before="160"/>
              <w:rPr>
                <w:sz w:val="26"/>
                <w:szCs w:val="26"/>
              </w:rPr>
            </w:pPr>
            <w:r w:rsidRPr="006F4594">
              <w:rPr>
                <w:szCs w:val="24"/>
              </w:rPr>
              <w:t>Les coûts sont couverts par le budget</w:t>
            </w:r>
            <w:r w:rsidR="00F86873" w:rsidRPr="006F4594">
              <w:rPr>
                <w:szCs w:val="24"/>
              </w:rPr>
              <w:t xml:space="preserve"> affecté</w:t>
            </w:r>
            <w:r w:rsidRPr="006F4594">
              <w:rPr>
                <w:szCs w:val="24"/>
              </w:rPr>
              <w:t xml:space="preserve"> pour 2024-2025.</w:t>
            </w:r>
          </w:p>
          <w:p w14:paraId="2E44E753" w14:textId="77777777" w:rsidR="00D72F49" w:rsidRPr="006F4594" w:rsidRDefault="00D72F49" w:rsidP="006F4594">
            <w:pPr>
              <w:spacing w:before="160"/>
              <w:rPr>
                <w:caps/>
                <w:sz w:val="22"/>
              </w:rPr>
            </w:pPr>
            <w:r w:rsidRPr="006F4594">
              <w:rPr>
                <w:sz w:val="22"/>
              </w:rPr>
              <w:t>__________________</w:t>
            </w:r>
          </w:p>
          <w:p w14:paraId="246B160C" w14:textId="77777777" w:rsidR="00D72F49" w:rsidRPr="006F4594" w:rsidRDefault="00D72F49" w:rsidP="006F4594">
            <w:pPr>
              <w:spacing w:before="160"/>
              <w:rPr>
                <w:b/>
                <w:bCs/>
                <w:sz w:val="26"/>
                <w:szCs w:val="26"/>
              </w:rPr>
            </w:pPr>
            <w:r w:rsidRPr="006F4594">
              <w:rPr>
                <w:b/>
                <w:bCs/>
                <w:sz w:val="26"/>
                <w:szCs w:val="26"/>
              </w:rPr>
              <w:t>Références</w:t>
            </w:r>
          </w:p>
          <w:p w14:paraId="3B399B5C" w14:textId="1A487606" w:rsidR="00D72F49" w:rsidRPr="006F4594" w:rsidRDefault="0087164D" w:rsidP="006F4594">
            <w:pPr>
              <w:spacing w:after="160"/>
              <w:rPr>
                <w:sz w:val="22"/>
                <w:szCs w:val="22"/>
              </w:rPr>
            </w:pPr>
            <w:bookmarkStart w:id="0" w:name="lt_pId020"/>
            <w:r w:rsidRPr="006F4594">
              <w:rPr>
                <w:i/>
                <w:sz w:val="22"/>
                <w:szCs w:val="22"/>
              </w:rPr>
              <w:t xml:space="preserve">Résolutions </w:t>
            </w:r>
            <w:hyperlink r:id="rId6" w:history="1">
              <w:r w:rsidRPr="006F4594">
                <w:rPr>
                  <w:rStyle w:val="Hyperlink"/>
                  <w:i/>
                  <w:iCs/>
                  <w:sz w:val="22"/>
                  <w:szCs w:val="22"/>
                </w:rPr>
                <w:t>71</w:t>
              </w:r>
            </w:hyperlink>
            <w:r w:rsidRPr="006F4594">
              <w:rPr>
                <w:i/>
                <w:iCs/>
                <w:sz w:val="22"/>
                <w:szCs w:val="22"/>
              </w:rPr>
              <w:t xml:space="preserve">, </w:t>
            </w:r>
            <w:hyperlink r:id="rId7" w:history="1">
              <w:r w:rsidRPr="006F4594">
                <w:rPr>
                  <w:rStyle w:val="Hyperlink"/>
                  <w:i/>
                  <w:iCs/>
                  <w:sz w:val="22"/>
                  <w:szCs w:val="22"/>
                </w:rPr>
                <w:t>130</w:t>
              </w:r>
            </w:hyperlink>
            <w:r w:rsidRPr="006F4594">
              <w:rPr>
                <w:i/>
                <w:iCs/>
                <w:sz w:val="22"/>
                <w:szCs w:val="22"/>
              </w:rPr>
              <w:t xml:space="preserve">, </w:t>
            </w:r>
            <w:hyperlink r:id="rId8" w:history="1">
              <w:r w:rsidRPr="006F4594">
                <w:rPr>
                  <w:rStyle w:val="Hyperlink"/>
                  <w:i/>
                  <w:iCs/>
                  <w:sz w:val="22"/>
                  <w:szCs w:val="22"/>
                </w:rPr>
                <w:t>140</w:t>
              </w:r>
            </w:hyperlink>
            <w:r w:rsidRPr="006F4594">
              <w:rPr>
                <w:i/>
                <w:iCs/>
                <w:sz w:val="22"/>
                <w:szCs w:val="22"/>
              </w:rPr>
              <w:t xml:space="preserve">, </w:t>
            </w:r>
            <w:hyperlink r:id="rId9" w:history="1">
              <w:r w:rsidRPr="006F4594">
                <w:rPr>
                  <w:rStyle w:val="Hyperlink"/>
                  <w:i/>
                  <w:iCs/>
                  <w:sz w:val="22"/>
                  <w:szCs w:val="22"/>
                </w:rPr>
                <w:t>179 (Rév. Bucarest, 2022)</w:t>
              </w:r>
            </w:hyperlink>
            <w:r w:rsidRPr="006F4594">
              <w:rPr>
                <w:i/>
                <w:iCs/>
                <w:sz w:val="22"/>
                <w:szCs w:val="22"/>
              </w:rPr>
              <w:t xml:space="preserve"> de la Conférence de plénipotentiaires; Résolutions</w:t>
            </w:r>
            <w:r w:rsidR="00BB03A5" w:rsidRPr="006F4594">
              <w:rPr>
                <w:sz w:val="22"/>
                <w:szCs w:val="22"/>
              </w:rPr>
              <w:t> </w:t>
            </w:r>
            <w:hyperlink r:id="rId10" w:history="1">
              <w:r w:rsidRPr="006F4594">
                <w:rPr>
                  <w:rStyle w:val="Hyperlink"/>
                  <w:i/>
                  <w:iCs/>
                  <w:sz w:val="22"/>
                  <w:szCs w:val="22"/>
                </w:rPr>
                <w:t>174 (Rév. Dubaï, 2018)</w:t>
              </w:r>
            </w:hyperlink>
            <w:r w:rsidRPr="006F4594">
              <w:rPr>
                <w:i/>
                <w:iCs/>
                <w:sz w:val="22"/>
                <w:szCs w:val="22"/>
              </w:rPr>
              <w:t xml:space="preserve">, </w:t>
            </w:r>
            <w:hyperlink r:id="rId11" w:history="1">
              <w:r w:rsidRPr="006F4594">
                <w:rPr>
                  <w:rStyle w:val="Hyperlink"/>
                  <w:i/>
                  <w:iCs/>
                  <w:sz w:val="22"/>
                  <w:szCs w:val="22"/>
                </w:rPr>
                <w:t>181 (Guadalajara, 2010)</w:t>
              </w:r>
            </w:hyperlink>
            <w:r w:rsidRPr="006F4594">
              <w:rPr>
                <w:i/>
                <w:iCs/>
                <w:sz w:val="22"/>
                <w:szCs w:val="22"/>
              </w:rPr>
              <w:t xml:space="preserve"> de la Conférence de plénipotentiaires; </w:t>
            </w:r>
            <w:hyperlink r:id="rId12" w:history="1">
              <w:r w:rsidRPr="006F4594">
                <w:rPr>
                  <w:rStyle w:val="Hyperlink"/>
                  <w:i/>
                  <w:iCs/>
                  <w:sz w:val="22"/>
                  <w:szCs w:val="22"/>
                </w:rPr>
                <w:t>Règlement des télécommunications internationales (Rév. Dubaï, 2012)</w:t>
              </w:r>
            </w:hyperlink>
            <w:r w:rsidRPr="006F4594">
              <w:rPr>
                <w:i/>
                <w:iCs/>
                <w:sz w:val="22"/>
                <w:szCs w:val="22"/>
              </w:rPr>
              <w:t xml:space="preserve">; Résolution </w:t>
            </w:r>
            <w:hyperlink r:id="rId13" w:history="1">
              <w:r w:rsidRPr="006F4594">
                <w:rPr>
                  <w:rStyle w:val="Hyperlink"/>
                  <w:i/>
                  <w:iCs/>
                  <w:sz w:val="22"/>
                  <w:szCs w:val="22"/>
                </w:rPr>
                <w:t>1306</w:t>
              </w:r>
            </w:hyperlink>
            <w:r w:rsidRPr="006F4594">
              <w:rPr>
                <w:i/>
                <w:iCs/>
                <w:sz w:val="22"/>
                <w:szCs w:val="22"/>
              </w:rPr>
              <w:t xml:space="preserve"> du Conseil; </w:t>
            </w:r>
            <w:hyperlink r:id="rId14" w:history="1">
              <w:r w:rsidRPr="006F4594">
                <w:rPr>
                  <w:rStyle w:val="Hyperlink"/>
                  <w:i/>
                  <w:sz w:val="22"/>
                  <w:szCs w:val="22"/>
                </w:rPr>
                <w:t>Résolutions 45, 2, 67 et 69 (Rév. Kigali, 2022)</w:t>
              </w:r>
            </w:hyperlink>
            <w:r w:rsidRPr="006F4594">
              <w:rPr>
                <w:rStyle w:val="Hyperlink"/>
                <w:i/>
                <w:sz w:val="22"/>
                <w:szCs w:val="22"/>
              </w:rPr>
              <w:t xml:space="preserve"> de la CMDT</w:t>
            </w:r>
            <w:r w:rsidRPr="006F4594">
              <w:rPr>
                <w:i/>
                <w:iCs/>
                <w:sz w:val="22"/>
                <w:szCs w:val="22"/>
              </w:rPr>
              <w:t>; Priorités de l</w:t>
            </w:r>
            <w:r w:rsidR="006F4594">
              <w:rPr>
                <w:i/>
                <w:iCs/>
                <w:sz w:val="22"/>
                <w:szCs w:val="22"/>
              </w:rPr>
              <w:t>'</w:t>
            </w:r>
            <w:r w:rsidRPr="006F4594">
              <w:rPr>
                <w:i/>
                <w:iCs/>
                <w:sz w:val="22"/>
                <w:szCs w:val="22"/>
              </w:rPr>
              <w:t>UIT-D (</w:t>
            </w:r>
            <w:hyperlink r:id="rId15" w:history="1">
              <w:r w:rsidRPr="006F4594">
                <w:rPr>
                  <w:rStyle w:val="Hyperlink"/>
                  <w:i/>
                  <w:sz w:val="22"/>
                  <w:szCs w:val="22"/>
                </w:rPr>
                <w:t>Plan d</w:t>
              </w:r>
              <w:r w:rsidR="006F4594">
                <w:rPr>
                  <w:rStyle w:val="Hyperlink"/>
                  <w:i/>
                  <w:sz w:val="22"/>
                  <w:szCs w:val="22"/>
                </w:rPr>
                <w:t>'</w:t>
              </w:r>
              <w:r w:rsidRPr="006F4594">
                <w:rPr>
                  <w:rStyle w:val="Hyperlink"/>
                  <w:i/>
                  <w:sz w:val="22"/>
                  <w:szCs w:val="22"/>
                </w:rPr>
                <w:t>action de Kigali</w:t>
              </w:r>
            </w:hyperlink>
            <w:r w:rsidRPr="006F4594">
              <w:rPr>
                <w:i/>
                <w:iCs/>
                <w:sz w:val="22"/>
                <w:szCs w:val="22"/>
              </w:rPr>
              <w:t xml:space="preserve">); Résolutions </w:t>
            </w:r>
            <w:hyperlink r:id="rId16" w:history="1">
              <w:r w:rsidRPr="006F4594">
                <w:rPr>
                  <w:rStyle w:val="Hyperlink"/>
                  <w:i/>
                  <w:iCs/>
                  <w:sz w:val="22"/>
                  <w:szCs w:val="22"/>
                </w:rPr>
                <w:t>50</w:t>
              </w:r>
              <w:r w:rsidR="009C20A7" w:rsidRPr="006F4594">
                <w:rPr>
                  <w:u w:val="single"/>
                </w:rPr>
                <w:t xml:space="preserve"> </w:t>
              </w:r>
              <w:r w:rsidRPr="006F4594">
                <w:rPr>
                  <w:rStyle w:val="Hyperlink"/>
                  <w:i/>
                  <w:iCs/>
                  <w:sz w:val="22"/>
                  <w:szCs w:val="22"/>
                </w:rPr>
                <w:t>(Rév. Genève, 2022)</w:t>
              </w:r>
            </w:hyperlink>
            <w:r w:rsidRPr="006F4594">
              <w:rPr>
                <w:i/>
                <w:iCs/>
                <w:sz w:val="22"/>
                <w:szCs w:val="22"/>
              </w:rPr>
              <w:t xml:space="preserve">, </w:t>
            </w:r>
            <w:hyperlink r:id="rId17" w:history="1">
              <w:r w:rsidR="00DF0C7C" w:rsidRPr="006F4594">
                <w:rPr>
                  <w:rStyle w:val="Hyperlink"/>
                  <w:i/>
                  <w:iCs/>
                  <w:sz w:val="22"/>
                  <w:szCs w:val="22"/>
                </w:rPr>
                <w:t>52 (Rév. Hammamet, 2016)</w:t>
              </w:r>
            </w:hyperlink>
            <w:r w:rsidRPr="006F4594">
              <w:rPr>
                <w:i/>
                <w:iCs/>
                <w:sz w:val="22"/>
                <w:szCs w:val="22"/>
              </w:rPr>
              <w:t xml:space="preserve">, </w:t>
            </w:r>
            <w:hyperlink r:id="rId18" w:history="1">
              <w:r w:rsidRPr="006F4594">
                <w:rPr>
                  <w:rStyle w:val="Hyperlink"/>
                  <w:i/>
                  <w:iCs/>
                  <w:sz w:val="22"/>
                  <w:szCs w:val="22"/>
                </w:rPr>
                <w:t>75 (Rév. Genève, 2022)</w:t>
              </w:r>
            </w:hyperlink>
            <w:r w:rsidRPr="006F4594">
              <w:rPr>
                <w:i/>
                <w:iCs/>
                <w:sz w:val="22"/>
                <w:szCs w:val="22"/>
              </w:rPr>
              <w:t xml:space="preserve">, </w:t>
            </w:r>
            <w:hyperlink r:id="rId19" w:history="1">
              <w:r w:rsidRPr="006F4594">
                <w:rPr>
                  <w:rStyle w:val="Hyperlink"/>
                  <w:i/>
                  <w:iCs/>
                  <w:sz w:val="22"/>
                  <w:szCs w:val="22"/>
                </w:rPr>
                <w:t>58</w:t>
              </w:r>
              <w:r w:rsidR="00DF0C7C" w:rsidRPr="006F4594">
                <w:rPr>
                  <w:rStyle w:val="Hyperlink"/>
                  <w:i/>
                  <w:iCs/>
                  <w:sz w:val="22"/>
                  <w:szCs w:val="22"/>
                </w:rPr>
                <w:t> </w:t>
              </w:r>
              <w:r w:rsidRPr="006F4594">
                <w:rPr>
                  <w:rStyle w:val="Hyperlink"/>
                  <w:i/>
                  <w:iCs/>
                  <w:sz w:val="22"/>
                  <w:szCs w:val="22"/>
                </w:rPr>
                <w:t>(Rév.</w:t>
              </w:r>
              <w:r w:rsidR="00DF0C7C" w:rsidRPr="006F4594">
                <w:rPr>
                  <w:rStyle w:val="Hyperlink"/>
                  <w:i/>
                  <w:iCs/>
                  <w:sz w:val="22"/>
                  <w:szCs w:val="22"/>
                </w:rPr>
                <w:t> </w:t>
              </w:r>
              <w:r w:rsidRPr="006F4594">
                <w:rPr>
                  <w:rStyle w:val="Hyperlink"/>
                  <w:i/>
                  <w:iCs/>
                  <w:sz w:val="22"/>
                  <w:szCs w:val="22"/>
                </w:rPr>
                <w:t>Genève, 2022)</w:t>
              </w:r>
            </w:hyperlink>
            <w:r w:rsidRPr="006F4594">
              <w:rPr>
                <w:sz w:val="22"/>
                <w:szCs w:val="22"/>
              </w:rPr>
              <w:t xml:space="preserve"> </w:t>
            </w:r>
            <w:r w:rsidRPr="006F4594">
              <w:rPr>
                <w:i/>
                <w:iCs/>
                <w:sz w:val="22"/>
                <w:szCs w:val="22"/>
              </w:rPr>
              <w:t>de l</w:t>
            </w:r>
            <w:r w:rsidR="006F4594">
              <w:rPr>
                <w:i/>
                <w:iCs/>
                <w:sz w:val="22"/>
                <w:szCs w:val="22"/>
              </w:rPr>
              <w:t>'</w:t>
            </w:r>
            <w:r w:rsidRPr="006F4594">
              <w:rPr>
                <w:i/>
                <w:iCs/>
                <w:sz w:val="22"/>
                <w:szCs w:val="22"/>
              </w:rPr>
              <w:t>Assemblée mondiale de normalisation des télécommunications</w:t>
            </w:r>
            <w:r w:rsidR="009C20A7" w:rsidRPr="006F4594">
              <w:rPr>
                <w:i/>
                <w:iCs/>
                <w:sz w:val="22"/>
                <w:szCs w:val="22"/>
              </w:rPr>
              <w:t xml:space="preserve">; </w:t>
            </w:r>
            <w:r w:rsidRPr="006F4594">
              <w:rPr>
                <w:i/>
                <w:iCs/>
                <w:sz w:val="22"/>
                <w:szCs w:val="22"/>
              </w:rPr>
              <w:t xml:space="preserve">Documents </w:t>
            </w:r>
            <w:hyperlink r:id="rId20" w:history="1">
              <w:r w:rsidRPr="006F4594">
                <w:rPr>
                  <w:rStyle w:val="Hyperlink"/>
                  <w:i/>
                  <w:iCs/>
                  <w:sz w:val="22"/>
                  <w:szCs w:val="22"/>
                </w:rPr>
                <w:t>C15/18</w:t>
              </w:r>
            </w:hyperlink>
            <w:r w:rsidRPr="006F4594">
              <w:rPr>
                <w:i/>
                <w:iCs/>
                <w:sz w:val="22"/>
                <w:szCs w:val="22"/>
              </w:rPr>
              <w:t>,</w:t>
            </w:r>
            <w:r w:rsidR="00806F66" w:rsidRPr="006F4594">
              <w:rPr>
                <w:i/>
                <w:iCs/>
                <w:sz w:val="22"/>
                <w:szCs w:val="22"/>
              </w:rPr>
              <w:t xml:space="preserve"> </w:t>
            </w:r>
            <w:hyperlink r:id="rId21" w:history="1">
              <w:r w:rsidRPr="006F4594">
                <w:rPr>
                  <w:rStyle w:val="Hyperlink"/>
                  <w:i/>
                  <w:iCs/>
                  <w:sz w:val="22"/>
                  <w:szCs w:val="22"/>
                </w:rPr>
                <w:t>C16/18</w:t>
              </w:r>
            </w:hyperlink>
            <w:r w:rsidRPr="006F4594">
              <w:rPr>
                <w:i/>
                <w:sz w:val="22"/>
                <w:szCs w:val="22"/>
              </w:rPr>
              <w:t xml:space="preserve">, </w:t>
            </w:r>
            <w:hyperlink r:id="rId22" w:history="1">
              <w:r w:rsidRPr="006F4594">
                <w:rPr>
                  <w:rStyle w:val="Hyperlink"/>
                  <w:i/>
                  <w:iCs/>
                  <w:sz w:val="22"/>
                  <w:szCs w:val="22"/>
                </w:rPr>
                <w:t>C17/18</w:t>
              </w:r>
            </w:hyperlink>
            <w:r w:rsidRPr="006F4594">
              <w:rPr>
                <w:i/>
                <w:iCs/>
                <w:sz w:val="22"/>
                <w:szCs w:val="22"/>
              </w:rPr>
              <w:t xml:space="preserve">, </w:t>
            </w:r>
            <w:hyperlink r:id="rId23" w:history="1">
              <w:r w:rsidRPr="006F4594">
                <w:rPr>
                  <w:rStyle w:val="Hyperlink"/>
                  <w:i/>
                  <w:iCs/>
                  <w:sz w:val="22"/>
                  <w:szCs w:val="22"/>
                </w:rPr>
                <w:t>C18/18</w:t>
              </w:r>
            </w:hyperlink>
            <w:r w:rsidRPr="006F4594">
              <w:rPr>
                <w:i/>
                <w:iCs/>
                <w:sz w:val="22"/>
                <w:szCs w:val="22"/>
              </w:rPr>
              <w:t xml:space="preserve">, </w:t>
            </w:r>
            <w:hyperlink r:id="rId24" w:history="1">
              <w:r w:rsidRPr="006F4594">
                <w:rPr>
                  <w:rStyle w:val="Hyperlink"/>
                  <w:i/>
                  <w:iCs/>
                  <w:sz w:val="22"/>
                  <w:szCs w:val="22"/>
                </w:rPr>
                <w:t>C19/18</w:t>
              </w:r>
            </w:hyperlink>
            <w:r w:rsidRPr="006F4594">
              <w:rPr>
                <w:i/>
                <w:iCs/>
                <w:sz w:val="22"/>
                <w:szCs w:val="22"/>
              </w:rPr>
              <w:t xml:space="preserve">, </w:t>
            </w:r>
            <w:hyperlink r:id="rId25" w:history="1">
              <w:r w:rsidRPr="006F4594">
                <w:rPr>
                  <w:rStyle w:val="Hyperlink"/>
                  <w:i/>
                  <w:iCs/>
                  <w:sz w:val="22"/>
                  <w:szCs w:val="22"/>
                </w:rPr>
                <w:t>C20/18</w:t>
              </w:r>
            </w:hyperlink>
            <w:r w:rsidRPr="006F4594">
              <w:rPr>
                <w:i/>
                <w:iCs/>
                <w:sz w:val="22"/>
                <w:szCs w:val="22"/>
                <w:u w:val="single"/>
              </w:rPr>
              <w:t xml:space="preserve">, </w:t>
            </w:r>
            <w:hyperlink r:id="rId26" w:history="1">
              <w:r w:rsidRPr="006F4594">
                <w:rPr>
                  <w:rStyle w:val="Hyperlink"/>
                  <w:i/>
                  <w:iCs/>
                  <w:sz w:val="22"/>
                  <w:szCs w:val="22"/>
                </w:rPr>
                <w:t>C21/18</w:t>
              </w:r>
            </w:hyperlink>
            <w:r w:rsidRPr="006F4594">
              <w:rPr>
                <w:i/>
                <w:sz w:val="22"/>
                <w:szCs w:val="22"/>
              </w:rPr>
              <w:t xml:space="preserve">, </w:t>
            </w:r>
            <w:hyperlink r:id="rId27" w:history="1">
              <w:r w:rsidRPr="006F4594">
                <w:rPr>
                  <w:rStyle w:val="Hyperlink"/>
                  <w:i/>
                  <w:sz w:val="22"/>
                  <w:szCs w:val="22"/>
                </w:rPr>
                <w:t>C22/18</w:t>
              </w:r>
            </w:hyperlink>
            <w:r w:rsidRPr="006F4594">
              <w:rPr>
                <w:i/>
                <w:iCs/>
                <w:sz w:val="22"/>
                <w:szCs w:val="22"/>
              </w:rPr>
              <w:t xml:space="preserve"> et </w:t>
            </w:r>
            <w:hyperlink r:id="rId28" w:history="1">
              <w:r w:rsidRPr="006F4594">
                <w:rPr>
                  <w:rStyle w:val="Hyperlink"/>
                  <w:i/>
                  <w:sz w:val="22"/>
                  <w:szCs w:val="22"/>
                </w:rPr>
                <w:t>C23/38</w:t>
              </w:r>
            </w:hyperlink>
            <w:bookmarkEnd w:id="0"/>
            <w:r w:rsidRPr="006F4594">
              <w:rPr>
                <w:i/>
                <w:iCs/>
                <w:sz w:val="22"/>
                <w:szCs w:val="22"/>
              </w:rPr>
              <w:t xml:space="preserve"> du Conseil.</w:t>
            </w:r>
          </w:p>
        </w:tc>
      </w:tr>
    </w:tbl>
    <w:p w14:paraId="30B905A0" w14:textId="0790A0F4" w:rsidR="003D6BE6" w:rsidRPr="006F4594" w:rsidRDefault="003D6BE6" w:rsidP="006F4594">
      <w:r w:rsidRPr="006F4594">
        <w:lastRenderedPageBreak/>
        <w:t>Le présent rapport rend compte des activités menées par l</w:t>
      </w:r>
      <w:r w:rsidR="006F4594">
        <w:t>'</w:t>
      </w:r>
      <w:r w:rsidRPr="006F4594">
        <w:t>UIT au titre de la Résolution 130 (Rév. Bucarest, 2022) de la Conférence de plénipotentiaires (PP), du rôle de l</w:t>
      </w:r>
      <w:r w:rsidR="006F4594">
        <w:t>'</w:t>
      </w:r>
      <w:r w:rsidRPr="006F4594">
        <w:t>UIT en tant que coordonnateur unique pour la grande orientation C5 du SMSI et des autres décisions prises par les membres concernant le renforcement du rôle de l</w:t>
      </w:r>
      <w:r w:rsidR="006F4594">
        <w:t>'</w:t>
      </w:r>
      <w:r w:rsidRPr="006F4594">
        <w:t>UIT dans l</w:t>
      </w:r>
      <w:r w:rsidR="006F4594">
        <w:t>'</w:t>
      </w:r>
      <w:r w:rsidRPr="006F4594">
        <w:t>instauration de la confiance et de la sécurité dans l</w:t>
      </w:r>
      <w:r w:rsidR="006F4594">
        <w:t>'</w:t>
      </w:r>
      <w:r w:rsidRPr="006F4594">
        <w:t>utilisation des TIC.</w:t>
      </w:r>
    </w:p>
    <w:p w14:paraId="1482BC95" w14:textId="12030CC3" w:rsidR="003D6BE6" w:rsidRPr="006F4594" w:rsidRDefault="003D6BE6" w:rsidP="006F4594">
      <w:pPr>
        <w:rPr>
          <w:rFonts w:asciiTheme="minorHAnsi" w:eastAsia="SimSun" w:hAnsiTheme="minorHAnsi" w:cstheme="minorBidi"/>
          <w:szCs w:val="24"/>
        </w:rPr>
      </w:pPr>
      <w:r w:rsidRPr="006F4594">
        <w:t>Le présent rapport, structuré d</w:t>
      </w:r>
      <w:r w:rsidR="006F4594">
        <w:t>'</w:t>
      </w:r>
      <w:r w:rsidRPr="006F4594">
        <w:t>après les cinq piliers du Programme mondial cybersécurité (GCA), fait apparaître la complémentarité des programmes de travail existants de l</w:t>
      </w:r>
      <w:r w:rsidR="006F4594">
        <w:t>'</w:t>
      </w:r>
      <w:r w:rsidRPr="006F4594">
        <w:t>UIT, y</w:t>
      </w:r>
      <w:r w:rsidR="00806F66" w:rsidRPr="006F4594">
        <w:t> </w:t>
      </w:r>
      <w:r w:rsidRPr="006F4594">
        <w:t>compris des activités menées par le BDT, le TSB et le BR dans ce domaine.</w:t>
      </w:r>
    </w:p>
    <w:p w14:paraId="3ACB6D6B" w14:textId="7DCA5233" w:rsidR="003D6BE6" w:rsidRPr="006F4594" w:rsidRDefault="003D6BE6" w:rsidP="006F4594">
      <w:pPr>
        <w:pStyle w:val="Heading1"/>
        <w:rPr>
          <w:rFonts w:eastAsia="SimSun"/>
        </w:rPr>
      </w:pPr>
      <w:r w:rsidRPr="006F4594">
        <w:rPr>
          <w:rFonts w:eastAsia="SimSun"/>
        </w:rPr>
        <w:t>1</w:t>
      </w:r>
      <w:r w:rsidRPr="006F4594">
        <w:rPr>
          <w:rFonts w:eastAsia="SimSun"/>
        </w:rPr>
        <w:tab/>
      </w:r>
      <w:r w:rsidR="00CD1247" w:rsidRPr="006F4594">
        <w:rPr>
          <w:rFonts w:eastAsia="SimSun"/>
        </w:rPr>
        <w:t>Mesures juridiques</w:t>
      </w:r>
    </w:p>
    <w:p w14:paraId="6F8B49CF" w14:textId="269C13F0" w:rsidR="00E86511" w:rsidRPr="006F4594" w:rsidRDefault="00E86511" w:rsidP="006F4594">
      <w:pPr>
        <w:rPr>
          <w:rFonts w:eastAsia="SimSun"/>
          <w:lang w:eastAsia="zh-CN"/>
        </w:rPr>
      </w:pPr>
      <w:r w:rsidRPr="006F4594">
        <w:rPr>
          <w:rFonts w:eastAsia="SimSun"/>
          <w:lang w:eastAsia="zh-CN"/>
        </w:rPr>
        <w:t>Dans le cadre de la Priorité 5 du Secteur du développement des télécommunications de l</w:t>
      </w:r>
      <w:r w:rsidR="006F4594">
        <w:rPr>
          <w:rFonts w:eastAsia="SimSun"/>
          <w:lang w:eastAsia="zh-CN"/>
        </w:rPr>
        <w:t>'</w:t>
      </w:r>
      <w:r w:rsidRPr="006F4594">
        <w:rPr>
          <w:rFonts w:eastAsia="SimSun"/>
          <w:lang w:eastAsia="zh-CN"/>
        </w:rPr>
        <w:t>UIT (UIT-D) définie dans le Plan d</w:t>
      </w:r>
      <w:r w:rsidR="006F4594">
        <w:rPr>
          <w:rFonts w:eastAsia="SimSun"/>
          <w:lang w:eastAsia="zh-CN"/>
        </w:rPr>
        <w:t>'</w:t>
      </w:r>
      <w:r w:rsidRPr="006F4594">
        <w:rPr>
          <w:rFonts w:eastAsia="SimSun"/>
          <w:lang w:eastAsia="zh-CN"/>
        </w:rPr>
        <w:t>action de Kigali, et compte tenu de la Question 3/2 confiée à la Commission d</w:t>
      </w:r>
      <w:r w:rsidR="006F4594">
        <w:rPr>
          <w:rFonts w:eastAsia="SimSun"/>
          <w:lang w:eastAsia="zh-CN"/>
        </w:rPr>
        <w:t>'</w:t>
      </w:r>
      <w:r w:rsidRPr="006F4594">
        <w:rPr>
          <w:rFonts w:eastAsia="SimSun"/>
          <w:lang w:eastAsia="zh-CN"/>
        </w:rPr>
        <w:t>études 2 de l</w:t>
      </w:r>
      <w:r w:rsidR="006F4594">
        <w:rPr>
          <w:rFonts w:eastAsia="SimSun"/>
          <w:lang w:eastAsia="zh-CN"/>
        </w:rPr>
        <w:t>'</w:t>
      </w:r>
      <w:r w:rsidRPr="006F4594">
        <w:rPr>
          <w:rFonts w:eastAsia="SimSun"/>
          <w:lang w:eastAsia="zh-CN"/>
        </w:rPr>
        <w:t>UIT-D, l</w:t>
      </w:r>
      <w:r w:rsidR="006F4594">
        <w:rPr>
          <w:rFonts w:eastAsia="SimSun"/>
          <w:lang w:eastAsia="zh-CN"/>
        </w:rPr>
        <w:t>'</w:t>
      </w:r>
      <w:r w:rsidRPr="006F4594">
        <w:rPr>
          <w:rFonts w:eastAsia="SimSun"/>
          <w:lang w:eastAsia="zh-CN"/>
        </w:rPr>
        <w:t xml:space="preserve">UIT aide les États Membres à comprendre les aspects juridiques de la cybersécurité, en mettant à leur disposition ses </w:t>
      </w:r>
      <w:hyperlink r:id="rId29" w:history="1">
        <w:r w:rsidRPr="006F4594">
          <w:rPr>
            <w:rStyle w:val="Hyperlink"/>
            <w:rFonts w:asciiTheme="minorHAnsi" w:eastAsia="SimSun" w:hAnsiTheme="minorHAnsi" w:cstheme="minorBidi"/>
            <w:szCs w:val="24"/>
            <w:lang w:eastAsia="zh-CN"/>
          </w:rPr>
          <w:t>ressour</w:t>
        </w:r>
        <w:r w:rsidRPr="006F4594">
          <w:rPr>
            <w:rStyle w:val="Hyperlink"/>
            <w:rFonts w:asciiTheme="minorHAnsi" w:eastAsia="SimSun" w:hAnsiTheme="minorHAnsi" w:cstheme="minorBidi"/>
            <w:szCs w:val="24"/>
            <w:lang w:eastAsia="zh-CN"/>
          </w:rPr>
          <w:t>c</w:t>
        </w:r>
        <w:r w:rsidRPr="006F4594">
          <w:rPr>
            <w:rStyle w:val="Hyperlink"/>
            <w:rFonts w:asciiTheme="minorHAnsi" w:eastAsia="SimSun" w:hAnsiTheme="minorHAnsi" w:cstheme="minorBidi"/>
            <w:szCs w:val="24"/>
            <w:lang w:eastAsia="zh-CN"/>
          </w:rPr>
          <w:t>es sur la législation relative à la cybercriminalité</w:t>
        </w:r>
      </w:hyperlink>
      <w:r w:rsidRPr="006F4594">
        <w:rPr>
          <w:rFonts w:eastAsia="SimSun"/>
          <w:lang w:eastAsia="zh-CN"/>
        </w:rPr>
        <w:t>. L</w:t>
      </w:r>
      <w:r w:rsidR="006F4594">
        <w:rPr>
          <w:rFonts w:eastAsia="SimSun"/>
          <w:lang w:eastAsia="zh-CN"/>
        </w:rPr>
        <w:t>'</w:t>
      </w:r>
      <w:r w:rsidRPr="006F4594">
        <w:rPr>
          <w:rFonts w:eastAsia="SimSun"/>
          <w:lang w:eastAsia="zh-CN"/>
        </w:rPr>
        <w:t>UIT collabore étroitement avec des partenaires tels que l</w:t>
      </w:r>
      <w:r w:rsidR="006F4594">
        <w:rPr>
          <w:rFonts w:eastAsia="SimSun"/>
          <w:lang w:eastAsia="zh-CN"/>
        </w:rPr>
        <w:t>'</w:t>
      </w:r>
      <w:r w:rsidRPr="006F4594">
        <w:rPr>
          <w:rFonts w:eastAsia="SimSun"/>
          <w:lang w:eastAsia="zh-CN"/>
        </w:rPr>
        <w:t>Office des Nations Unies contre la drogue et le crime (ONUDC).</w:t>
      </w:r>
    </w:p>
    <w:p w14:paraId="69CB6DA4" w14:textId="29BE1F7A" w:rsidR="003D6BE6" w:rsidRPr="006F4594" w:rsidRDefault="003D6BE6" w:rsidP="006F4594">
      <w:pPr>
        <w:pStyle w:val="Heading1"/>
        <w:rPr>
          <w:rFonts w:eastAsia="SimSun"/>
          <w:lang w:eastAsia="zh-CN"/>
        </w:rPr>
      </w:pPr>
      <w:r w:rsidRPr="006F4594">
        <w:rPr>
          <w:rFonts w:eastAsia="SimSun"/>
          <w:lang w:eastAsia="zh-CN"/>
        </w:rPr>
        <w:t>2</w:t>
      </w:r>
      <w:r w:rsidRPr="006F4594">
        <w:rPr>
          <w:rFonts w:eastAsia="SimSun" w:cs="Arial"/>
          <w:lang w:eastAsia="zh-CN"/>
        </w:rPr>
        <w:tab/>
      </w:r>
      <w:r w:rsidR="00E86511" w:rsidRPr="006F4594">
        <w:rPr>
          <w:rFonts w:eastAsia="SimSun"/>
          <w:lang w:eastAsia="zh-CN"/>
        </w:rPr>
        <w:t>Mesures techniques et de procédure</w:t>
      </w:r>
    </w:p>
    <w:p w14:paraId="38A4512F" w14:textId="1D3B267F" w:rsidR="00E86511" w:rsidRPr="006F4594" w:rsidRDefault="003D6BE6" w:rsidP="006F4594">
      <w:pPr>
        <w:rPr>
          <w:rFonts w:asciiTheme="minorHAnsi" w:eastAsia="SimSun" w:hAnsiTheme="minorHAnsi" w:cstheme="minorBidi"/>
          <w:b/>
          <w:lang w:eastAsia="zh-CN"/>
        </w:rPr>
      </w:pPr>
      <w:r w:rsidRPr="006F4594">
        <w:rPr>
          <w:rFonts w:eastAsia="SimSun"/>
        </w:rPr>
        <w:t>2.1</w:t>
      </w:r>
      <w:r w:rsidRPr="006F4594">
        <w:rPr>
          <w:rFonts w:eastAsia="SimSun"/>
        </w:rPr>
        <w:tab/>
      </w:r>
      <w:r w:rsidR="00E86511" w:rsidRPr="006F4594">
        <w:rPr>
          <w:rFonts w:eastAsia="SimSun"/>
        </w:rPr>
        <w:t xml:space="preserve">La </w:t>
      </w:r>
      <w:hyperlink r:id="rId30" w:history="1">
        <w:r w:rsidR="00E86511" w:rsidRPr="006F4594">
          <w:rPr>
            <w:rStyle w:val="Hyperlink"/>
            <w:rFonts w:eastAsia="SimSun"/>
          </w:rPr>
          <w:t>Commission d</w:t>
        </w:r>
        <w:r w:rsidR="006F4594">
          <w:rPr>
            <w:rStyle w:val="Hyperlink"/>
            <w:rFonts w:eastAsia="SimSun"/>
          </w:rPr>
          <w:t>'</w:t>
        </w:r>
        <w:r w:rsidR="00E86511" w:rsidRPr="006F4594">
          <w:rPr>
            <w:rStyle w:val="Hyperlink"/>
            <w:rFonts w:eastAsia="SimSun"/>
          </w:rPr>
          <w:t>études 17 de</w:t>
        </w:r>
        <w:r w:rsidR="00E86511" w:rsidRPr="006F4594">
          <w:rPr>
            <w:rStyle w:val="Hyperlink"/>
            <w:rFonts w:eastAsia="SimSun"/>
          </w:rPr>
          <w:t xml:space="preserve"> </w:t>
        </w:r>
        <w:r w:rsidR="00E86511" w:rsidRPr="006F4594">
          <w:rPr>
            <w:rStyle w:val="Hyperlink"/>
            <w:rFonts w:eastAsia="SimSun"/>
          </w:rPr>
          <w:t>l</w:t>
        </w:r>
        <w:r w:rsidR="006F4594">
          <w:rPr>
            <w:rStyle w:val="Hyperlink"/>
            <w:rFonts w:eastAsia="SimSun"/>
          </w:rPr>
          <w:t>'</w:t>
        </w:r>
        <w:r w:rsidR="00E86511" w:rsidRPr="006F4594">
          <w:rPr>
            <w:rStyle w:val="Hyperlink"/>
            <w:rFonts w:eastAsia="SimSun"/>
          </w:rPr>
          <w:t>UIT-T</w:t>
        </w:r>
        <w:r w:rsidRPr="006F4594">
          <w:rPr>
            <w:rStyle w:val="Hyperlink"/>
            <w:rFonts w:eastAsia="SimSun"/>
          </w:rPr>
          <w:t xml:space="preserve"> (</w:t>
        </w:r>
        <w:r w:rsidR="00E86511" w:rsidRPr="006F4594">
          <w:rPr>
            <w:rStyle w:val="Hyperlink"/>
            <w:rFonts w:eastAsia="SimSun"/>
          </w:rPr>
          <w:t>CE </w:t>
        </w:r>
        <w:r w:rsidRPr="006F4594">
          <w:rPr>
            <w:rStyle w:val="Hyperlink"/>
            <w:rFonts w:eastAsia="SimSun"/>
          </w:rPr>
          <w:t>17)</w:t>
        </w:r>
      </w:hyperlink>
      <w:bookmarkStart w:id="1" w:name="_Hlk63164174"/>
      <w:r w:rsidRPr="006F4594">
        <w:rPr>
          <w:rFonts w:asciiTheme="minorHAnsi" w:eastAsia="SimSun" w:hAnsiTheme="minorHAnsi" w:cstheme="minorBidi"/>
          <w:lang w:eastAsia="zh-CN"/>
        </w:rPr>
        <w:t xml:space="preserve"> </w:t>
      </w:r>
      <w:r w:rsidR="00E86511" w:rsidRPr="006F4594">
        <w:rPr>
          <w:rFonts w:asciiTheme="minorHAnsi" w:eastAsia="SimSun" w:hAnsiTheme="minorHAnsi" w:cstheme="minorBidi"/>
          <w:lang w:eastAsia="zh-CN"/>
        </w:rPr>
        <w:t>a tenu deux réunions en août/septembre</w:t>
      </w:r>
      <w:r w:rsidR="0020077B" w:rsidRPr="006F4594">
        <w:rPr>
          <w:rFonts w:asciiTheme="minorHAnsi" w:eastAsia="SimSun" w:hAnsiTheme="minorHAnsi" w:cstheme="minorBidi"/>
          <w:lang w:eastAsia="zh-CN"/>
        </w:rPr>
        <w:t> </w:t>
      </w:r>
      <w:r w:rsidR="00E86511" w:rsidRPr="006F4594">
        <w:rPr>
          <w:rFonts w:asciiTheme="minorHAnsi" w:eastAsia="SimSun" w:hAnsiTheme="minorHAnsi" w:cstheme="minorBidi"/>
          <w:lang w:eastAsia="zh-CN"/>
        </w:rPr>
        <w:t xml:space="preserve">2023 et en février/mars 2024, lors desquelles elle a établi 82 </w:t>
      </w:r>
      <w:hyperlink r:id="rId31" w:history="1">
        <w:r w:rsidR="00E86511" w:rsidRPr="006F4594">
          <w:rPr>
            <w:rStyle w:val="Hyperlink"/>
            <w:rFonts w:asciiTheme="minorHAnsi" w:eastAsia="SimSun" w:hAnsiTheme="minorHAnsi" w:cstheme="minorBidi"/>
            <w:lang w:eastAsia="zh-CN"/>
          </w:rPr>
          <w:t>nou</w:t>
        </w:r>
        <w:r w:rsidR="00E86511" w:rsidRPr="006F4594">
          <w:rPr>
            <w:rStyle w:val="Hyperlink"/>
            <w:rFonts w:asciiTheme="minorHAnsi" w:eastAsia="SimSun" w:hAnsiTheme="minorHAnsi" w:cstheme="minorBidi"/>
            <w:lang w:eastAsia="zh-CN"/>
          </w:rPr>
          <w:t>v</w:t>
        </w:r>
        <w:r w:rsidR="00E86511" w:rsidRPr="006F4594">
          <w:rPr>
            <w:rStyle w:val="Hyperlink"/>
            <w:rFonts w:asciiTheme="minorHAnsi" w:eastAsia="SimSun" w:hAnsiTheme="minorHAnsi" w:cstheme="minorBidi"/>
            <w:lang w:eastAsia="zh-CN"/>
          </w:rPr>
          <w:t>eaux sujets d</w:t>
        </w:r>
        <w:r w:rsidR="006F4594">
          <w:rPr>
            <w:rStyle w:val="Hyperlink"/>
            <w:rFonts w:asciiTheme="minorHAnsi" w:eastAsia="SimSun" w:hAnsiTheme="minorHAnsi" w:cstheme="minorBidi"/>
            <w:lang w:eastAsia="zh-CN"/>
          </w:rPr>
          <w:t>'</w:t>
        </w:r>
        <w:r w:rsidR="00E86511" w:rsidRPr="006F4594">
          <w:rPr>
            <w:rStyle w:val="Hyperlink"/>
            <w:rFonts w:asciiTheme="minorHAnsi" w:eastAsia="SimSun" w:hAnsiTheme="minorHAnsi" w:cstheme="minorBidi"/>
            <w:lang w:eastAsia="zh-CN"/>
          </w:rPr>
          <w:t xml:space="preserve">étude en </w:t>
        </w:r>
        <w:r w:rsidR="00201AE9" w:rsidRPr="006F4594">
          <w:rPr>
            <w:rStyle w:val="Hyperlink"/>
            <w:rFonts w:asciiTheme="minorHAnsi" w:eastAsia="SimSun" w:hAnsiTheme="minorHAnsi" w:cstheme="minorBidi"/>
            <w:lang w:eastAsia="zh-CN"/>
          </w:rPr>
          <w:t>matière</w:t>
        </w:r>
        <w:r w:rsidR="00E86511" w:rsidRPr="006F4594">
          <w:rPr>
            <w:rStyle w:val="Hyperlink"/>
            <w:rFonts w:asciiTheme="minorHAnsi" w:eastAsia="SimSun" w:hAnsiTheme="minorHAnsi" w:cstheme="minorBidi"/>
            <w:lang w:eastAsia="zh-CN"/>
          </w:rPr>
          <w:t xml:space="preserve"> de normalisation et approuvé 25 Recommandations nouvelles ou révisées sur la sécurité de la 5G, l</w:t>
        </w:r>
        <w:r w:rsidR="006F4594">
          <w:rPr>
            <w:rStyle w:val="Hyperlink"/>
            <w:rFonts w:asciiTheme="minorHAnsi" w:eastAsia="SimSun" w:hAnsiTheme="minorHAnsi" w:cstheme="minorBidi"/>
            <w:lang w:eastAsia="zh-CN"/>
          </w:rPr>
          <w:t>'</w:t>
        </w:r>
        <w:r w:rsidR="00E86511" w:rsidRPr="006F4594">
          <w:rPr>
            <w:rStyle w:val="Hyperlink"/>
            <w:rFonts w:asciiTheme="minorHAnsi" w:eastAsia="SimSun" w:hAnsiTheme="minorHAnsi" w:cstheme="minorBidi"/>
            <w:lang w:eastAsia="zh-CN"/>
          </w:rPr>
          <w:t>informatique en nuage,</w:t>
        </w:r>
        <w:r w:rsidR="00F86873" w:rsidRPr="006F4594">
          <w:rPr>
            <w:rStyle w:val="Hyperlink"/>
            <w:rFonts w:asciiTheme="minorHAnsi" w:eastAsia="SimSun" w:hAnsiTheme="minorHAnsi" w:cstheme="minorBidi"/>
            <w:lang w:eastAsia="zh-CN"/>
          </w:rPr>
          <w:t xml:space="preserve"> l</w:t>
        </w:r>
        <w:r w:rsidR="006F4594">
          <w:rPr>
            <w:rStyle w:val="Hyperlink"/>
            <w:rFonts w:asciiTheme="minorHAnsi" w:eastAsia="SimSun" w:hAnsiTheme="minorHAnsi" w:cstheme="minorBidi"/>
            <w:lang w:eastAsia="zh-CN"/>
          </w:rPr>
          <w:t>'</w:t>
        </w:r>
        <w:r w:rsidR="00F86873" w:rsidRPr="006F4594">
          <w:rPr>
            <w:rStyle w:val="Hyperlink"/>
            <w:rFonts w:asciiTheme="minorHAnsi" w:eastAsia="SimSun" w:hAnsiTheme="minorHAnsi" w:cstheme="minorBidi"/>
            <w:lang w:eastAsia="zh-CN"/>
          </w:rPr>
          <w:t>Internet des objets,</w:t>
        </w:r>
        <w:r w:rsidR="00E86511" w:rsidRPr="006F4594">
          <w:rPr>
            <w:rStyle w:val="Hyperlink"/>
            <w:rFonts w:asciiTheme="minorHAnsi" w:eastAsia="SimSun" w:hAnsiTheme="minorHAnsi" w:cstheme="minorBidi"/>
            <w:lang w:eastAsia="zh-CN"/>
          </w:rPr>
          <w:t xml:space="preserve"> </w:t>
        </w:r>
        <w:r w:rsidR="00201AE9" w:rsidRPr="006F4594">
          <w:rPr>
            <w:rStyle w:val="Hyperlink"/>
            <w:rFonts w:asciiTheme="minorHAnsi" w:eastAsia="SimSun" w:hAnsiTheme="minorHAnsi" w:cstheme="minorBidi"/>
            <w:lang w:eastAsia="zh-CN"/>
          </w:rPr>
          <w:t>les</w:t>
        </w:r>
        <w:r w:rsidR="00E86511" w:rsidRPr="006F4594">
          <w:rPr>
            <w:rStyle w:val="Hyperlink"/>
            <w:rFonts w:asciiTheme="minorHAnsi" w:eastAsia="SimSun" w:hAnsiTheme="minorHAnsi" w:cstheme="minorBidi"/>
            <w:lang w:eastAsia="zh-CN"/>
          </w:rPr>
          <w:t xml:space="preserve"> systèmes de transport intelligents (ITS), </w:t>
        </w:r>
        <w:r w:rsidR="00201AE9" w:rsidRPr="006F4594">
          <w:rPr>
            <w:rStyle w:val="Hyperlink"/>
            <w:rFonts w:asciiTheme="minorHAnsi" w:eastAsia="SimSun" w:hAnsiTheme="minorHAnsi" w:cstheme="minorBidi"/>
            <w:lang w:eastAsia="zh-CN"/>
          </w:rPr>
          <w:t>les</w:t>
        </w:r>
        <w:r w:rsidR="00E86511" w:rsidRPr="006F4594">
          <w:rPr>
            <w:rStyle w:val="Hyperlink"/>
            <w:rFonts w:asciiTheme="minorHAnsi" w:eastAsia="SimSun" w:hAnsiTheme="minorHAnsi" w:cstheme="minorBidi"/>
            <w:lang w:eastAsia="zh-CN"/>
          </w:rPr>
          <w:t xml:space="preserve"> réseaux de jumeaux numériques, la distribution de clés quantiques, l</w:t>
        </w:r>
        <w:r w:rsidR="006F4594">
          <w:rPr>
            <w:rStyle w:val="Hyperlink"/>
            <w:rFonts w:asciiTheme="minorHAnsi" w:eastAsia="SimSun" w:hAnsiTheme="minorHAnsi" w:cstheme="minorBidi"/>
            <w:lang w:eastAsia="zh-CN"/>
          </w:rPr>
          <w:t>'</w:t>
        </w:r>
        <w:r w:rsidR="00E86511" w:rsidRPr="006F4594">
          <w:rPr>
            <w:rStyle w:val="Hyperlink"/>
            <w:rFonts w:asciiTheme="minorHAnsi" w:eastAsia="SimSun" w:hAnsiTheme="minorHAnsi" w:cstheme="minorBidi"/>
            <w:lang w:eastAsia="zh-CN"/>
          </w:rPr>
          <w:t xml:space="preserve">authentification, </w:t>
        </w:r>
        <w:r w:rsidR="00201AE9" w:rsidRPr="006F4594">
          <w:rPr>
            <w:rStyle w:val="Hyperlink"/>
            <w:rFonts w:asciiTheme="minorHAnsi" w:eastAsia="SimSun" w:hAnsiTheme="minorHAnsi" w:cstheme="minorBidi"/>
            <w:lang w:eastAsia="zh-CN"/>
          </w:rPr>
          <w:t>les</w:t>
        </w:r>
        <w:r w:rsidR="00E86511" w:rsidRPr="006F4594">
          <w:rPr>
            <w:rStyle w:val="Hyperlink"/>
            <w:rFonts w:asciiTheme="minorHAnsi" w:eastAsia="SimSun" w:hAnsiTheme="minorHAnsi" w:cstheme="minorBidi"/>
            <w:lang w:eastAsia="zh-CN"/>
          </w:rPr>
          <w:t xml:space="preserve"> services financiers numériques et d</w:t>
        </w:r>
        <w:r w:rsidR="006F4594">
          <w:rPr>
            <w:rStyle w:val="Hyperlink"/>
            <w:rFonts w:asciiTheme="minorHAnsi" w:eastAsia="SimSun" w:hAnsiTheme="minorHAnsi" w:cstheme="minorBidi"/>
            <w:lang w:eastAsia="zh-CN"/>
          </w:rPr>
          <w:t>'</w:t>
        </w:r>
        <w:r w:rsidR="00E86511" w:rsidRPr="006F4594">
          <w:rPr>
            <w:rStyle w:val="Hyperlink"/>
            <w:rFonts w:asciiTheme="minorHAnsi" w:eastAsia="SimSun" w:hAnsiTheme="minorHAnsi" w:cstheme="minorBidi"/>
            <w:lang w:eastAsia="zh-CN"/>
          </w:rPr>
          <w:t>autres services intelligents</w:t>
        </w:r>
      </w:hyperlink>
      <w:r w:rsidR="00E86511" w:rsidRPr="006F4594">
        <w:rPr>
          <w:rFonts w:asciiTheme="minorHAnsi" w:eastAsia="SimSun" w:hAnsiTheme="minorHAnsi" w:cstheme="minorBidi"/>
          <w:lang w:eastAsia="zh-CN"/>
        </w:rPr>
        <w:t>. Les</w:t>
      </w:r>
      <w:r w:rsidR="0020077B" w:rsidRPr="006F4594">
        <w:rPr>
          <w:rFonts w:asciiTheme="minorHAnsi" w:eastAsia="SimSun" w:hAnsiTheme="minorHAnsi" w:cstheme="minorBidi"/>
          <w:lang w:eastAsia="zh-CN"/>
        </w:rPr>
        <w:t xml:space="preserve"> </w:t>
      </w:r>
      <w:r w:rsidR="00E86511" w:rsidRPr="006F4594">
        <w:rPr>
          <w:rFonts w:asciiTheme="minorHAnsi" w:eastAsia="SimSun" w:hAnsiTheme="minorHAnsi" w:cstheme="minorBidi"/>
          <w:lang w:eastAsia="zh-CN"/>
        </w:rPr>
        <w:t>CE</w:t>
      </w:r>
      <w:r w:rsidR="0020077B" w:rsidRPr="006F4594">
        <w:rPr>
          <w:rFonts w:asciiTheme="minorHAnsi" w:eastAsia="SimSun" w:hAnsiTheme="minorHAnsi" w:cstheme="minorBidi"/>
          <w:lang w:eastAsia="zh-CN"/>
        </w:rPr>
        <w:t xml:space="preserve"> </w:t>
      </w:r>
      <w:r w:rsidR="00E86511" w:rsidRPr="006F4594">
        <w:rPr>
          <w:rFonts w:asciiTheme="minorHAnsi" w:eastAsia="SimSun" w:hAnsiTheme="minorHAnsi" w:cstheme="minorBidi"/>
          <w:lang w:eastAsia="zh-CN"/>
        </w:rPr>
        <w:t>5, 11, 13, 16 et 20 de l</w:t>
      </w:r>
      <w:r w:rsidR="006F4594">
        <w:rPr>
          <w:rFonts w:asciiTheme="minorHAnsi" w:eastAsia="SimSun" w:hAnsiTheme="minorHAnsi" w:cstheme="minorBidi"/>
          <w:lang w:eastAsia="zh-CN"/>
        </w:rPr>
        <w:t>'</w:t>
      </w:r>
      <w:r w:rsidR="00E86511" w:rsidRPr="006F4594">
        <w:rPr>
          <w:rFonts w:asciiTheme="minorHAnsi" w:eastAsia="SimSun" w:hAnsiTheme="minorHAnsi" w:cstheme="minorBidi"/>
          <w:lang w:eastAsia="zh-CN"/>
        </w:rPr>
        <w:t xml:space="preserve">UIT-T ont également approuvé des Recommandations relatives à la sécurité des TIC (voir le </w:t>
      </w:r>
      <w:hyperlink r:id="rId32" w:history="1">
        <w:r w:rsidR="00E86511" w:rsidRPr="006F4594">
          <w:rPr>
            <w:rStyle w:val="Hyperlink"/>
            <w:rFonts w:asciiTheme="minorHAnsi" w:eastAsia="SimSun" w:hAnsiTheme="minorHAnsi" w:cstheme="minorBidi"/>
            <w:lang w:eastAsia="zh-CN"/>
          </w:rPr>
          <w:t>catalogue</w:t>
        </w:r>
        <w:r w:rsidR="00E86511" w:rsidRPr="006F4594">
          <w:rPr>
            <w:rStyle w:val="Hyperlink"/>
            <w:rFonts w:asciiTheme="minorHAnsi" w:eastAsia="SimSun" w:hAnsiTheme="minorHAnsi" w:cstheme="minorBidi"/>
            <w:lang w:eastAsia="zh-CN"/>
          </w:rPr>
          <w:t xml:space="preserve"> </w:t>
        </w:r>
        <w:r w:rsidR="00E86511" w:rsidRPr="006F4594">
          <w:rPr>
            <w:rStyle w:val="Hyperlink"/>
            <w:rFonts w:asciiTheme="minorHAnsi" w:eastAsia="SimSun" w:hAnsiTheme="minorHAnsi" w:cstheme="minorBidi"/>
            <w:lang w:eastAsia="zh-CN"/>
          </w:rPr>
          <w:t>des Recommandations</w:t>
        </w:r>
        <w:r w:rsidR="0020077B" w:rsidRPr="006F4594">
          <w:rPr>
            <w:rStyle w:val="Hyperlink"/>
            <w:rFonts w:asciiTheme="minorHAnsi" w:eastAsia="SimSun" w:hAnsiTheme="minorHAnsi" w:cstheme="minorBidi"/>
            <w:lang w:eastAsia="zh-CN"/>
          </w:rPr>
          <w:t> </w:t>
        </w:r>
        <w:r w:rsidR="00E86511" w:rsidRPr="006F4594">
          <w:rPr>
            <w:rStyle w:val="Hyperlink"/>
            <w:rFonts w:asciiTheme="minorHAnsi" w:eastAsia="SimSun" w:hAnsiTheme="minorHAnsi" w:cstheme="minorBidi"/>
            <w:lang w:eastAsia="zh-CN"/>
          </w:rPr>
          <w:t>UIT-T</w:t>
        </w:r>
      </w:hyperlink>
      <w:r w:rsidR="00E86511" w:rsidRPr="006F4594">
        <w:rPr>
          <w:rFonts w:asciiTheme="minorHAnsi" w:eastAsia="SimSun" w:hAnsiTheme="minorHAnsi" w:cstheme="minorBidi"/>
          <w:lang w:eastAsia="zh-CN"/>
        </w:rPr>
        <w:t>) dans plusieurs domaines dont l</w:t>
      </w:r>
      <w:r w:rsidR="006F4594">
        <w:rPr>
          <w:rFonts w:asciiTheme="minorHAnsi" w:eastAsia="SimSun" w:hAnsiTheme="minorHAnsi" w:cstheme="minorBidi"/>
          <w:lang w:eastAsia="zh-CN"/>
        </w:rPr>
        <w:t>'</w:t>
      </w:r>
      <w:r w:rsidR="00E86511" w:rsidRPr="006F4594">
        <w:rPr>
          <w:rFonts w:asciiTheme="minorHAnsi" w:eastAsia="SimSun" w:hAnsiTheme="minorHAnsi" w:cstheme="minorBidi"/>
          <w:lang w:eastAsia="zh-CN"/>
        </w:rPr>
        <w:t>économie circulaire, la sécurité électromagnétique, les procédures et protocoles de signalisation, l</w:t>
      </w:r>
      <w:r w:rsidR="006F4594">
        <w:rPr>
          <w:rFonts w:asciiTheme="minorHAnsi" w:eastAsia="SimSun" w:hAnsiTheme="minorHAnsi" w:cstheme="minorBidi"/>
          <w:lang w:eastAsia="zh-CN"/>
        </w:rPr>
        <w:t>'</w:t>
      </w:r>
      <w:r w:rsidR="00E86511" w:rsidRPr="006F4594">
        <w:rPr>
          <w:rFonts w:asciiTheme="minorHAnsi" w:eastAsia="SimSun" w:hAnsiTheme="minorHAnsi" w:cstheme="minorBidi"/>
          <w:lang w:eastAsia="zh-CN"/>
        </w:rPr>
        <w:t>informatique en nuage, les réseaux de distribution de clés quantiques, la confiance dans les TIC, le système</w:t>
      </w:r>
      <w:r w:rsidR="0020077B" w:rsidRPr="006F4594">
        <w:rPr>
          <w:rFonts w:asciiTheme="minorHAnsi" w:eastAsia="SimSun" w:hAnsiTheme="minorHAnsi" w:cstheme="minorBidi"/>
          <w:lang w:eastAsia="zh-CN"/>
        </w:rPr>
        <w:t> </w:t>
      </w:r>
      <w:r w:rsidR="00E86511" w:rsidRPr="006F4594">
        <w:rPr>
          <w:rFonts w:asciiTheme="minorHAnsi" w:eastAsia="SimSun" w:hAnsiTheme="minorHAnsi" w:cstheme="minorBidi"/>
          <w:lang w:eastAsia="zh-CN"/>
        </w:rPr>
        <w:t>JPEG</w:t>
      </w:r>
      <w:r w:rsidR="0020077B" w:rsidRPr="006F4594">
        <w:rPr>
          <w:rFonts w:asciiTheme="minorHAnsi" w:eastAsia="SimSun" w:hAnsiTheme="minorHAnsi" w:cstheme="minorBidi"/>
          <w:lang w:eastAsia="zh-CN"/>
        </w:rPr>
        <w:t> </w:t>
      </w:r>
      <w:r w:rsidR="00E86511" w:rsidRPr="006F4594">
        <w:rPr>
          <w:rFonts w:asciiTheme="minorHAnsi" w:eastAsia="SimSun" w:hAnsiTheme="minorHAnsi" w:cstheme="minorBidi"/>
          <w:lang w:eastAsia="zh-CN"/>
        </w:rPr>
        <w:t>2000 et les solutions de sécurité oneM2M.</w:t>
      </w:r>
    </w:p>
    <w:bookmarkEnd w:id="1"/>
    <w:p w14:paraId="7EFA1E66" w14:textId="364C7251" w:rsidR="009B2DFF" w:rsidRPr="006F4594" w:rsidRDefault="003D6BE6" w:rsidP="006F4594">
      <w:pPr>
        <w:rPr>
          <w:rFonts w:eastAsia="Calibri" w:cs="Calibri"/>
          <w:szCs w:val="24"/>
        </w:rPr>
      </w:pPr>
      <w:r w:rsidRPr="006F4594">
        <w:rPr>
          <w:rFonts w:asciiTheme="minorHAnsi" w:eastAsia="SimSun" w:hAnsiTheme="minorHAnsi" w:cstheme="minorBidi"/>
        </w:rPr>
        <w:t>2.2</w:t>
      </w:r>
      <w:r w:rsidRPr="006F4594">
        <w:rPr>
          <w:rFonts w:asciiTheme="minorHAnsi" w:eastAsia="SimSun" w:hAnsiTheme="minorHAnsi" w:cstheme="minorBidi"/>
        </w:rPr>
        <w:tab/>
      </w:r>
      <w:r w:rsidR="009B2DFF" w:rsidRPr="006F4594">
        <w:t>Dans le cadre de leurs travaux, plusieurs groupes spécialisés de l</w:t>
      </w:r>
      <w:r w:rsidR="006F4594">
        <w:t>'</w:t>
      </w:r>
      <w:r w:rsidR="009B2DFF" w:rsidRPr="006F4594">
        <w:t xml:space="preserve">UIT-T (dont la liste est disponible sur </w:t>
      </w:r>
      <w:hyperlink r:id="rId33" w:history="1">
        <w:r w:rsidR="009B2DFF" w:rsidRPr="006F4594">
          <w:rPr>
            <w:rStyle w:val="Hyperlink"/>
          </w:rPr>
          <w:t>cette p</w:t>
        </w:r>
        <w:r w:rsidR="009B2DFF" w:rsidRPr="006F4594">
          <w:rPr>
            <w:rStyle w:val="Hyperlink"/>
          </w:rPr>
          <w:t>a</w:t>
        </w:r>
        <w:r w:rsidR="009B2DFF" w:rsidRPr="006F4594">
          <w:rPr>
            <w:rStyle w:val="Hyperlink"/>
          </w:rPr>
          <w:t>ge</w:t>
        </w:r>
      </w:hyperlink>
      <w:r w:rsidR="009B2DFF" w:rsidRPr="006F4594">
        <w:t xml:space="preserve">) étudient actuellement les aspects liés à la confiance pour diverses technologies émergentes. </w:t>
      </w:r>
      <w:r w:rsidR="004C0929" w:rsidRPr="006F4594">
        <w:t xml:space="preserve">Par exemple, le Groupe spécialisé sur le métavers (FG-MV) </w:t>
      </w:r>
      <w:r w:rsidR="00201AE9" w:rsidRPr="006F4594">
        <w:t>a approuvé quatre</w:t>
      </w:r>
      <w:r w:rsidR="00E64741" w:rsidRPr="006F4594">
        <w:t xml:space="preserve"> rapports techniques sur des questions telles que les </w:t>
      </w:r>
      <w:r w:rsidR="00F86873" w:rsidRPr="006F4594">
        <w:t>cyber</w:t>
      </w:r>
      <w:r w:rsidR="00E64741" w:rsidRPr="006F4594">
        <w:t>risques, les menaces et les dangers dans le métavers et l</w:t>
      </w:r>
      <w:r w:rsidR="006F4594">
        <w:t>'</w:t>
      </w:r>
      <w:r w:rsidR="00E64741" w:rsidRPr="006F4594">
        <w:t>intégration des normes de sécurité et du contrôle par les utilisateurs des informations d</w:t>
      </w:r>
      <w:r w:rsidR="006F4594">
        <w:t>'</w:t>
      </w:r>
      <w:r w:rsidR="00E64741" w:rsidRPr="006F4594">
        <w:t>identification personnelle (PII) dans le développement du métavers.</w:t>
      </w:r>
    </w:p>
    <w:p w14:paraId="04C4BA32" w14:textId="27C528C7" w:rsidR="00055EF3" w:rsidRPr="006F4594" w:rsidRDefault="003D6BE6" w:rsidP="006F4594">
      <w:pPr>
        <w:rPr>
          <w:rFonts w:eastAsia="Calibri" w:cs="Calibri"/>
          <w:szCs w:val="24"/>
        </w:rPr>
      </w:pPr>
      <w:r w:rsidRPr="006F4594">
        <w:rPr>
          <w:rFonts w:eastAsia="Calibri" w:cs="Calibri"/>
          <w:szCs w:val="24"/>
        </w:rPr>
        <w:t>2.3</w:t>
      </w:r>
      <w:r w:rsidRPr="006F4594">
        <w:rPr>
          <w:rFonts w:eastAsia="Calibri" w:cs="Calibri"/>
          <w:szCs w:val="24"/>
        </w:rPr>
        <w:tab/>
      </w:r>
      <w:r w:rsidR="00055EF3" w:rsidRPr="006F4594">
        <w:rPr>
          <w:rFonts w:eastAsia="Calibri" w:cs="Calibri"/>
          <w:szCs w:val="24"/>
        </w:rPr>
        <w:t>La CE 13 de l</w:t>
      </w:r>
      <w:r w:rsidR="006F4594">
        <w:rPr>
          <w:rFonts w:eastAsia="Calibri" w:cs="Calibri"/>
          <w:szCs w:val="24"/>
        </w:rPr>
        <w:t>'</w:t>
      </w:r>
      <w:r w:rsidR="00055EF3" w:rsidRPr="006F4594">
        <w:rPr>
          <w:rFonts w:eastAsia="Calibri" w:cs="Calibri"/>
          <w:szCs w:val="24"/>
        </w:rPr>
        <w:t>UIT-T a approuvé les nouvelles Recommandations UIT-T Y.3060 "</w:t>
      </w:r>
      <w:r w:rsidR="00F86873" w:rsidRPr="006F4594">
        <w:rPr>
          <w:rFonts w:eastAsia="Calibri" w:cs="Calibri"/>
          <w:szCs w:val="24"/>
        </w:rPr>
        <w:t>R</w:t>
      </w:r>
      <w:r w:rsidR="00055EF3" w:rsidRPr="006F4594">
        <w:rPr>
          <w:rFonts w:eastAsia="Calibri" w:cs="Calibri"/>
          <w:szCs w:val="24"/>
        </w:rPr>
        <w:t xml:space="preserve">éseaux autonomes </w:t>
      </w:r>
      <w:r w:rsidR="00AF461F" w:rsidRPr="006F4594">
        <w:rPr>
          <w:rFonts w:eastAsia="Calibri" w:cs="Calibri"/>
          <w:szCs w:val="24"/>
        </w:rPr>
        <w:t>–</w:t>
      </w:r>
      <w:r w:rsidR="00055EF3" w:rsidRPr="006F4594">
        <w:rPr>
          <w:rFonts w:eastAsia="Calibri" w:cs="Calibri"/>
          <w:szCs w:val="24"/>
        </w:rPr>
        <w:t xml:space="preserve"> aperçu</w:t>
      </w:r>
      <w:r w:rsidR="00F86873" w:rsidRPr="006F4594">
        <w:rPr>
          <w:rFonts w:eastAsia="Calibri" w:cs="Calibri"/>
          <w:szCs w:val="24"/>
        </w:rPr>
        <w:t xml:space="preserve"> de la confiance</w:t>
      </w:r>
      <w:r w:rsidR="00055EF3" w:rsidRPr="006F4594">
        <w:rPr>
          <w:rFonts w:eastAsia="Calibri" w:cs="Calibri"/>
          <w:szCs w:val="24"/>
        </w:rPr>
        <w:t xml:space="preserve">" et Y.TiAN-eval "Évaluation de la fiabilité des </w:t>
      </w:r>
      <w:r w:rsidR="00F86873" w:rsidRPr="006F4594">
        <w:rPr>
          <w:rFonts w:eastAsia="Calibri" w:cs="Calibri"/>
          <w:szCs w:val="24"/>
        </w:rPr>
        <w:t>systèmes</w:t>
      </w:r>
      <w:r w:rsidR="00AF461F" w:rsidRPr="006F4594">
        <w:rPr>
          <w:rFonts w:eastAsia="Calibri" w:cs="Calibri"/>
          <w:szCs w:val="24"/>
        </w:rPr>
        <w:t> </w:t>
      </w:r>
      <w:r w:rsidR="00055EF3" w:rsidRPr="006F4594">
        <w:rPr>
          <w:rFonts w:eastAsia="Calibri" w:cs="Calibri"/>
          <w:szCs w:val="24"/>
        </w:rPr>
        <w:t>IMT-2020 et au-delà dotés de fonctions de réseau autonomes", sur la base des produits du Groupe spécialisé de l</w:t>
      </w:r>
      <w:r w:rsidR="006F4594">
        <w:rPr>
          <w:rFonts w:eastAsia="Calibri" w:cs="Calibri"/>
          <w:szCs w:val="24"/>
        </w:rPr>
        <w:t>'</w:t>
      </w:r>
      <w:r w:rsidR="00055EF3" w:rsidRPr="006F4594">
        <w:rPr>
          <w:rFonts w:eastAsia="Calibri" w:cs="Calibri"/>
          <w:szCs w:val="24"/>
        </w:rPr>
        <w:t>UIT-T sur les réseaux autonomes (FG-AN).</w:t>
      </w:r>
    </w:p>
    <w:p w14:paraId="052E4FF3" w14:textId="33429B0A" w:rsidR="00D6414E" w:rsidRPr="006F4594" w:rsidRDefault="003D6BE6" w:rsidP="006F4594">
      <w:pPr>
        <w:keepNext/>
        <w:keepLines/>
        <w:rPr>
          <w:rFonts w:eastAsia="Calibri" w:cs="Calibri"/>
          <w:szCs w:val="24"/>
        </w:rPr>
      </w:pPr>
      <w:r w:rsidRPr="006F4594">
        <w:rPr>
          <w:rFonts w:eastAsia="Calibri" w:cs="Calibri"/>
          <w:szCs w:val="24"/>
        </w:rPr>
        <w:lastRenderedPageBreak/>
        <w:t>2.4</w:t>
      </w:r>
      <w:r w:rsidRPr="006F4594">
        <w:rPr>
          <w:rFonts w:eastAsia="Calibri" w:cs="Calibri"/>
          <w:szCs w:val="24"/>
        </w:rPr>
        <w:tab/>
      </w:r>
      <w:r w:rsidR="00D6414E" w:rsidRPr="006F4594">
        <w:rPr>
          <w:rFonts w:eastAsia="Calibri" w:cs="Calibri"/>
          <w:szCs w:val="24"/>
        </w:rPr>
        <w:t xml:space="preserve">La CE 11 poursuit ses activités </w:t>
      </w:r>
      <w:r w:rsidR="0066448F" w:rsidRPr="006F4594">
        <w:rPr>
          <w:rFonts w:eastAsia="Calibri" w:cs="Calibri"/>
          <w:szCs w:val="24"/>
        </w:rPr>
        <w:t>en matière de</w:t>
      </w:r>
      <w:r w:rsidR="00D6414E" w:rsidRPr="006F4594">
        <w:rPr>
          <w:rFonts w:eastAsia="Calibri" w:cs="Calibri"/>
          <w:szCs w:val="24"/>
        </w:rPr>
        <w:t xml:space="preserve"> </w:t>
      </w:r>
      <w:hyperlink r:id="rId34" w:history="1">
        <w:r w:rsidR="00D6414E" w:rsidRPr="006F4594">
          <w:rPr>
            <w:rStyle w:val="Hyperlink"/>
            <w:rFonts w:eastAsia="Calibri" w:cs="Calibri"/>
            <w:szCs w:val="24"/>
          </w:rPr>
          <w:t xml:space="preserve">sécurité de la </w:t>
        </w:r>
        <w:r w:rsidR="004C2CB7" w:rsidRPr="006F4594">
          <w:rPr>
            <w:rStyle w:val="Hyperlink"/>
            <w:rFonts w:eastAsia="Calibri" w:cs="Calibri"/>
            <w:szCs w:val="24"/>
          </w:rPr>
          <w:t>signalisation</w:t>
        </w:r>
      </w:hyperlink>
      <w:r w:rsidR="0066448F" w:rsidRPr="006F4594">
        <w:rPr>
          <w:rFonts w:eastAsia="Calibri" w:cs="Calibri"/>
          <w:szCs w:val="24"/>
        </w:rPr>
        <w:t>, afin de</w:t>
      </w:r>
      <w:r w:rsidR="00D6414E" w:rsidRPr="006F4594">
        <w:rPr>
          <w:rFonts w:eastAsia="Calibri" w:cs="Calibri"/>
          <w:szCs w:val="24"/>
        </w:rPr>
        <w:t xml:space="preserve"> lutter contre les </w:t>
      </w:r>
      <w:r w:rsidR="004C2CB7" w:rsidRPr="006F4594">
        <w:rPr>
          <w:rFonts w:eastAsia="Calibri" w:cs="Calibri"/>
          <w:szCs w:val="24"/>
        </w:rPr>
        <w:t xml:space="preserve">attaques </w:t>
      </w:r>
      <w:r w:rsidR="00F86873" w:rsidRPr="006F4594">
        <w:rPr>
          <w:rFonts w:eastAsia="Calibri" w:cs="Calibri"/>
          <w:szCs w:val="24"/>
        </w:rPr>
        <w:t>visant</w:t>
      </w:r>
      <w:r w:rsidR="004C2CB7" w:rsidRPr="006F4594">
        <w:rPr>
          <w:rFonts w:eastAsia="Calibri" w:cs="Calibri"/>
          <w:szCs w:val="24"/>
        </w:rPr>
        <w:t xml:space="preserve"> les réseaux téléphoniques (par ex. le spam téléphonique, </w:t>
      </w:r>
      <w:r w:rsidR="0066448F" w:rsidRPr="006F4594">
        <w:rPr>
          <w:rFonts w:eastAsia="Calibri" w:cs="Calibri"/>
          <w:szCs w:val="24"/>
        </w:rPr>
        <w:t>les appels robotisés, l</w:t>
      </w:r>
      <w:r w:rsidR="006F4594">
        <w:rPr>
          <w:rFonts w:eastAsia="Calibri" w:cs="Calibri"/>
          <w:szCs w:val="24"/>
        </w:rPr>
        <w:t>'</w:t>
      </w:r>
      <w:r w:rsidR="0066448F" w:rsidRPr="006F4594">
        <w:rPr>
          <w:rFonts w:eastAsia="Calibri" w:cs="Calibri"/>
          <w:szCs w:val="24"/>
        </w:rPr>
        <w:t>usurpation des numéros, etc.). Par suite de l</w:t>
      </w:r>
      <w:r w:rsidR="006F4594">
        <w:rPr>
          <w:rFonts w:eastAsia="Calibri" w:cs="Calibri"/>
          <w:szCs w:val="24"/>
        </w:rPr>
        <w:t>'</w:t>
      </w:r>
      <w:r w:rsidR="0066448F" w:rsidRPr="006F4594">
        <w:rPr>
          <w:rFonts w:eastAsia="Calibri" w:cs="Calibri"/>
          <w:szCs w:val="24"/>
        </w:rPr>
        <w:t>adoption de la Recommandation UIT-T Q.3057 (2020), qui décrit l</w:t>
      </w:r>
      <w:r w:rsidR="006F4594">
        <w:rPr>
          <w:rFonts w:eastAsia="Calibri" w:cs="Calibri"/>
          <w:szCs w:val="24"/>
        </w:rPr>
        <w:t>'</w:t>
      </w:r>
      <w:r w:rsidR="0066448F" w:rsidRPr="006F4594">
        <w:rPr>
          <w:rFonts w:eastAsia="Calibri" w:cs="Calibri"/>
          <w:szCs w:val="24"/>
        </w:rPr>
        <w:t>utilisation de la signature numérique (certificats numériques) dans les échanges de signalisation, ainsi que des Recommandations</w:t>
      </w:r>
      <w:r w:rsidR="00860935" w:rsidRPr="006F4594">
        <w:rPr>
          <w:rFonts w:eastAsia="Calibri" w:cs="Calibri"/>
          <w:szCs w:val="24"/>
        </w:rPr>
        <w:t> </w:t>
      </w:r>
      <w:r w:rsidR="0066448F" w:rsidRPr="006F4594">
        <w:rPr>
          <w:rFonts w:eastAsia="Calibri" w:cs="Calibri"/>
          <w:szCs w:val="24"/>
        </w:rPr>
        <w:t>UIT-T Q.3062 (2022) "</w:t>
      </w:r>
      <w:r w:rsidR="0066460D" w:rsidRPr="006F4594">
        <w:rPr>
          <w:rFonts w:eastAsia="Calibri" w:cs="Calibri"/>
          <w:szCs w:val="24"/>
        </w:rPr>
        <w:t>Procédures et protocoles de signalisation visant à permettre l</w:t>
      </w:r>
      <w:r w:rsidR="006F4594">
        <w:rPr>
          <w:rFonts w:eastAsia="Calibri" w:cs="Calibri"/>
          <w:szCs w:val="24"/>
        </w:rPr>
        <w:t>'</w:t>
      </w:r>
      <w:r w:rsidR="0066460D" w:rsidRPr="006F4594">
        <w:rPr>
          <w:rFonts w:eastAsia="Calibri" w:cs="Calibri"/>
          <w:szCs w:val="24"/>
        </w:rPr>
        <w:t>interconnexion entre entités de réseau de confiance à l</w:t>
      </w:r>
      <w:r w:rsidR="006F4594">
        <w:rPr>
          <w:rFonts w:eastAsia="Calibri" w:cs="Calibri"/>
          <w:szCs w:val="24"/>
        </w:rPr>
        <w:t>'</w:t>
      </w:r>
      <w:r w:rsidR="0066460D" w:rsidRPr="006F4594">
        <w:rPr>
          <w:rFonts w:eastAsia="Calibri" w:cs="Calibri"/>
          <w:szCs w:val="24"/>
        </w:rPr>
        <w:t>appui des réseaux existants ou nouveaux" et Q.3063 (2022) "Procédures de signalisation pour l</w:t>
      </w:r>
      <w:r w:rsidR="006F4594">
        <w:rPr>
          <w:rFonts w:eastAsia="Calibri" w:cs="Calibri"/>
          <w:szCs w:val="24"/>
        </w:rPr>
        <w:t>'</w:t>
      </w:r>
      <w:r w:rsidR="0066460D" w:rsidRPr="006F4594">
        <w:rPr>
          <w:rFonts w:eastAsia="Calibri" w:cs="Calibri"/>
          <w:szCs w:val="24"/>
        </w:rPr>
        <w:t>authentification de l</w:t>
      </w:r>
      <w:r w:rsidR="006F4594">
        <w:rPr>
          <w:rFonts w:eastAsia="Calibri" w:cs="Calibri"/>
          <w:szCs w:val="24"/>
        </w:rPr>
        <w:t>'</w:t>
      </w:r>
      <w:r w:rsidR="0066460D" w:rsidRPr="006F4594">
        <w:rPr>
          <w:rFonts w:eastAsia="Calibri" w:cs="Calibri"/>
          <w:szCs w:val="24"/>
        </w:rPr>
        <w:t>identification de la ligne appelante", la CE 11 a approuvé en 2023 des amendements aux normes relatives au système de signalisation N° 7 (SS7) et à la commande BICC, afin de prendre en charge l</w:t>
      </w:r>
      <w:r w:rsidR="006F4594">
        <w:rPr>
          <w:rFonts w:eastAsia="Calibri" w:cs="Calibri"/>
          <w:szCs w:val="24"/>
        </w:rPr>
        <w:t>'</w:t>
      </w:r>
      <w:r w:rsidR="0066460D" w:rsidRPr="006F4594">
        <w:rPr>
          <w:rFonts w:eastAsia="Calibri" w:cs="Calibri"/>
          <w:szCs w:val="24"/>
        </w:rPr>
        <w:t>authentification de l</w:t>
      </w:r>
      <w:r w:rsidR="006F4594">
        <w:rPr>
          <w:rFonts w:eastAsia="Calibri" w:cs="Calibri"/>
          <w:szCs w:val="24"/>
        </w:rPr>
        <w:t>'</w:t>
      </w:r>
      <w:r w:rsidR="0066460D" w:rsidRPr="006F4594">
        <w:rPr>
          <w:rFonts w:eastAsia="Calibri" w:cs="Calibri"/>
          <w:szCs w:val="24"/>
        </w:rPr>
        <w:t>identification de la ligne appelante.</w:t>
      </w:r>
    </w:p>
    <w:p w14:paraId="0F53FA05" w14:textId="27296DCC" w:rsidR="00C4521B" w:rsidRPr="006F4594" w:rsidRDefault="003D6BE6" w:rsidP="006F4594">
      <w:pPr>
        <w:rPr>
          <w:rFonts w:eastAsia="SimSun"/>
        </w:rPr>
      </w:pPr>
      <w:r w:rsidRPr="006F4594">
        <w:rPr>
          <w:rFonts w:asciiTheme="minorHAnsi" w:eastAsia="SimSun" w:hAnsiTheme="minorHAnsi" w:cstheme="minorHAnsi"/>
          <w:szCs w:val="24"/>
          <w:lang w:eastAsia="zh-CN"/>
        </w:rPr>
        <w:t>2</w:t>
      </w:r>
      <w:r w:rsidRPr="006F4594">
        <w:rPr>
          <w:rFonts w:eastAsia="SimSun"/>
        </w:rPr>
        <w:t>.5</w:t>
      </w:r>
      <w:r w:rsidRPr="006F4594">
        <w:rPr>
          <w:rFonts w:eastAsia="SimSun"/>
        </w:rPr>
        <w:tab/>
      </w:r>
      <w:r w:rsidR="00201AE9" w:rsidRPr="006F4594">
        <w:rPr>
          <w:rFonts w:eastAsia="SimSun"/>
        </w:rPr>
        <w:t>L</w:t>
      </w:r>
      <w:r w:rsidR="006F4594">
        <w:rPr>
          <w:rFonts w:eastAsia="SimSun"/>
        </w:rPr>
        <w:t>'</w:t>
      </w:r>
      <w:r w:rsidR="0066460D" w:rsidRPr="006F4594">
        <w:rPr>
          <w:rFonts w:eastAsia="SimSun"/>
        </w:rPr>
        <w:t xml:space="preserve">UIT-R a défini des principes de sécurité précis concernant les réseaux des Télécommunications mobiles internationales (IMT) (3G, 4G et 5G). </w:t>
      </w:r>
      <w:r w:rsidR="00C4521B" w:rsidRPr="006F4594">
        <w:rPr>
          <w:rFonts w:eastAsia="SimSun"/>
        </w:rPr>
        <w:t>Il a également publié des Recommandations sur les questions de sécurité relatives à l</w:t>
      </w:r>
      <w:r w:rsidR="006F4594">
        <w:rPr>
          <w:rFonts w:eastAsia="SimSun"/>
        </w:rPr>
        <w:t>'</w:t>
      </w:r>
      <w:r w:rsidR="00C4521B" w:rsidRPr="006F4594">
        <w:rPr>
          <w:rFonts w:eastAsia="SimSun"/>
        </w:rPr>
        <w:t>architecture de gestion des réseaux pour les systèmes numériques à satellites et sur l</w:t>
      </w:r>
      <w:r w:rsidR="006F4594">
        <w:rPr>
          <w:rFonts w:eastAsia="SimSun"/>
        </w:rPr>
        <w:t>'</w:t>
      </w:r>
      <w:r w:rsidR="00C4521B" w:rsidRPr="006F4594">
        <w:rPr>
          <w:rFonts w:eastAsia="SimSun"/>
        </w:rPr>
        <w:t>amélioration de la qualité de fonctionnement du protocole de commande de transmission sur les réseaux à satellite (voir</w:t>
      </w:r>
      <w:r w:rsidR="00DD61B9" w:rsidRPr="006F4594">
        <w:rPr>
          <w:rFonts w:eastAsia="SimSun"/>
        </w:rPr>
        <w:t> </w:t>
      </w:r>
      <w:hyperlink r:id="rId35" w:history="1">
        <w:r w:rsidR="00C4521B" w:rsidRPr="006F4594">
          <w:rPr>
            <w:rStyle w:val="Hyperlink"/>
            <w:rFonts w:eastAsia="SimSun"/>
          </w:rPr>
          <w:t>ici</w:t>
        </w:r>
      </w:hyperlink>
      <w:r w:rsidR="00C4521B" w:rsidRPr="006F4594">
        <w:rPr>
          <w:rFonts w:eastAsia="SimSun"/>
        </w:rPr>
        <w:t>). Des informations relatives aux technologies mobiles futuristes prévues pour les</w:t>
      </w:r>
      <w:r w:rsidR="0020077B" w:rsidRPr="006F4594">
        <w:rPr>
          <w:rFonts w:eastAsia="SimSun"/>
        </w:rPr>
        <w:t> </w:t>
      </w:r>
      <w:r w:rsidR="00C4521B" w:rsidRPr="006F4594">
        <w:rPr>
          <w:rFonts w:eastAsia="SimSun"/>
        </w:rPr>
        <w:t>"IMT à l</w:t>
      </w:r>
      <w:r w:rsidR="006F4594">
        <w:rPr>
          <w:rFonts w:eastAsia="SimSun"/>
        </w:rPr>
        <w:t>'</w:t>
      </w:r>
      <w:r w:rsidR="00C4521B" w:rsidRPr="006F4594">
        <w:rPr>
          <w:rFonts w:eastAsia="SimSun"/>
        </w:rPr>
        <w:t xml:space="preserve">horizon 2020 et au-delà" sont disponibles </w:t>
      </w:r>
      <w:hyperlink r:id="rId36" w:history="1">
        <w:r w:rsidR="00C4521B" w:rsidRPr="006F4594">
          <w:rPr>
            <w:rStyle w:val="Hyperlink"/>
            <w:rFonts w:eastAsia="SimSun"/>
          </w:rPr>
          <w:t>ici</w:t>
        </w:r>
      </w:hyperlink>
      <w:r w:rsidR="00C4521B" w:rsidRPr="006F4594">
        <w:rPr>
          <w:rFonts w:eastAsia="SimSun"/>
        </w:rPr>
        <w:t>.</w:t>
      </w:r>
    </w:p>
    <w:p w14:paraId="17958E9A" w14:textId="3E76F3A1" w:rsidR="003D6BE6" w:rsidRPr="006F4594" w:rsidRDefault="003D6BE6" w:rsidP="006F4594">
      <w:pPr>
        <w:pStyle w:val="Heading1"/>
        <w:rPr>
          <w:rFonts w:eastAsia="SimSun"/>
          <w:lang w:eastAsia="zh-CN"/>
        </w:rPr>
      </w:pPr>
      <w:r w:rsidRPr="006F4594">
        <w:rPr>
          <w:rFonts w:eastAsia="SimSun"/>
          <w:lang w:eastAsia="zh-CN"/>
        </w:rPr>
        <w:t>3</w:t>
      </w:r>
      <w:r w:rsidRPr="006F4594">
        <w:rPr>
          <w:rFonts w:eastAsia="SimSun" w:cs="Arial"/>
          <w:sz w:val="22"/>
          <w:szCs w:val="22"/>
          <w:lang w:eastAsia="zh-CN"/>
        </w:rPr>
        <w:tab/>
      </w:r>
      <w:r w:rsidR="00C4521B" w:rsidRPr="006F4594">
        <w:rPr>
          <w:rFonts w:eastAsia="SimSun"/>
          <w:lang w:eastAsia="zh-CN"/>
        </w:rPr>
        <w:t>Structures institutionnelles</w:t>
      </w:r>
    </w:p>
    <w:p w14:paraId="5F8C777F" w14:textId="112698FE" w:rsidR="003D6BE6" w:rsidRPr="006F4594" w:rsidRDefault="003D6BE6" w:rsidP="006F4594">
      <w:pPr>
        <w:rPr>
          <w:rFonts w:eastAsia="Calibri"/>
        </w:rPr>
      </w:pPr>
      <w:r w:rsidRPr="006F4594">
        <w:rPr>
          <w:rFonts w:asciiTheme="minorHAnsi" w:eastAsia="SimSun" w:hAnsiTheme="minorHAnsi" w:cstheme="minorBidi"/>
          <w:color w:val="000000"/>
          <w:shd w:val="clear" w:color="auto" w:fill="FFFFFF"/>
        </w:rPr>
        <w:t>3.1</w:t>
      </w:r>
      <w:r w:rsidRPr="006F4594">
        <w:rPr>
          <w:rFonts w:asciiTheme="minorHAnsi" w:eastAsia="SimSun" w:hAnsiTheme="minorHAnsi" w:cstheme="minorHAnsi"/>
          <w:color w:val="000000"/>
          <w:shd w:val="clear" w:color="auto" w:fill="FFFFFF"/>
        </w:rPr>
        <w:tab/>
      </w:r>
      <w:r w:rsidR="00C4521B" w:rsidRPr="006F4594">
        <w:rPr>
          <w:rFonts w:eastAsia="Calibri"/>
        </w:rPr>
        <w:t>Depuis 2012, l</w:t>
      </w:r>
      <w:r w:rsidR="006F4594">
        <w:rPr>
          <w:rFonts w:eastAsia="Calibri"/>
        </w:rPr>
        <w:t>'</w:t>
      </w:r>
      <w:r w:rsidR="00C4521B" w:rsidRPr="006F4594">
        <w:rPr>
          <w:rFonts w:eastAsia="Calibri"/>
        </w:rPr>
        <w:t>UIT collabore avec des États Membres, des partenaires et des organisations mondiales en vue de renforcer la cybersécurité, moyennant la création d</w:t>
      </w:r>
      <w:r w:rsidR="006F4594">
        <w:rPr>
          <w:rFonts w:eastAsia="Calibri"/>
        </w:rPr>
        <w:t>'</w:t>
      </w:r>
      <w:r w:rsidR="00C4521B" w:rsidRPr="006F4594">
        <w:rPr>
          <w:rFonts w:eastAsia="Calibri"/>
        </w:rPr>
        <w:t>équipes d</w:t>
      </w:r>
      <w:r w:rsidR="006F4594">
        <w:rPr>
          <w:rFonts w:eastAsia="Calibri"/>
        </w:rPr>
        <w:t>'</w:t>
      </w:r>
      <w:r w:rsidR="00C4521B" w:rsidRPr="006F4594">
        <w:rPr>
          <w:rFonts w:eastAsia="Calibri"/>
        </w:rPr>
        <w:t>intervention en cas d</w:t>
      </w:r>
      <w:r w:rsidR="006F4594">
        <w:rPr>
          <w:rFonts w:eastAsia="Calibri"/>
        </w:rPr>
        <w:t>'</w:t>
      </w:r>
      <w:r w:rsidR="00C4521B" w:rsidRPr="006F4594">
        <w:rPr>
          <w:rFonts w:eastAsia="Calibri"/>
        </w:rPr>
        <w:t>incident informatique (CIRT) aux niveaux national et régional. De plus, l</w:t>
      </w:r>
      <w:r w:rsidR="006F4594">
        <w:rPr>
          <w:rFonts w:eastAsia="Calibri"/>
        </w:rPr>
        <w:t>'</w:t>
      </w:r>
      <w:r w:rsidR="00C4521B" w:rsidRPr="006F4594">
        <w:rPr>
          <w:rFonts w:eastAsia="Calibri"/>
        </w:rPr>
        <w:t>UIT mène des évaluations du niveau de maturité des équipes CIRT afin d</w:t>
      </w:r>
      <w:r w:rsidR="006F4594">
        <w:rPr>
          <w:rFonts w:eastAsia="Calibri"/>
        </w:rPr>
        <w:t>'</w:t>
      </w:r>
      <w:r w:rsidR="00C4521B" w:rsidRPr="006F4594">
        <w:rPr>
          <w:rFonts w:eastAsia="Calibri"/>
        </w:rPr>
        <w:t>améliorer encore les capacités de ces équipes. Jusqu</w:t>
      </w:r>
      <w:r w:rsidR="006F4594">
        <w:rPr>
          <w:rFonts w:eastAsia="Calibri"/>
        </w:rPr>
        <w:t>'</w:t>
      </w:r>
      <w:r w:rsidR="00C4521B" w:rsidRPr="006F4594">
        <w:rPr>
          <w:rFonts w:eastAsia="Calibri"/>
        </w:rPr>
        <w:t>à présent, l</w:t>
      </w:r>
      <w:r w:rsidR="006F4594">
        <w:rPr>
          <w:rFonts w:eastAsia="Calibri"/>
        </w:rPr>
        <w:t>'</w:t>
      </w:r>
      <w:r w:rsidR="00C4521B" w:rsidRPr="006F4594">
        <w:rPr>
          <w:rFonts w:eastAsia="Calibri"/>
        </w:rPr>
        <w:t>UIT a fourni une assistance à 84 pays, dans le cadre de l</w:t>
      </w:r>
      <w:r w:rsidR="006F4594">
        <w:rPr>
          <w:rFonts w:eastAsia="Calibri"/>
        </w:rPr>
        <w:t>'</w:t>
      </w:r>
      <w:r w:rsidR="00C4521B" w:rsidRPr="006F4594">
        <w:rPr>
          <w:rFonts w:eastAsia="Calibri"/>
        </w:rPr>
        <w:t>évaluation de leur état de préparation en matière de cybersécurité, en vue de créer des équipes nationales CIRT ou d</w:t>
      </w:r>
      <w:r w:rsidR="006F4594">
        <w:rPr>
          <w:rFonts w:eastAsia="Calibri"/>
        </w:rPr>
        <w:t>'</w:t>
      </w:r>
      <w:r w:rsidR="00C4521B" w:rsidRPr="006F4594">
        <w:rPr>
          <w:rFonts w:eastAsia="Calibri"/>
        </w:rPr>
        <w:t>améliorer les équipes existantes. L</w:t>
      </w:r>
      <w:r w:rsidR="006F4594">
        <w:rPr>
          <w:rFonts w:eastAsia="Calibri"/>
        </w:rPr>
        <w:t>'</w:t>
      </w:r>
      <w:r w:rsidR="00C4521B" w:rsidRPr="006F4594">
        <w:rPr>
          <w:rFonts w:eastAsia="Calibri"/>
        </w:rPr>
        <w:t>UIT travaille actuellement à la mise en place d</w:t>
      </w:r>
      <w:r w:rsidR="006F4594">
        <w:rPr>
          <w:rFonts w:eastAsia="Calibri"/>
        </w:rPr>
        <w:t>'</w:t>
      </w:r>
      <w:r w:rsidR="00C4521B" w:rsidRPr="006F4594">
        <w:rPr>
          <w:rFonts w:eastAsia="Calibri"/>
        </w:rPr>
        <w:t>équipes CIRT dans trois pays.</w:t>
      </w:r>
      <w:r w:rsidRPr="006F4594">
        <w:rPr>
          <w:rFonts w:eastAsia="SimSun"/>
        </w:rPr>
        <w:fldChar w:fldCharType="begin"/>
      </w:r>
      <w:r w:rsidRPr="006F4594">
        <w:rPr>
          <w:rFonts w:ascii="Arial" w:eastAsia="SimSun" w:hAnsi="Arial" w:cs="Arial"/>
        </w:rPr>
        <w:instrText>￼￼￼</w:instrText>
      </w:r>
      <w:r w:rsidRPr="006F4594">
        <w:rPr>
          <w:rFonts w:eastAsia="Calibri"/>
          <w:color w:val="0563C1"/>
          <w:u w:val="single"/>
        </w:rPr>
        <w:instrText>three (3) more</w:instrText>
      </w:r>
      <w:r w:rsidRPr="006F4594">
        <w:rPr>
          <w:rFonts w:eastAsia="SimSun"/>
        </w:rPr>
        <w:fldChar w:fldCharType="end"/>
      </w:r>
    </w:p>
    <w:p w14:paraId="50EA158F" w14:textId="22FCEE0A" w:rsidR="002E065F" w:rsidRPr="006F4594" w:rsidRDefault="002E065F" w:rsidP="006F4594">
      <w:pPr>
        <w:rPr>
          <w:rFonts w:eastAsia="SimSun"/>
        </w:rPr>
      </w:pPr>
      <w:r w:rsidRPr="006F4594">
        <w:rPr>
          <w:rFonts w:eastAsia="Calibri"/>
        </w:rPr>
        <w:t>L</w:t>
      </w:r>
      <w:r w:rsidR="006F4594">
        <w:rPr>
          <w:rFonts w:eastAsia="Calibri"/>
        </w:rPr>
        <w:t>'</w:t>
      </w:r>
      <w:r w:rsidRPr="006F4594">
        <w:rPr>
          <w:rFonts w:eastAsia="Calibri"/>
        </w:rPr>
        <w:t>UIT continue de collaborer activement avec le Forum pour les équipes d</w:t>
      </w:r>
      <w:r w:rsidR="006F4594">
        <w:rPr>
          <w:rFonts w:eastAsia="Calibri"/>
        </w:rPr>
        <w:t>'</w:t>
      </w:r>
      <w:r w:rsidRPr="006F4594">
        <w:rPr>
          <w:rFonts w:eastAsia="Calibri"/>
        </w:rPr>
        <w:t>intervention en cas d</w:t>
      </w:r>
      <w:r w:rsidR="006F4594">
        <w:rPr>
          <w:rFonts w:eastAsia="Calibri"/>
        </w:rPr>
        <w:t>'</w:t>
      </w:r>
      <w:r w:rsidRPr="006F4594">
        <w:rPr>
          <w:rFonts w:eastAsia="Calibri"/>
        </w:rPr>
        <w:t>incident (FIRST), en vue de renforcer le cadre de services des équipes de réponse aux incidents de sécurité informatique (CSIRT) et de réviser des supports de formation pour le renforcement des capacités dans la gestion des interventions des équipes CIRT nationales.</w:t>
      </w:r>
    </w:p>
    <w:p w14:paraId="752FB11D" w14:textId="52095937" w:rsidR="002E065F" w:rsidRPr="006F4594" w:rsidRDefault="003D6BE6" w:rsidP="006F4594">
      <w:pPr>
        <w:rPr>
          <w:rFonts w:eastAsia="SimSun"/>
        </w:rPr>
      </w:pPr>
      <w:r w:rsidRPr="006F4594">
        <w:rPr>
          <w:rFonts w:eastAsia="SimSun"/>
        </w:rPr>
        <w:t>3.2</w:t>
      </w:r>
      <w:r w:rsidRPr="006F4594">
        <w:rPr>
          <w:rFonts w:eastAsia="SimSun"/>
        </w:rPr>
        <w:tab/>
      </w:r>
      <w:r w:rsidR="002E065F" w:rsidRPr="006F4594">
        <w:t>Au mois de mai 2024, l</w:t>
      </w:r>
      <w:r w:rsidR="006F4594">
        <w:t>'</w:t>
      </w:r>
      <w:r w:rsidR="002E065F" w:rsidRPr="006F4594">
        <w:t xml:space="preserve">UIT avait organisé 42 </w:t>
      </w:r>
      <w:hyperlink r:id="rId37" w:history="1">
        <w:r w:rsidR="002E065F" w:rsidRPr="006F4594">
          <w:rPr>
            <w:rStyle w:val="Hyperlink"/>
          </w:rPr>
          <w:t>cyberexer</w:t>
        </w:r>
        <w:r w:rsidR="002E065F" w:rsidRPr="006F4594">
          <w:rPr>
            <w:rStyle w:val="Hyperlink"/>
          </w:rPr>
          <w:t>c</w:t>
        </w:r>
        <w:r w:rsidR="002E065F" w:rsidRPr="006F4594">
          <w:rPr>
            <w:rStyle w:val="Hyperlink"/>
          </w:rPr>
          <w:t>ices</w:t>
        </w:r>
      </w:hyperlink>
      <w:r w:rsidR="002E065F" w:rsidRPr="006F4594">
        <w:t xml:space="preserve"> internationaux, régionaux ou nationaux (y compris trois cyberexercices mondiaux), auxquels plus de 140 pays </w:t>
      </w:r>
      <w:r w:rsidR="00201AE9" w:rsidRPr="006F4594">
        <w:t>et</w:t>
      </w:r>
      <w:r w:rsidR="004538FE" w:rsidRPr="006F4594">
        <w:t> </w:t>
      </w:r>
      <w:r w:rsidR="00201AE9" w:rsidRPr="006F4594">
        <w:t>2 500 </w:t>
      </w:r>
      <w:r w:rsidR="002E065F" w:rsidRPr="006F4594">
        <w:t>professionnels des six régions de l</w:t>
      </w:r>
      <w:r w:rsidR="006F4594">
        <w:t>'</w:t>
      </w:r>
      <w:r w:rsidR="002E065F" w:rsidRPr="006F4594">
        <w:t>UIT ont pris part. Le tout premier cyberexercice mondial en présentiel aura lieu en avril 2024, à l</w:t>
      </w:r>
      <w:r w:rsidR="006F4594">
        <w:t>'</w:t>
      </w:r>
      <w:r w:rsidR="002E065F" w:rsidRPr="006F4594">
        <w:t>aimable invitation du Conseil de la cybersécurité des Émirats arabes unis.</w:t>
      </w:r>
    </w:p>
    <w:p w14:paraId="68A87545" w14:textId="75D295FD" w:rsidR="003D6BE6" w:rsidRPr="006F4594" w:rsidRDefault="003D6BE6" w:rsidP="006F4594">
      <w:pPr>
        <w:pStyle w:val="Heading1"/>
        <w:rPr>
          <w:rFonts w:eastAsia="SimSun"/>
        </w:rPr>
      </w:pPr>
      <w:r w:rsidRPr="006F4594">
        <w:rPr>
          <w:rFonts w:eastAsia="SimSun"/>
        </w:rPr>
        <w:lastRenderedPageBreak/>
        <w:t>4</w:t>
      </w:r>
      <w:r w:rsidRPr="006F4594">
        <w:rPr>
          <w:rFonts w:eastAsia="SimSun"/>
        </w:rPr>
        <w:tab/>
      </w:r>
      <w:r w:rsidR="002E065F" w:rsidRPr="006F4594">
        <w:rPr>
          <w:rFonts w:eastAsia="SimSun"/>
        </w:rPr>
        <w:t>Renforcement des capacités</w:t>
      </w:r>
    </w:p>
    <w:p w14:paraId="21A7CC48" w14:textId="58F9466E" w:rsidR="003D6BE6" w:rsidRPr="006F4594" w:rsidRDefault="003D6BE6" w:rsidP="006F4594">
      <w:pPr>
        <w:keepNext/>
        <w:keepLines/>
        <w:rPr>
          <w:lang w:eastAsia="en-GB"/>
        </w:rPr>
      </w:pPr>
      <w:r w:rsidRPr="006F4594">
        <w:rPr>
          <w:rFonts w:eastAsiaTheme="minorEastAsia"/>
          <w:lang w:eastAsia="en-GB"/>
        </w:rPr>
        <w:t>4.1</w:t>
      </w:r>
      <w:r w:rsidRPr="006F4594">
        <w:rPr>
          <w:rFonts w:ascii="Times New Roman" w:hAnsi="Times New Roman"/>
          <w:lang w:eastAsia="en-GB"/>
        </w:rPr>
        <w:tab/>
      </w:r>
      <w:r w:rsidR="002E065F" w:rsidRPr="006F4594">
        <w:rPr>
          <w:rFonts w:eastAsiaTheme="minorEastAsia"/>
          <w:lang w:eastAsia="en-GB"/>
        </w:rPr>
        <w:t>Le BDT a organisé des forums régionaux sur la cybersécurité à l</w:t>
      </w:r>
      <w:r w:rsidR="006F4594">
        <w:rPr>
          <w:rFonts w:eastAsiaTheme="minorEastAsia"/>
          <w:lang w:eastAsia="en-GB"/>
        </w:rPr>
        <w:t>'</w:t>
      </w:r>
      <w:r w:rsidR="002E065F" w:rsidRPr="006F4594">
        <w:rPr>
          <w:rFonts w:eastAsiaTheme="minorEastAsia"/>
          <w:lang w:eastAsia="en-GB"/>
        </w:rPr>
        <w:t>intention de toutes les régions de l</w:t>
      </w:r>
      <w:r w:rsidR="006F4594">
        <w:rPr>
          <w:rFonts w:eastAsiaTheme="minorEastAsia"/>
          <w:lang w:eastAsia="en-GB"/>
        </w:rPr>
        <w:t>'</w:t>
      </w:r>
      <w:r w:rsidR="002E065F" w:rsidRPr="006F4594">
        <w:rPr>
          <w:rFonts w:eastAsiaTheme="minorEastAsia"/>
          <w:lang w:eastAsia="en-GB"/>
        </w:rPr>
        <w:t>Union, afin de renforcer leurs capacités dans ce domaine</w:t>
      </w:r>
      <w:r w:rsidRPr="006F4594">
        <w:rPr>
          <w:rFonts w:eastAsiaTheme="minorEastAsia"/>
          <w:lang w:eastAsia="en-GB"/>
        </w:rPr>
        <w:t>.</w:t>
      </w:r>
    </w:p>
    <w:p w14:paraId="7E387624" w14:textId="6DF41FD9" w:rsidR="002E065F" w:rsidRPr="006F4594" w:rsidRDefault="002E065F" w:rsidP="006F4594">
      <w:pPr>
        <w:rPr>
          <w:rFonts w:cstheme="minorHAnsi"/>
          <w:lang w:eastAsia="en-GB"/>
        </w:rPr>
      </w:pPr>
      <w:r w:rsidRPr="006F4594">
        <w:rPr>
          <w:rFonts w:cstheme="minorHAnsi"/>
          <w:lang w:eastAsia="en-GB"/>
        </w:rPr>
        <w:t>Après la CMDT-22, les travaux relatifs à la Question 3/2 (</w:t>
      </w:r>
      <w:hyperlink r:id="rId38" w:history="1">
        <w:r w:rsidRPr="006F4594">
          <w:rPr>
            <w:rStyle w:val="Hyperlink"/>
          </w:rPr>
          <w:t>Sécurisation de</w:t>
        </w:r>
        <w:r w:rsidRPr="006F4594">
          <w:rPr>
            <w:rStyle w:val="Hyperlink"/>
          </w:rPr>
          <w:t>s</w:t>
        </w:r>
        <w:r w:rsidRPr="006F4594">
          <w:rPr>
            <w:rStyle w:val="Hyperlink"/>
          </w:rPr>
          <w:t xml:space="preserve"> réseaux d</w:t>
        </w:r>
        <w:r w:rsidR="006F4594">
          <w:rPr>
            <w:rStyle w:val="Hyperlink"/>
          </w:rPr>
          <w:t>'</w:t>
        </w:r>
        <w:r w:rsidRPr="006F4594">
          <w:rPr>
            <w:rStyle w:val="Hyperlink"/>
          </w:rPr>
          <w:t>information et de communication: bonnes pratiques pour créer une culture de la cybersécurité</w:t>
        </w:r>
      </w:hyperlink>
      <w:r w:rsidRPr="006F4594">
        <w:t>) se poursuivent.</w:t>
      </w:r>
    </w:p>
    <w:p w14:paraId="6BAC0354" w14:textId="61460263" w:rsidR="002E065F" w:rsidRPr="006F4594" w:rsidRDefault="003D6BE6" w:rsidP="006F4594">
      <w:pPr>
        <w:keepNext/>
        <w:keepLines/>
        <w:rPr>
          <w:rFonts w:eastAsiaTheme="minorEastAsia"/>
          <w:lang w:eastAsia="en-GB"/>
        </w:rPr>
      </w:pPr>
      <w:r w:rsidRPr="006F4594">
        <w:rPr>
          <w:rFonts w:eastAsiaTheme="minorEastAsia"/>
          <w:lang w:eastAsia="en-GB"/>
        </w:rPr>
        <w:t>4.2</w:t>
      </w:r>
      <w:r w:rsidRPr="006F4594">
        <w:rPr>
          <w:rFonts w:ascii="Times New Roman" w:hAnsi="Times New Roman"/>
          <w:lang w:eastAsia="en-GB"/>
        </w:rPr>
        <w:tab/>
      </w:r>
      <w:r w:rsidR="000C613E" w:rsidRPr="006F4594">
        <w:rPr>
          <w:rFonts w:eastAsiaTheme="minorEastAsia"/>
          <w:lang w:eastAsia="en-GB"/>
        </w:rPr>
        <w:t>L</w:t>
      </w:r>
      <w:r w:rsidR="006F4594">
        <w:rPr>
          <w:rFonts w:eastAsiaTheme="minorEastAsia"/>
          <w:lang w:eastAsia="en-GB"/>
        </w:rPr>
        <w:t>'</w:t>
      </w:r>
      <w:r w:rsidR="000C613E" w:rsidRPr="006F4594">
        <w:rPr>
          <w:rFonts w:eastAsiaTheme="minorEastAsia"/>
          <w:lang w:eastAsia="en-GB"/>
        </w:rPr>
        <w:t>UIT s</w:t>
      </w:r>
      <w:r w:rsidR="006F4594">
        <w:rPr>
          <w:rFonts w:eastAsiaTheme="minorEastAsia"/>
          <w:lang w:eastAsia="en-GB"/>
        </w:rPr>
        <w:t>'</w:t>
      </w:r>
      <w:r w:rsidR="000C613E" w:rsidRPr="006F4594">
        <w:rPr>
          <w:rFonts w:eastAsiaTheme="minorEastAsia"/>
          <w:lang w:eastAsia="en-GB"/>
        </w:rPr>
        <w:t xml:space="preserve">est appuyée sur la </w:t>
      </w:r>
      <w:hyperlink r:id="rId39" w:history="1">
        <w:r w:rsidR="000C613E" w:rsidRPr="006F4594">
          <w:rPr>
            <w:rStyle w:val="Hyperlink"/>
            <w:rFonts w:asciiTheme="minorHAnsi" w:eastAsiaTheme="minorEastAsia" w:hAnsiTheme="minorHAnsi" w:cstheme="minorBidi"/>
            <w:szCs w:val="24"/>
            <w:lang w:eastAsia="en-GB"/>
          </w:rPr>
          <w:t>deuxième édition du Guide sur l</w:t>
        </w:r>
        <w:r w:rsidR="006F4594">
          <w:rPr>
            <w:rStyle w:val="Hyperlink"/>
            <w:rFonts w:asciiTheme="minorHAnsi" w:eastAsiaTheme="minorEastAsia" w:hAnsiTheme="minorHAnsi" w:cstheme="minorBidi"/>
            <w:szCs w:val="24"/>
            <w:lang w:eastAsia="en-GB"/>
          </w:rPr>
          <w:t>'</w:t>
        </w:r>
        <w:r w:rsidR="000C613E" w:rsidRPr="006F4594">
          <w:rPr>
            <w:rStyle w:val="Hyperlink"/>
            <w:rFonts w:asciiTheme="minorHAnsi" w:eastAsiaTheme="minorEastAsia" w:hAnsiTheme="minorHAnsi" w:cstheme="minorBidi"/>
            <w:szCs w:val="24"/>
            <w:lang w:eastAsia="en-GB"/>
          </w:rPr>
          <w:t>élaboration d</w:t>
        </w:r>
        <w:r w:rsidR="006F4594">
          <w:rPr>
            <w:rStyle w:val="Hyperlink"/>
            <w:rFonts w:asciiTheme="minorHAnsi" w:eastAsiaTheme="minorEastAsia" w:hAnsiTheme="minorHAnsi" w:cstheme="minorBidi"/>
            <w:szCs w:val="24"/>
            <w:lang w:eastAsia="en-GB"/>
          </w:rPr>
          <w:t>'</w:t>
        </w:r>
        <w:r w:rsidR="000C613E" w:rsidRPr="006F4594">
          <w:rPr>
            <w:rStyle w:val="Hyperlink"/>
            <w:rFonts w:asciiTheme="minorHAnsi" w:eastAsiaTheme="minorEastAsia" w:hAnsiTheme="minorHAnsi" w:cstheme="minorBidi"/>
            <w:szCs w:val="24"/>
            <w:lang w:eastAsia="en-GB"/>
          </w:rPr>
          <w:t>une stratégie nationale en matière de cybersécurité</w:t>
        </w:r>
      </w:hyperlink>
      <w:r w:rsidR="000C613E" w:rsidRPr="006F4594">
        <w:rPr>
          <w:rFonts w:eastAsiaTheme="minorEastAsia"/>
          <w:lang w:eastAsia="en-GB"/>
        </w:rPr>
        <w:t>, publiée e</w:t>
      </w:r>
      <w:r w:rsidR="00A66F36" w:rsidRPr="006F4594">
        <w:rPr>
          <w:rFonts w:eastAsiaTheme="minorEastAsia"/>
          <w:lang w:eastAsia="en-GB"/>
        </w:rPr>
        <w:t>n 2021 en collaboration avec 20 </w:t>
      </w:r>
      <w:r w:rsidR="000C613E" w:rsidRPr="006F4594">
        <w:rPr>
          <w:rFonts w:eastAsiaTheme="minorEastAsia"/>
          <w:lang w:eastAsia="en-GB"/>
        </w:rPr>
        <w:t xml:space="preserve">partenaires internationaux, et travaille actuellement avec plusieurs pays et territoires pour faire progresser </w:t>
      </w:r>
      <w:r w:rsidR="00A66F36" w:rsidRPr="006F4594">
        <w:rPr>
          <w:rFonts w:eastAsiaTheme="minorEastAsia"/>
          <w:lang w:eastAsia="en-GB"/>
        </w:rPr>
        <w:t>les</w:t>
      </w:r>
      <w:r w:rsidR="000C613E" w:rsidRPr="006F4594">
        <w:rPr>
          <w:rFonts w:eastAsiaTheme="minorEastAsia"/>
          <w:lang w:eastAsia="en-GB"/>
        </w:rPr>
        <w:t xml:space="preserve"> stratégies </w:t>
      </w:r>
      <w:r w:rsidR="00A66F36" w:rsidRPr="006F4594">
        <w:rPr>
          <w:rFonts w:eastAsiaTheme="minorEastAsia"/>
          <w:lang w:eastAsia="en-GB"/>
        </w:rPr>
        <w:t xml:space="preserve">de ces derniers </w:t>
      </w:r>
      <w:r w:rsidR="000C613E" w:rsidRPr="006F4594">
        <w:rPr>
          <w:rFonts w:eastAsiaTheme="minorEastAsia"/>
          <w:lang w:eastAsia="en-GB"/>
        </w:rPr>
        <w:t xml:space="preserve">dans le domaine de la cybersécurité, </w:t>
      </w:r>
      <w:r w:rsidR="008E591D" w:rsidRPr="006F4594">
        <w:rPr>
          <w:rFonts w:eastAsiaTheme="minorEastAsia"/>
          <w:lang w:eastAsia="en-GB"/>
        </w:rPr>
        <w:t xml:space="preserve">moyennant des </w:t>
      </w:r>
      <w:r w:rsidR="000C613E" w:rsidRPr="006F4594">
        <w:rPr>
          <w:rFonts w:eastAsiaTheme="minorEastAsia"/>
          <w:lang w:eastAsia="en-GB"/>
        </w:rPr>
        <w:t xml:space="preserve">exercices de simulation en présentiel et </w:t>
      </w:r>
      <w:r w:rsidR="008E591D" w:rsidRPr="006F4594">
        <w:rPr>
          <w:rFonts w:eastAsiaTheme="minorEastAsia"/>
          <w:lang w:eastAsia="en-GB"/>
        </w:rPr>
        <w:t>l</w:t>
      </w:r>
      <w:r w:rsidR="006F4594">
        <w:rPr>
          <w:rFonts w:eastAsiaTheme="minorEastAsia"/>
          <w:lang w:eastAsia="en-GB"/>
        </w:rPr>
        <w:t>'</w:t>
      </w:r>
      <w:r w:rsidR="008E591D" w:rsidRPr="006F4594">
        <w:rPr>
          <w:rFonts w:eastAsiaTheme="minorEastAsia"/>
          <w:lang w:eastAsia="en-GB"/>
        </w:rPr>
        <w:t>évaluation des plans d</w:t>
      </w:r>
      <w:r w:rsidR="006F4594">
        <w:rPr>
          <w:rFonts w:eastAsiaTheme="minorEastAsia"/>
          <w:lang w:eastAsia="en-GB"/>
        </w:rPr>
        <w:t>'</w:t>
      </w:r>
      <w:r w:rsidR="008E591D" w:rsidRPr="006F4594">
        <w:rPr>
          <w:rFonts w:eastAsiaTheme="minorEastAsia"/>
          <w:lang w:eastAsia="en-GB"/>
        </w:rPr>
        <w:t>action en collaboration avec le Royaume-Uni. L</w:t>
      </w:r>
      <w:r w:rsidR="006F4594">
        <w:rPr>
          <w:rFonts w:eastAsiaTheme="minorEastAsia"/>
          <w:lang w:eastAsia="en-GB"/>
        </w:rPr>
        <w:t>'</w:t>
      </w:r>
      <w:r w:rsidR="008E591D" w:rsidRPr="006F4594">
        <w:rPr>
          <w:rFonts w:eastAsiaTheme="minorEastAsia"/>
          <w:lang w:eastAsia="en-GB"/>
        </w:rPr>
        <w:t xml:space="preserve">UIT, en concertation avec les parties prenantes, </w:t>
      </w:r>
      <w:r w:rsidR="00F86873" w:rsidRPr="006F4594">
        <w:rPr>
          <w:rFonts w:eastAsiaTheme="minorEastAsia"/>
          <w:lang w:eastAsia="en-GB"/>
        </w:rPr>
        <w:t xml:space="preserve">prévoit </w:t>
      </w:r>
      <w:r w:rsidR="008E591D" w:rsidRPr="006F4594">
        <w:rPr>
          <w:rFonts w:eastAsiaTheme="minorEastAsia"/>
          <w:lang w:eastAsia="en-GB"/>
        </w:rPr>
        <w:t xml:space="preserve">de lancer le processus de mise à jour </w:t>
      </w:r>
      <w:r w:rsidR="00F86873" w:rsidRPr="006F4594">
        <w:rPr>
          <w:rFonts w:eastAsiaTheme="minorEastAsia"/>
          <w:lang w:eastAsia="en-GB"/>
        </w:rPr>
        <w:t xml:space="preserve">de ce </w:t>
      </w:r>
      <w:r w:rsidR="008E591D" w:rsidRPr="006F4594">
        <w:rPr>
          <w:rFonts w:eastAsiaTheme="minorEastAsia"/>
          <w:lang w:eastAsia="en-GB"/>
        </w:rPr>
        <w:t>Guide en 2025.</w:t>
      </w:r>
    </w:p>
    <w:p w14:paraId="2B47A6E9" w14:textId="5A14EFCC" w:rsidR="008E591D" w:rsidRPr="006F4594" w:rsidRDefault="003D6BE6" w:rsidP="006F4594">
      <w:pPr>
        <w:rPr>
          <w:rFonts w:eastAsia="Calibri" w:cs="Calibri"/>
        </w:rPr>
      </w:pPr>
      <w:r w:rsidRPr="006F4594">
        <w:rPr>
          <w:rFonts w:eastAsiaTheme="minorEastAsia"/>
        </w:rPr>
        <w:t>4.3</w:t>
      </w:r>
      <w:r w:rsidRPr="006F4594">
        <w:rPr>
          <w:rFonts w:eastAsia="SimSun"/>
        </w:rPr>
        <w:tab/>
      </w:r>
      <w:r w:rsidR="008E591D" w:rsidRPr="006F4594">
        <w:t>Par l</w:t>
      </w:r>
      <w:r w:rsidR="006F4594">
        <w:t>'</w:t>
      </w:r>
      <w:r w:rsidR="008E591D" w:rsidRPr="006F4594">
        <w:t xml:space="preserve">intermédiaire de </w:t>
      </w:r>
      <w:hyperlink r:id="rId40" w:history="1">
        <w:r w:rsidR="008E591D" w:rsidRPr="006F4594">
          <w:t>l</w:t>
        </w:r>
        <w:r w:rsidR="006F4594">
          <w:t>'</w:t>
        </w:r>
        <w:r w:rsidR="008E591D" w:rsidRPr="006F4594">
          <w:rPr>
            <w:rStyle w:val="Hyperlink"/>
          </w:rPr>
          <w:t>Académi</w:t>
        </w:r>
        <w:r w:rsidR="008E591D" w:rsidRPr="006F4594">
          <w:rPr>
            <w:rStyle w:val="Hyperlink"/>
          </w:rPr>
          <w:t>e</w:t>
        </w:r>
        <w:r w:rsidR="008E591D" w:rsidRPr="006F4594">
          <w:rPr>
            <w:rStyle w:val="Hyperlink"/>
          </w:rPr>
          <w:t xml:space="preserve"> de l</w:t>
        </w:r>
        <w:r w:rsidR="006F4594">
          <w:rPr>
            <w:rStyle w:val="Hyperlink"/>
          </w:rPr>
          <w:t>'</w:t>
        </w:r>
        <w:r w:rsidR="008E591D" w:rsidRPr="006F4594">
          <w:rPr>
            <w:rStyle w:val="Hyperlink"/>
          </w:rPr>
          <w:t>UIT</w:t>
        </w:r>
      </w:hyperlink>
      <w:r w:rsidR="008E591D" w:rsidRPr="006F4594">
        <w:t>, des Centres d</w:t>
      </w:r>
      <w:r w:rsidR="006F4594">
        <w:t>'</w:t>
      </w:r>
      <w:r w:rsidR="008E591D" w:rsidRPr="006F4594">
        <w:t>excellence de l</w:t>
      </w:r>
      <w:r w:rsidR="006F4594">
        <w:t>'</w:t>
      </w:r>
      <w:r w:rsidR="008E591D" w:rsidRPr="006F4594">
        <w:t>UIT et des Centres de formation de l</w:t>
      </w:r>
      <w:r w:rsidR="006F4594">
        <w:t>'</w:t>
      </w:r>
      <w:r w:rsidR="008E591D" w:rsidRPr="006F4594">
        <w:t>Académie de l</w:t>
      </w:r>
      <w:r w:rsidR="006F4594">
        <w:t>'</w:t>
      </w:r>
      <w:r w:rsidR="008E591D" w:rsidRPr="006F4594">
        <w:t>UIT, l</w:t>
      </w:r>
      <w:r w:rsidR="006F4594">
        <w:t>'</w:t>
      </w:r>
      <w:r w:rsidR="008E591D" w:rsidRPr="006F4594">
        <w:t xml:space="preserve">Union continue de proposer des activités de formation et des ateliers dans divers domaines liés à la cybersécurité. </w:t>
      </w:r>
      <w:r w:rsidR="00194294" w:rsidRPr="006F4594">
        <w:t xml:space="preserve">Un </w:t>
      </w:r>
      <w:hyperlink r:id="rId41" w:history="1">
        <w:r w:rsidR="00194294" w:rsidRPr="006F4594">
          <w:rPr>
            <w:rStyle w:val="Hyperlink"/>
          </w:rPr>
          <w:t>cours de for</w:t>
        </w:r>
        <w:r w:rsidR="00194294" w:rsidRPr="006F4594">
          <w:rPr>
            <w:rStyle w:val="Hyperlink"/>
          </w:rPr>
          <w:t>m</w:t>
        </w:r>
        <w:r w:rsidR="00194294" w:rsidRPr="006F4594">
          <w:rPr>
            <w:rStyle w:val="Hyperlink"/>
          </w:rPr>
          <w:t>ation en ligne adapté au rythme de chacun</w:t>
        </w:r>
      </w:hyperlink>
      <w:r w:rsidR="00194294" w:rsidRPr="006F4594">
        <w:t xml:space="preserve"> sur les stratégies nationales en matière de cybersécurité a été lancé en 2021 et suivi par plus de 730 participants issus de 131 pays</w:t>
      </w:r>
      <w:r w:rsidR="00F86873" w:rsidRPr="006F4594">
        <w:t xml:space="preserve"> via</w:t>
      </w:r>
      <w:r w:rsidR="00194294" w:rsidRPr="006F4594">
        <w:t xml:space="preserve"> l</w:t>
      </w:r>
      <w:r w:rsidR="006F4594">
        <w:t>'</w:t>
      </w:r>
      <w:r w:rsidR="00194294" w:rsidRPr="006F4594">
        <w:t>Académie de l</w:t>
      </w:r>
      <w:r w:rsidR="006F4594">
        <w:t>'</w:t>
      </w:r>
      <w:r w:rsidR="00194294" w:rsidRPr="006F4594">
        <w:t>UIT.</w:t>
      </w:r>
    </w:p>
    <w:p w14:paraId="23E2C7C9" w14:textId="56ADAAD1" w:rsidR="00194294" w:rsidRPr="006F4594" w:rsidRDefault="003D6BE6" w:rsidP="006F4594">
      <w:pPr>
        <w:rPr>
          <w:lang w:eastAsia="en-GB"/>
        </w:rPr>
      </w:pPr>
      <w:r w:rsidRPr="006F4594">
        <w:rPr>
          <w:rFonts w:eastAsiaTheme="minorEastAsia"/>
          <w:lang w:eastAsia="en-GB"/>
        </w:rPr>
        <w:t>4.4</w:t>
      </w:r>
      <w:r w:rsidRPr="006F4594">
        <w:rPr>
          <w:rFonts w:ascii="Times New Roman" w:hAnsi="Times New Roman"/>
          <w:lang w:eastAsia="en-GB"/>
        </w:rPr>
        <w:tab/>
      </w:r>
      <w:r w:rsidR="00194294" w:rsidRPr="006F4594">
        <w:rPr>
          <w:rFonts w:eastAsiaTheme="minorEastAsia"/>
          <w:lang w:eastAsia="en-GB"/>
        </w:rPr>
        <w:t>La cinquième édition du questionnaire sur l</w:t>
      </w:r>
      <w:r w:rsidR="006F4594">
        <w:rPr>
          <w:rFonts w:eastAsiaTheme="minorEastAsia"/>
          <w:lang w:eastAsia="en-GB"/>
        </w:rPr>
        <w:t>'</w:t>
      </w:r>
      <w:hyperlink r:id="rId42" w:history="1">
        <w:r w:rsidR="00194294" w:rsidRPr="006F4594">
          <w:rPr>
            <w:rStyle w:val="Hyperlink"/>
            <w:rFonts w:asciiTheme="minorHAnsi" w:eastAsiaTheme="minorEastAsia" w:hAnsiTheme="minorHAnsi" w:cstheme="minorBidi"/>
            <w:szCs w:val="24"/>
            <w:lang w:eastAsia="en-GB"/>
          </w:rPr>
          <w:t>Indice mondial de c</w:t>
        </w:r>
        <w:r w:rsidR="00194294" w:rsidRPr="006F4594">
          <w:rPr>
            <w:rStyle w:val="Hyperlink"/>
            <w:rFonts w:asciiTheme="minorHAnsi" w:eastAsiaTheme="minorEastAsia" w:hAnsiTheme="minorHAnsi" w:cstheme="minorBidi"/>
            <w:szCs w:val="24"/>
            <w:lang w:eastAsia="en-GB"/>
          </w:rPr>
          <w:t>y</w:t>
        </w:r>
        <w:r w:rsidR="00194294" w:rsidRPr="006F4594">
          <w:rPr>
            <w:rStyle w:val="Hyperlink"/>
            <w:rFonts w:asciiTheme="minorHAnsi" w:eastAsiaTheme="minorEastAsia" w:hAnsiTheme="minorHAnsi" w:cstheme="minorBidi"/>
            <w:szCs w:val="24"/>
            <w:lang w:eastAsia="en-GB"/>
          </w:rPr>
          <w:t>bersécurité (GCI) de l</w:t>
        </w:r>
        <w:r w:rsidR="006F4594">
          <w:rPr>
            <w:rStyle w:val="Hyperlink"/>
            <w:rFonts w:asciiTheme="minorHAnsi" w:eastAsiaTheme="minorEastAsia" w:hAnsiTheme="minorHAnsi" w:cstheme="minorBidi"/>
            <w:szCs w:val="24"/>
            <w:lang w:eastAsia="en-GB"/>
          </w:rPr>
          <w:t>'</w:t>
        </w:r>
        <w:r w:rsidR="00194294" w:rsidRPr="006F4594">
          <w:rPr>
            <w:rStyle w:val="Hyperlink"/>
            <w:rFonts w:asciiTheme="minorHAnsi" w:eastAsiaTheme="minorEastAsia" w:hAnsiTheme="minorHAnsi" w:cstheme="minorBidi"/>
            <w:szCs w:val="24"/>
            <w:lang w:eastAsia="en-GB"/>
          </w:rPr>
          <w:t>UIT</w:t>
        </w:r>
      </w:hyperlink>
      <w:r w:rsidR="00194294" w:rsidRPr="006F4594">
        <w:rPr>
          <w:rFonts w:eastAsiaTheme="minorEastAsia"/>
          <w:lang w:eastAsia="en-GB"/>
        </w:rPr>
        <w:t xml:space="preserve"> a été diffusée auprès de 172 pays afin de recueillir des données. </w:t>
      </w:r>
      <w:r w:rsidR="00EB13D9" w:rsidRPr="006F4594">
        <w:rPr>
          <w:rFonts w:eastAsiaTheme="minorEastAsia"/>
          <w:lang w:eastAsia="en-GB"/>
        </w:rPr>
        <w:t>Le Groupe d</w:t>
      </w:r>
      <w:r w:rsidR="006F4594">
        <w:rPr>
          <w:rFonts w:eastAsiaTheme="minorEastAsia"/>
          <w:lang w:eastAsia="en-GB"/>
        </w:rPr>
        <w:t>'</w:t>
      </w:r>
      <w:r w:rsidR="00EB13D9" w:rsidRPr="006F4594">
        <w:rPr>
          <w:rFonts w:eastAsiaTheme="minorEastAsia"/>
          <w:lang w:eastAsia="en-GB"/>
        </w:rPr>
        <w:t>experts sur l</w:t>
      </w:r>
      <w:r w:rsidR="006F4594">
        <w:rPr>
          <w:rFonts w:eastAsiaTheme="minorEastAsia"/>
          <w:lang w:eastAsia="en-GB"/>
        </w:rPr>
        <w:t>'</w:t>
      </w:r>
      <w:r w:rsidR="00EB13D9" w:rsidRPr="006F4594">
        <w:rPr>
          <w:rFonts w:eastAsiaTheme="minorEastAsia"/>
          <w:lang w:eastAsia="en-GB"/>
        </w:rPr>
        <w:t xml:space="preserve">Indice GCI a fait des recommandations </w:t>
      </w:r>
      <w:r w:rsidR="00AF0075" w:rsidRPr="006F4594">
        <w:rPr>
          <w:rFonts w:eastAsiaTheme="minorEastAsia"/>
          <w:lang w:eastAsia="en-GB"/>
        </w:rPr>
        <w:t>en matière de</w:t>
      </w:r>
      <w:r w:rsidR="00EB13D9" w:rsidRPr="006F4594">
        <w:rPr>
          <w:rFonts w:eastAsiaTheme="minorEastAsia"/>
          <w:lang w:eastAsia="en-GB"/>
        </w:rPr>
        <w:t xml:space="preserve"> pondération </w:t>
      </w:r>
      <w:r w:rsidR="006D1BA9" w:rsidRPr="006F4594">
        <w:rPr>
          <w:rFonts w:eastAsiaTheme="minorEastAsia"/>
          <w:lang w:eastAsia="en-GB"/>
        </w:rPr>
        <w:t xml:space="preserve">et sur la manière de passer à un modèle de </w:t>
      </w:r>
      <w:r w:rsidR="00F86873" w:rsidRPr="006F4594">
        <w:rPr>
          <w:rFonts w:eastAsiaTheme="minorEastAsia"/>
          <w:lang w:eastAsia="en-GB"/>
        </w:rPr>
        <w:t>présentation de l</w:t>
      </w:r>
      <w:r w:rsidR="006F4594">
        <w:rPr>
          <w:rFonts w:eastAsiaTheme="minorEastAsia"/>
          <w:lang w:eastAsia="en-GB"/>
        </w:rPr>
        <w:t>'</w:t>
      </w:r>
      <w:r w:rsidR="00F86873" w:rsidRPr="006F4594">
        <w:rPr>
          <w:rFonts w:eastAsiaTheme="minorEastAsia"/>
          <w:lang w:eastAsia="en-GB"/>
        </w:rPr>
        <w:t xml:space="preserve">information </w:t>
      </w:r>
      <w:r w:rsidR="006D1BA9" w:rsidRPr="006F4594">
        <w:rPr>
          <w:rFonts w:eastAsiaTheme="minorEastAsia"/>
          <w:lang w:eastAsia="en-GB"/>
        </w:rPr>
        <w:t>fondé sur des niveaux, conformément à</w:t>
      </w:r>
      <w:r w:rsidR="00317C0B" w:rsidRPr="006F4594">
        <w:rPr>
          <w:rFonts w:eastAsiaTheme="minorEastAsia"/>
          <w:lang w:eastAsia="en-GB"/>
        </w:rPr>
        <w:t> </w:t>
      </w:r>
      <w:r w:rsidR="006D1BA9" w:rsidRPr="006F4594">
        <w:rPr>
          <w:rFonts w:eastAsiaTheme="minorEastAsia"/>
          <w:lang w:eastAsia="en-GB"/>
        </w:rPr>
        <w:t>la Résolution 130 (Rév. Bucarest, 2022) de la Conférence de plénipotentiaires et à la Résolution 46 (Rév. Kigali, 2022) de la CMDT.</w:t>
      </w:r>
    </w:p>
    <w:p w14:paraId="605D9615" w14:textId="554E92A3" w:rsidR="00AF0075" w:rsidRPr="006F4594" w:rsidRDefault="003D6BE6" w:rsidP="006F4594">
      <w:pPr>
        <w:rPr>
          <w:lang w:eastAsia="en-GB"/>
        </w:rPr>
      </w:pPr>
      <w:r w:rsidRPr="006F4594">
        <w:rPr>
          <w:rFonts w:eastAsiaTheme="minorEastAsia"/>
          <w:lang w:eastAsia="en-GB"/>
        </w:rPr>
        <w:t>4.5</w:t>
      </w:r>
      <w:r w:rsidRPr="006F4594">
        <w:rPr>
          <w:rFonts w:ascii="Times New Roman" w:hAnsi="Times New Roman"/>
          <w:lang w:eastAsia="en-GB"/>
        </w:rPr>
        <w:tab/>
      </w:r>
      <w:r w:rsidR="00C76A07" w:rsidRPr="006F4594">
        <w:rPr>
          <w:lang w:eastAsia="en-GB"/>
        </w:rPr>
        <w:t>D</w:t>
      </w:r>
      <w:r w:rsidR="00AF0075" w:rsidRPr="006F4594">
        <w:rPr>
          <w:lang w:eastAsia="en-GB"/>
        </w:rPr>
        <w:t>ans le cadre des efforts qu</w:t>
      </w:r>
      <w:r w:rsidR="006F4594">
        <w:rPr>
          <w:lang w:eastAsia="en-GB"/>
        </w:rPr>
        <w:t>'</w:t>
      </w:r>
      <w:r w:rsidR="00AF0075" w:rsidRPr="006F4594">
        <w:rPr>
          <w:lang w:eastAsia="en-GB"/>
        </w:rPr>
        <w:t>elle déploie pour renforcer les compétences en matière de cybersécurité, l</w:t>
      </w:r>
      <w:r w:rsidR="006F4594">
        <w:rPr>
          <w:lang w:eastAsia="en-GB"/>
        </w:rPr>
        <w:t>'</w:t>
      </w:r>
      <w:r w:rsidR="00AF0075" w:rsidRPr="006F4594">
        <w:rPr>
          <w:lang w:eastAsia="en-GB"/>
        </w:rPr>
        <w:t xml:space="preserve">UIT a mené à bien avec succès </w:t>
      </w:r>
      <w:r w:rsidR="00F86873" w:rsidRPr="006F4594">
        <w:rPr>
          <w:lang w:eastAsia="en-GB"/>
        </w:rPr>
        <w:t xml:space="preserve">trois </w:t>
      </w:r>
      <w:r w:rsidR="00AF0075" w:rsidRPr="006F4594">
        <w:rPr>
          <w:lang w:eastAsia="en-GB"/>
        </w:rPr>
        <w:t xml:space="preserve">éditions du </w:t>
      </w:r>
      <w:hyperlink r:id="rId43" w:history="1">
        <w:r w:rsidR="00AF0075" w:rsidRPr="006F4594">
          <w:rPr>
            <w:rStyle w:val="Hyperlink"/>
            <w:rFonts w:asciiTheme="minorHAnsi" w:hAnsiTheme="minorHAnsi" w:cstheme="minorBidi"/>
            <w:szCs w:val="24"/>
            <w:lang w:eastAsia="en-GB"/>
          </w:rPr>
          <w:t>Pro</w:t>
        </w:r>
        <w:r w:rsidR="00AF0075" w:rsidRPr="006F4594">
          <w:rPr>
            <w:rStyle w:val="Hyperlink"/>
            <w:rFonts w:asciiTheme="minorHAnsi" w:hAnsiTheme="minorHAnsi" w:cstheme="minorBidi"/>
            <w:szCs w:val="24"/>
            <w:lang w:eastAsia="en-GB"/>
          </w:rPr>
          <w:t>g</w:t>
        </w:r>
        <w:r w:rsidR="00AF0075" w:rsidRPr="006F4594">
          <w:rPr>
            <w:rStyle w:val="Hyperlink"/>
            <w:rFonts w:asciiTheme="minorHAnsi" w:hAnsiTheme="minorHAnsi" w:cstheme="minorBidi"/>
            <w:szCs w:val="24"/>
            <w:lang w:eastAsia="en-GB"/>
          </w:rPr>
          <w:t>ramme de mentorat intitulé "Les femmes dans le secteur de la cybersécurité"</w:t>
        </w:r>
      </w:hyperlink>
      <w:r w:rsidR="00AF0075" w:rsidRPr="006F4594">
        <w:rPr>
          <w:lang w:eastAsia="en-GB"/>
        </w:rPr>
        <w:t xml:space="preserve">. </w:t>
      </w:r>
      <w:r w:rsidR="005F4B1D" w:rsidRPr="006F4594">
        <w:rPr>
          <w:lang w:eastAsia="en-GB"/>
        </w:rPr>
        <w:t>La troisième édition a été lancée en avril 2023, avec des groupes cibles en Afrique, en Asie-Pacifique et dans la région des États arabes. L</w:t>
      </w:r>
      <w:r w:rsidR="006F4594">
        <w:rPr>
          <w:lang w:eastAsia="en-GB"/>
        </w:rPr>
        <w:t>'</w:t>
      </w:r>
      <w:r w:rsidR="005F4B1D" w:rsidRPr="006F4594">
        <w:rPr>
          <w:lang w:eastAsia="en-GB"/>
        </w:rPr>
        <w:t>Initiative "</w:t>
      </w:r>
      <w:hyperlink r:id="rId44" w:history="1">
        <w:r w:rsidR="005F4B1D" w:rsidRPr="006F4594">
          <w:rPr>
            <w:rStyle w:val="Hyperlink"/>
            <w:rFonts w:asciiTheme="minorHAnsi" w:hAnsiTheme="minorHAnsi" w:cstheme="minorBidi"/>
            <w:szCs w:val="24"/>
            <w:lang w:eastAsia="en-GB"/>
          </w:rPr>
          <w:t>Her CyberTracks</w:t>
        </w:r>
      </w:hyperlink>
      <w:r w:rsidR="005F4B1D" w:rsidRPr="006F4594">
        <w:rPr>
          <w:lang w:eastAsia="en-GB"/>
        </w:rPr>
        <w:t>", soutenue par GIZ et Microsoft, s</w:t>
      </w:r>
      <w:r w:rsidR="006F4594">
        <w:rPr>
          <w:lang w:eastAsia="en-GB"/>
        </w:rPr>
        <w:t>'</w:t>
      </w:r>
      <w:r w:rsidR="005F4B1D" w:rsidRPr="006F4594">
        <w:rPr>
          <w:lang w:eastAsia="en-GB"/>
        </w:rPr>
        <w:t xml:space="preserve">est adressée avec succès aux décideuses et aux femmes diplomates en 2023, et </w:t>
      </w:r>
      <w:r w:rsidR="00F86873" w:rsidRPr="006F4594">
        <w:rPr>
          <w:lang w:eastAsia="en-GB"/>
        </w:rPr>
        <w:t>est en passe d</w:t>
      </w:r>
      <w:r w:rsidR="006F4594">
        <w:rPr>
          <w:lang w:eastAsia="en-GB"/>
        </w:rPr>
        <w:t>'</w:t>
      </w:r>
      <w:r w:rsidR="00F86873" w:rsidRPr="006F4594">
        <w:rPr>
          <w:lang w:eastAsia="en-GB"/>
        </w:rPr>
        <w:t>être élargie</w:t>
      </w:r>
      <w:r w:rsidR="005F4B1D" w:rsidRPr="006F4594">
        <w:rPr>
          <w:lang w:eastAsia="en-GB"/>
        </w:rPr>
        <w:t xml:space="preserve"> pour répondre aux bes</w:t>
      </w:r>
      <w:r w:rsidR="00C76A07" w:rsidRPr="006F4594">
        <w:rPr>
          <w:lang w:eastAsia="en-GB"/>
        </w:rPr>
        <w:t>oins particuliers en matière d</w:t>
      </w:r>
      <w:r w:rsidR="006F4594">
        <w:rPr>
          <w:lang w:eastAsia="en-GB"/>
        </w:rPr>
        <w:t>'</w:t>
      </w:r>
      <w:r w:rsidR="00C76A07" w:rsidRPr="006F4594">
        <w:rPr>
          <w:lang w:eastAsia="en-GB"/>
        </w:rPr>
        <w:t>intervention en cas d</w:t>
      </w:r>
      <w:r w:rsidR="006F4594">
        <w:rPr>
          <w:lang w:eastAsia="en-GB"/>
        </w:rPr>
        <w:t>'</w:t>
      </w:r>
      <w:r w:rsidR="00C76A07" w:rsidRPr="006F4594">
        <w:rPr>
          <w:lang w:eastAsia="en-GB"/>
        </w:rPr>
        <w:t>incident et de cybercriminalité (en coopération avec l</w:t>
      </w:r>
      <w:r w:rsidR="006F4594">
        <w:rPr>
          <w:lang w:eastAsia="en-GB"/>
        </w:rPr>
        <w:t>'</w:t>
      </w:r>
      <w:r w:rsidR="00C76A07" w:rsidRPr="006F4594">
        <w:rPr>
          <w:lang w:eastAsia="en-GB"/>
        </w:rPr>
        <w:t>ONUDC).</w:t>
      </w:r>
    </w:p>
    <w:p w14:paraId="5E6BF3F4" w14:textId="30EC83C6" w:rsidR="002B5259" w:rsidRPr="006F4594" w:rsidRDefault="003D6BE6" w:rsidP="006F4594">
      <w:pPr>
        <w:rPr>
          <w:lang w:eastAsia="en-GB"/>
        </w:rPr>
      </w:pPr>
      <w:r w:rsidRPr="006F4594">
        <w:rPr>
          <w:lang w:eastAsia="en-GB"/>
        </w:rPr>
        <w:t>4.6</w:t>
      </w:r>
      <w:r w:rsidRPr="006F4594">
        <w:rPr>
          <w:rFonts w:ascii="Times New Roman" w:hAnsi="Times New Roman"/>
          <w:lang w:eastAsia="en-GB"/>
        </w:rPr>
        <w:tab/>
      </w:r>
      <w:r w:rsidR="002B5259" w:rsidRPr="006F4594">
        <w:rPr>
          <w:lang w:eastAsia="en-GB"/>
        </w:rPr>
        <w:t>L</w:t>
      </w:r>
      <w:r w:rsidR="006F4594">
        <w:rPr>
          <w:lang w:eastAsia="en-GB"/>
        </w:rPr>
        <w:t>'</w:t>
      </w:r>
      <w:r w:rsidR="002B5259" w:rsidRPr="006F4594">
        <w:rPr>
          <w:lang w:eastAsia="en-GB"/>
        </w:rPr>
        <w:t>UIT coopère actuellement avec 23 pays dans le cadre du projet "</w:t>
      </w:r>
      <w:hyperlink r:id="rId45" w:history="1">
        <w:r w:rsidR="002B5259" w:rsidRPr="006F4594">
          <w:rPr>
            <w:rStyle w:val="Hyperlink"/>
            <w:rFonts w:asciiTheme="minorHAnsi" w:hAnsiTheme="minorHAnsi" w:cstheme="minorBidi"/>
            <w:szCs w:val="24"/>
            <w:lang w:eastAsia="en-GB"/>
          </w:rPr>
          <w:t>La cybersécurité au service du bien</w:t>
        </w:r>
        <w:r w:rsidR="002B5259" w:rsidRPr="006F4594">
          <w:rPr>
            <w:rStyle w:val="Hyperlink"/>
            <w:rFonts w:asciiTheme="minorHAnsi" w:hAnsiTheme="minorHAnsi" w:cstheme="minorBidi"/>
            <w:szCs w:val="24"/>
            <w:lang w:eastAsia="en-GB"/>
          </w:rPr>
          <w:t xml:space="preserve"> </w:t>
        </w:r>
        <w:r w:rsidR="002B5259" w:rsidRPr="006F4594">
          <w:rPr>
            <w:rStyle w:val="Hyperlink"/>
            <w:rFonts w:asciiTheme="minorHAnsi" w:hAnsiTheme="minorHAnsi" w:cstheme="minorBidi"/>
            <w:szCs w:val="24"/>
            <w:lang w:eastAsia="en-GB"/>
          </w:rPr>
          <w:t>social</w:t>
        </w:r>
      </w:hyperlink>
      <w:r w:rsidR="002B5259" w:rsidRPr="006F4594">
        <w:rPr>
          <w:lang w:eastAsia="en-GB"/>
        </w:rPr>
        <w:t>", soutenu par la République de Corée, en vue d</w:t>
      </w:r>
      <w:r w:rsidR="006F4594">
        <w:rPr>
          <w:lang w:eastAsia="en-GB"/>
        </w:rPr>
        <w:t>'</w:t>
      </w:r>
      <w:r w:rsidR="002B5259" w:rsidRPr="006F4594">
        <w:rPr>
          <w:lang w:eastAsia="en-GB"/>
        </w:rPr>
        <w:t>assurer un accès gratuit à des outils, des formations et des services par l</w:t>
      </w:r>
      <w:r w:rsidR="006F4594">
        <w:rPr>
          <w:lang w:eastAsia="en-GB"/>
        </w:rPr>
        <w:t>'</w:t>
      </w:r>
      <w:r w:rsidR="002B5259" w:rsidRPr="006F4594">
        <w:rPr>
          <w:lang w:eastAsia="en-GB"/>
        </w:rPr>
        <w:t>intermédiaire de cinq Membres du Secteur de l</w:t>
      </w:r>
      <w:r w:rsidR="006F4594">
        <w:rPr>
          <w:lang w:eastAsia="en-GB"/>
        </w:rPr>
        <w:t>'</w:t>
      </w:r>
      <w:r w:rsidR="002B5259" w:rsidRPr="006F4594">
        <w:rPr>
          <w:lang w:eastAsia="en-GB"/>
        </w:rPr>
        <w:t>U</w:t>
      </w:r>
      <w:r w:rsidR="009D304E" w:rsidRPr="006F4594">
        <w:rPr>
          <w:lang w:eastAsia="en-GB"/>
        </w:rPr>
        <w:t xml:space="preserve">IT-D, </w:t>
      </w:r>
      <w:r w:rsidR="00F86873" w:rsidRPr="006F4594">
        <w:rPr>
          <w:lang w:eastAsia="en-GB"/>
        </w:rPr>
        <w:t>comprenant</w:t>
      </w:r>
      <w:r w:rsidR="009D304E" w:rsidRPr="006F4594">
        <w:rPr>
          <w:lang w:eastAsia="en-GB"/>
        </w:rPr>
        <w:t xml:space="preserve"> des évaluations sur les stratégies nationales de cybersécurité, des outils de suivi de la vulnérabilité dans le cyberespace et des formations aux compétences en matière de cybersécurité.</w:t>
      </w:r>
    </w:p>
    <w:p w14:paraId="029C3551" w14:textId="7A097E17" w:rsidR="009D304E" w:rsidRPr="006F4594" w:rsidRDefault="003D6BE6" w:rsidP="006F4594">
      <w:pPr>
        <w:rPr>
          <w:lang w:eastAsia="en-GB"/>
        </w:rPr>
      </w:pPr>
      <w:r w:rsidRPr="006F4594">
        <w:rPr>
          <w:lang w:eastAsia="en-GB"/>
        </w:rPr>
        <w:t>4.7</w:t>
      </w:r>
      <w:r w:rsidRPr="006F4594">
        <w:tab/>
      </w:r>
      <w:r w:rsidR="00087124" w:rsidRPr="006F4594">
        <w:t>L</w:t>
      </w:r>
      <w:r w:rsidR="006F4594">
        <w:rPr>
          <w:lang w:eastAsia="en-GB"/>
        </w:rPr>
        <w:t>'</w:t>
      </w:r>
      <w:r w:rsidR="005C5219" w:rsidRPr="006F4594">
        <w:rPr>
          <w:lang w:eastAsia="en-GB"/>
        </w:rPr>
        <w:t>UIT a coopéré avec l</w:t>
      </w:r>
      <w:r w:rsidR="006F4594">
        <w:rPr>
          <w:lang w:eastAsia="en-GB"/>
        </w:rPr>
        <w:t>'</w:t>
      </w:r>
      <w:r w:rsidR="005C5219" w:rsidRPr="006F4594">
        <w:rPr>
          <w:lang w:eastAsia="en-GB"/>
        </w:rPr>
        <w:t>Organisation des États américains pour définir une approche systémique concernant l</w:t>
      </w:r>
      <w:r w:rsidR="006F4594">
        <w:rPr>
          <w:lang w:eastAsia="en-GB"/>
        </w:rPr>
        <w:t>'</w:t>
      </w:r>
      <w:r w:rsidR="005C5219" w:rsidRPr="006F4594">
        <w:rPr>
          <w:lang w:eastAsia="en-GB"/>
        </w:rPr>
        <w:t>éducation à</w:t>
      </w:r>
      <w:r w:rsidR="00291FE1" w:rsidRPr="006F4594">
        <w:rPr>
          <w:lang w:eastAsia="en-GB"/>
        </w:rPr>
        <w:t xml:space="preserve"> la cybersécurité, et s</w:t>
      </w:r>
      <w:r w:rsidR="006F4594">
        <w:rPr>
          <w:lang w:eastAsia="en-GB"/>
        </w:rPr>
        <w:t>'</w:t>
      </w:r>
      <w:r w:rsidR="00291FE1" w:rsidRPr="006F4594">
        <w:rPr>
          <w:lang w:eastAsia="en-GB"/>
        </w:rPr>
        <w:t>efforce actuellement d</w:t>
      </w:r>
      <w:r w:rsidR="006F4594">
        <w:rPr>
          <w:lang w:eastAsia="en-GB"/>
        </w:rPr>
        <w:t>'</w:t>
      </w:r>
      <w:r w:rsidR="00291FE1" w:rsidRPr="006F4594">
        <w:rPr>
          <w:lang w:eastAsia="en-GB"/>
        </w:rPr>
        <w:t>organiser des ateliers au niveau national et d</w:t>
      </w:r>
      <w:r w:rsidR="006F4594">
        <w:rPr>
          <w:lang w:eastAsia="en-GB"/>
        </w:rPr>
        <w:t>'</w:t>
      </w:r>
      <w:r w:rsidR="00291FE1" w:rsidRPr="006F4594">
        <w:rPr>
          <w:lang w:eastAsia="en-GB"/>
        </w:rPr>
        <w:t xml:space="preserve">aider les pays à </w:t>
      </w:r>
      <w:r w:rsidR="00873D11" w:rsidRPr="006F4594">
        <w:rPr>
          <w:lang w:eastAsia="en-GB"/>
        </w:rPr>
        <w:t>franchir de nouvelles étapes en utilisant</w:t>
      </w:r>
      <w:r w:rsidR="00087124" w:rsidRPr="006F4594">
        <w:rPr>
          <w:lang w:eastAsia="en-GB"/>
        </w:rPr>
        <w:t xml:space="preserve"> le cadre.</w:t>
      </w:r>
    </w:p>
    <w:p w14:paraId="0ACC5FC5" w14:textId="237E15BE" w:rsidR="00087124" w:rsidRPr="006F4594" w:rsidRDefault="003D6BE6" w:rsidP="006F4594">
      <w:pPr>
        <w:rPr>
          <w:lang w:eastAsia="en-GB"/>
        </w:rPr>
      </w:pPr>
      <w:r w:rsidRPr="006F4594">
        <w:rPr>
          <w:lang w:eastAsia="en-GB"/>
        </w:rPr>
        <w:lastRenderedPageBreak/>
        <w:t>4.8</w:t>
      </w:r>
      <w:r w:rsidRPr="006F4594">
        <w:rPr>
          <w:rFonts w:ascii="Times New Roman" w:hAnsi="Times New Roman"/>
          <w:lang w:eastAsia="en-GB"/>
        </w:rPr>
        <w:tab/>
      </w:r>
      <w:r w:rsidR="00087124" w:rsidRPr="006F4594">
        <w:rPr>
          <w:lang w:eastAsia="en-GB"/>
        </w:rPr>
        <w:t>L</w:t>
      </w:r>
      <w:r w:rsidR="006F4594">
        <w:rPr>
          <w:lang w:eastAsia="en-GB"/>
        </w:rPr>
        <w:t>'</w:t>
      </w:r>
      <w:r w:rsidR="00087124" w:rsidRPr="006F4594">
        <w:rPr>
          <w:lang w:eastAsia="en-GB"/>
        </w:rPr>
        <w:t>UIT</w:t>
      </w:r>
      <w:r w:rsidR="00087124" w:rsidRPr="006F4594">
        <w:rPr>
          <w:bCs/>
          <w:lang w:eastAsia="en-GB"/>
        </w:rPr>
        <w:t xml:space="preserve"> </w:t>
      </w:r>
      <w:r w:rsidR="00087124" w:rsidRPr="006F4594">
        <w:rPr>
          <w:lang w:eastAsia="en-GB"/>
        </w:rPr>
        <w:t xml:space="preserve">a collaboré avec le Royaume de Suède, Microsoft et le Forum mondial sur la cyberexpertise (GFCE) </w:t>
      </w:r>
      <w:r w:rsidR="00873D11" w:rsidRPr="006F4594">
        <w:rPr>
          <w:lang w:eastAsia="en-GB"/>
        </w:rPr>
        <w:t>concernant</w:t>
      </w:r>
      <w:r w:rsidR="00087124" w:rsidRPr="006F4594">
        <w:rPr>
          <w:lang w:eastAsia="en-GB"/>
        </w:rPr>
        <w:t xml:space="preserve"> la création d</w:t>
      </w:r>
      <w:r w:rsidR="006F4594">
        <w:rPr>
          <w:lang w:eastAsia="en-GB"/>
        </w:rPr>
        <w:t>'</w:t>
      </w:r>
      <w:r w:rsidR="00087124" w:rsidRPr="006F4594">
        <w:rPr>
          <w:lang w:eastAsia="en-GB"/>
        </w:rPr>
        <w:t>un recueil consacré à l</w:t>
      </w:r>
      <w:r w:rsidR="006F4594">
        <w:rPr>
          <w:lang w:eastAsia="en-GB"/>
        </w:rPr>
        <w:t>'</w:t>
      </w:r>
      <w:r w:rsidR="00087124" w:rsidRPr="006F4594">
        <w:rPr>
          <w:lang w:eastAsia="en-GB"/>
        </w:rPr>
        <w:t>intégration de la cybersécurité dans le développement.</w:t>
      </w:r>
    </w:p>
    <w:p w14:paraId="37D31A4D" w14:textId="6BD48978" w:rsidR="003D6BE6" w:rsidRPr="006F4594" w:rsidRDefault="003D6BE6" w:rsidP="006F4594">
      <w:pPr>
        <w:pStyle w:val="Heading1"/>
        <w:rPr>
          <w:rFonts w:eastAsia="SimSun"/>
          <w:lang w:eastAsia="zh-CN"/>
        </w:rPr>
      </w:pPr>
      <w:r w:rsidRPr="006F4594">
        <w:rPr>
          <w:rFonts w:eastAsia="SimSun"/>
          <w:lang w:eastAsia="zh-CN"/>
        </w:rPr>
        <w:t>5</w:t>
      </w:r>
      <w:r w:rsidRPr="006F4594">
        <w:rPr>
          <w:rFonts w:eastAsia="SimSun"/>
          <w:lang w:eastAsia="zh-CN"/>
        </w:rPr>
        <w:tab/>
      </w:r>
      <w:r w:rsidR="00087124" w:rsidRPr="006F4594">
        <w:rPr>
          <w:rFonts w:eastAsia="SimSun"/>
          <w:lang w:eastAsia="zh-CN"/>
        </w:rPr>
        <w:t>Coopération internationale</w:t>
      </w:r>
    </w:p>
    <w:p w14:paraId="78E8A0F1" w14:textId="18AC1967" w:rsidR="00087124" w:rsidRPr="006F4594" w:rsidRDefault="003D6BE6" w:rsidP="006F4594">
      <w:pPr>
        <w:keepNext/>
        <w:keepLines/>
        <w:rPr>
          <w:rFonts w:eastAsia="SimSun"/>
          <w:lang w:eastAsia="zh-CN"/>
        </w:rPr>
      </w:pPr>
      <w:r w:rsidRPr="006F4594">
        <w:rPr>
          <w:rFonts w:eastAsia="SimSun"/>
          <w:lang w:eastAsia="zh-CN"/>
        </w:rPr>
        <w:t>5.1</w:t>
      </w:r>
      <w:r w:rsidRPr="006F4594">
        <w:rPr>
          <w:rFonts w:eastAsia="SimSun" w:cs="Arial"/>
          <w:sz w:val="22"/>
          <w:szCs w:val="22"/>
          <w:lang w:eastAsia="zh-CN"/>
        </w:rPr>
        <w:tab/>
      </w:r>
      <w:r w:rsidR="00087124" w:rsidRPr="006F4594">
        <w:rPr>
          <w:rFonts w:eastAsia="SimSun"/>
          <w:lang w:eastAsia="zh-CN"/>
        </w:rPr>
        <w:t>L</w:t>
      </w:r>
      <w:r w:rsidR="006F4594">
        <w:rPr>
          <w:rFonts w:eastAsia="SimSun"/>
          <w:lang w:eastAsia="zh-CN"/>
        </w:rPr>
        <w:t>'</w:t>
      </w:r>
      <w:r w:rsidR="00087124" w:rsidRPr="006F4594">
        <w:rPr>
          <w:rFonts w:eastAsia="SimSun"/>
          <w:lang w:eastAsia="zh-CN"/>
        </w:rPr>
        <w:t xml:space="preserve">UIT renforce ses relations et ses </w:t>
      </w:r>
      <w:hyperlink r:id="rId46" w:history="1">
        <w:r w:rsidR="00087124" w:rsidRPr="006F4594">
          <w:rPr>
            <w:rStyle w:val="Hyperlink"/>
            <w:rFonts w:asciiTheme="minorHAnsi" w:eastAsia="SimSun" w:hAnsiTheme="minorHAnsi" w:cstheme="minorBidi"/>
            <w:szCs w:val="24"/>
            <w:lang w:eastAsia="zh-CN"/>
          </w:rPr>
          <w:t>partena</w:t>
        </w:r>
        <w:r w:rsidR="00087124" w:rsidRPr="006F4594">
          <w:rPr>
            <w:rStyle w:val="Hyperlink"/>
            <w:rFonts w:asciiTheme="minorHAnsi" w:eastAsia="SimSun" w:hAnsiTheme="minorHAnsi" w:cstheme="minorBidi"/>
            <w:szCs w:val="24"/>
            <w:lang w:eastAsia="zh-CN"/>
          </w:rPr>
          <w:t>r</w:t>
        </w:r>
        <w:r w:rsidR="00087124" w:rsidRPr="006F4594">
          <w:rPr>
            <w:rStyle w:val="Hyperlink"/>
            <w:rFonts w:asciiTheme="minorHAnsi" w:eastAsia="SimSun" w:hAnsiTheme="minorHAnsi" w:cstheme="minorBidi"/>
            <w:szCs w:val="24"/>
            <w:lang w:eastAsia="zh-CN"/>
          </w:rPr>
          <w:t>iats</w:t>
        </w:r>
      </w:hyperlink>
      <w:r w:rsidR="00087124" w:rsidRPr="006F4594">
        <w:rPr>
          <w:rFonts w:eastAsia="SimSun"/>
          <w:lang w:eastAsia="zh-CN"/>
        </w:rPr>
        <w:t xml:space="preserve"> avec diverses organisations et initiatives régionales ou internationales, notamment l</w:t>
      </w:r>
      <w:r w:rsidR="006F4594">
        <w:rPr>
          <w:rFonts w:eastAsia="SimSun"/>
          <w:lang w:eastAsia="zh-CN"/>
        </w:rPr>
        <w:t>'</w:t>
      </w:r>
      <w:r w:rsidR="00087124" w:rsidRPr="006F4594">
        <w:rPr>
          <w:rFonts w:eastAsia="SimSun"/>
          <w:lang w:eastAsia="zh-CN"/>
        </w:rPr>
        <w:t>OEA, l</w:t>
      </w:r>
      <w:r w:rsidR="006F4594">
        <w:rPr>
          <w:rFonts w:eastAsia="SimSun"/>
          <w:lang w:eastAsia="zh-CN"/>
        </w:rPr>
        <w:t>'</w:t>
      </w:r>
      <w:r w:rsidR="00087124" w:rsidRPr="006F4594">
        <w:rPr>
          <w:rFonts w:eastAsia="SimSun"/>
          <w:lang w:eastAsia="zh-CN"/>
        </w:rPr>
        <w:t>Agence de l</w:t>
      </w:r>
      <w:r w:rsidR="006F4594">
        <w:rPr>
          <w:rFonts w:eastAsia="SimSun"/>
          <w:lang w:eastAsia="zh-CN"/>
        </w:rPr>
        <w:t>'</w:t>
      </w:r>
      <w:r w:rsidR="00087124" w:rsidRPr="006F4594">
        <w:rPr>
          <w:rFonts w:eastAsia="SimSun"/>
          <w:lang w:eastAsia="zh-CN"/>
        </w:rPr>
        <w:t>Union européenne chargée de la sécurité des réseaux et de l</w:t>
      </w:r>
      <w:r w:rsidR="006F4594">
        <w:rPr>
          <w:rFonts w:eastAsia="SimSun"/>
          <w:lang w:eastAsia="zh-CN"/>
        </w:rPr>
        <w:t>'</w:t>
      </w:r>
      <w:r w:rsidR="00087124" w:rsidRPr="006F4594">
        <w:rPr>
          <w:rFonts w:eastAsia="SimSun"/>
          <w:lang w:eastAsia="zh-CN"/>
        </w:rPr>
        <w:t>information (ENISA), INTERPOL, la Communauté économique des États de l</w:t>
      </w:r>
      <w:r w:rsidR="006F4594">
        <w:rPr>
          <w:rFonts w:eastAsia="SimSun"/>
          <w:lang w:eastAsia="zh-CN"/>
        </w:rPr>
        <w:t>'</w:t>
      </w:r>
      <w:r w:rsidR="00087124" w:rsidRPr="006F4594">
        <w:rPr>
          <w:rFonts w:eastAsia="SimSun"/>
          <w:lang w:eastAsia="zh-CN"/>
        </w:rPr>
        <w:t>Afrique de l</w:t>
      </w:r>
      <w:r w:rsidR="006F4594">
        <w:rPr>
          <w:rFonts w:eastAsia="SimSun"/>
          <w:lang w:eastAsia="zh-CN"/>
        </w:rPr>
        <w:t>'</w:t>
      </w:r>
      <w:r w:rsidR="00087124" w:rsidRPr="006F4594">
        <w:rPr>
          <w:rFonts w:eastAsia="SimSun"/>
          <w:lang w:eastAsia="zh-CN"/>
        </w:rPr>
        <w:t>Ouest (CEDEAO), la Banque mondiale, le Forum FIRST, le</w:t>
      </w:r>
      <w:r w:rsidR="00317C0B" w:rsidRPr="006F4594">
        <w:rPr>
          <w:rFonts w:eastAsia="SimSun"/>
          <w:lang w:eastAsia="zh-CN"/>
        </w:rPr>
        <w:t> </w:t>
      </w:r>
      <w:r w:rsidR="00087124" w:rsidRPr="006F4594">
        <w:rPr>
          <w:rFonts w:eastAsia="SimSun"/>
          <w:lang w:eastAsia="zh-CN"/>
        </w:rPr>
        <w:t>Forum</w:t>
      </w:r>
      <w:r w:rsidR="00DF1E36" w:rsidRPr="006F4594">
        <w:rPr>
          <w:rFonts w:eastAsia="SimSun"/>
          <w:lang w:eastAsia="zh-CN"/>
        </w:rPr>
        <w:t> </w:t>
      </w:r>
      <w:r w:rsidR="00087124" w:rsidRPr="006F4594">
        <w:rPr>
          <w:rFonts w:eastAsia="SimSun"/>
          <w:lang w:eastAsia="zh-CN"/>
        </w:rPr>
        <w:t>GFCE et les associations régionales d</w:t>
      </w:r>
      <w:r w:rsidR="006F4594">
        <w:rPr>
          <w:rFonts w:eastAsia="SimSun"/>
          <w:lang w:eastAsia="zh-CN"/>
        </w:rPr>
        <w:t>'</w:t>
      </w:r>
      <w:r w:rsidR="00087124" w:rsidRPr="006F4594">
        <w:rPr>
          <w:rFonts w:eastAsia="SimSun"/>
          <w:lang w:eastAsia="zh-CN"/>
        </w:rPr>
        <w:t>équipes CSIRT/CERT, comme AP CERT, AFRICA</w:t>
      </w:r>
      <w:r w:rsidR="00DF1E36" w:rsidRPr="006F4594">
        <w:rPr>
          <w:rFonts w:eastAsia="SimSun"/>
          <w:lang w:eastAsia="zh-CN"/>
        </w:rPr>
        <w:t> </w:t>
      </w:r>
      <w:r w:rsidR="00087124" w:rsidRPr="006F4594">
        <w:rPr>
          <w:rFonts w:eastAsia="SimSun"/>
          <w:lang w:eastAsia="zh-CN"/>
        </w:rPr>
        <w:t>CERT et OIC CERT, en vue d</w:t>
      </w:r>
      <w:r w:rsidR="006F4594">
        <w:rPr>
          <w:rFonts w:eastAsia="SimSun"/>
          <w:lang w:eastAsia="zh-CN"/>
        </w:rPr>
        <w:t>'</w:t>
      </w:r>
      <w:r w:rsidR="00087124" w:rsidRPr="006F4594">
        <w:rPr>
          <w:rFonts w:eastAsia="SimSun"/>
          <w:lang w:eastAsia="zh-CN"/>
        </w:rPr>
        <w:t>éviter le chevauchement inutile d</w:t>
      </w:r>
      <w:r w:rsidR="006F4594">
        <w:rPr>
          <w:rFonts w:eastAsia="SimSun"/>
          <w:lang w:eastAsia="zh-CN"/>
        </w:rPr>
        <w:t>'</w:t>
      </w:r>
      <w:r w:rsidR="00087124" w:rsidRPr="006F4594">
        <w:rPr>
          <w:rFonts w:eastAsia="SimSun"/>
          <w:lang w:eastAsia="zh-CN"/>
        </w:rPr>
        <w:t xml:space="preserve">activités </w:t>
      </w:r>
      <w:r w:rsidR="00751DBE" w:rsidRPr="006F4594">
        <w:rPr>
          <w:rFonts w:eastAsia="SimSun"/>
          <w:lang w:eastAsia="zh-CN"/>
        </w:rPr>
        <w:t>et d</w:t>
      </w:r>
      <w:r w:rsidR="006F4594">
        <w:rPr>
          <w:rFonts w:eastAsia="SimSun"/>
          <w:lang w:eastAsia="zh-CN"/>
        </w:rPr>
        <w:t>'</w:t>
      </w:r>
      <w:r w:rsidR="00751DBE" w:rsidRPr="006F4594">
        <w:rPr>
          <w:rFonts w:eastAsia="SimSun"/>
          <w:lang w:eastAsia="zh-CN"/>
        </w:rPr>
        <w:t>identifier les domaines dans lesquels une collaboration peut être instaurée.</w:t>
      </w:r>
    </w:p>
    <w:p w14:paraId="5627BAB1" w14:textId="227051A7" w:rsidR="00751DBE" w:rsidRPr="006F4594" w:rsidRDefault="003D6BE6" w:rsidP="006F4594">
      <w:pPr>
        <w:rPr>
          <w:rFonts w:eastAsia="SimSun"/>
          <w:color w:val="000000"/>
        </w:rPr>
      </w:pPr>
      <w:r w:rsidRPr="006F4594">
        <w:rPr>
          <w:rFonts w:eastAsia="SimSun" w:cstheme="minorHAnsi"/>
        </w:rPr>
        <w:t>5.2</w:t>
      </w:r>
      <w:r w:rsidRPr="006F4594">
        <w:rPr>
          <w:rFonts w:eastAsia="SimSun" w:cstheme="minorHAnsi"/>
        </w:rPr>
        <w:tab/>
      </w:r>
      <w:r w:rsidR="00751DBE" w:rsidRPr="006F4594">
        <w:rPr>
          <w:rFonts w:eastAsia="SimSun"/>
          <w:color w:val="000000"/>
        </w:rPr>
        <w:t xml:space="preserve">Conformément à la </w:t>
      </w:r>
      <w:hyperlink r:id="rId47" w:history="1">
        <w:r w:rsidR="00751DBE" w:rsidRPr="006F4594">
          <w:rPr>
            <w:rStyle w:val="Hyperlink"/>
            <w:rFonts w:eastAsia="SimSun"/>
          </w:rPr>
          <w:t>Décision 630 (Conse</w:t>
        </w:r>
        <w:r w:rsidR="00751DBE" w:rsidRPr="006F4594">
          <w:rPr>
            <w:rStyle w:val="Hyperlink"/>
            <w:rFonts w:eastAsia="SimSun"/>
          </w:rPr>
          <w:t>i</w:t>
        </w:r>
        <w:r w:rsidR="00751DBE" w:rsidRPr="006F4594">
          <w:rPr>
            <w:rStyle w:val="Hyperlink"/>
            <w:rFonts w:eastAsia="SimSun"/>
          </w:rPr>
          <w:t>l 2023)</w:t>
        </w:r>
      </w:hyperlink>
      <w:r w:rsidR="00751DBE" w:rsidRPr="006F4594">
        <w:rPr>
          <w:rFonts w:eastAsia="SimSun"/>
          <w:color w:val="000000"/>
        </w:rPr>
        <w:t>, l</w:t>
      </w:r>
      <w:r w:rsidR="006F4594">
        <w:rPr>
          <w:rFonts w:eastAsia="SimSun"/>
          <w:color w:val="000000"/>
        </w:rPr>
        <w:t>'</w:t>
      </w:r>
      <w:r w:rsidR="00751DBE" w:rsidRPr="006F4594">
        <w:rPr>
          <w:rFonts w:eastAsia="SimSun"/>
          <w:color w:val="000000"/>
        </w:rPr>
        <w:t xml:space="preserve">UIT met actuellement en place des </w:t>
      </w:r>
      <w:hyperlink r:id="rId48" w:history="1">
        <w:r w:rsidR="00751DBE" w:rsidRPr="006F4594">
          <w:rPr>
            <w:rStyle w:val="Hyperlink"/>
            <w:rFonts w:eastAsia="SimSun"/>
          </w:rPr>
          <w:t>sources d</w:t>
        </w:r>
        <w:r w:rsidR="006F4594">
          <w:rPr>
            <w:rStyle w:val="Hyperlink"/>
            <w:rFonts w:eastAsia="SimSun"/>
          </w:rPr>
          <w:t>'</w:t>
        </w:r>
        <w:r w:rsidR="00751DBE" w:rsidRPr="006F4594">
          <w:rPr>
            <w:rStyle w:val="Hyperlink"/>
            <w:rFonts w:eastAsia="SimSun"/>
          </w:rPr>
          <w:t>info</w:t>
        </w:r>
        <w:r w:rsidR="00751DBE" w:rsidRPr="006F4594">
          <w:rPr>
            <w:rStyle w:val="Hyperlink"/>
            <w:rFonts w:eastAsia="SimSun"/>
          </w:rPr>
          <w:t>r</w:t>
        </w:r>
        <w:r w:rsidR="00751DBE" w:rsidRPr="006F4594">
          <w:rPr>
            <w:rStyle w:val="Hyperlink"/>
            <w:rFonts w:eastAsia="SimSun"/>
          </w:rPr>
          <w:t>mation</w:t>
        </w:r>
      </w:hyperlink>
      <w:r w:rsidR="00751DBE" w:rsidRPr="006F4594">
        <w:rPr>
          <w:rFonts w:eastAsia="SimSun"/>
          <w:color w:val="000000"/>
        </w:rPr>
        <w:t xml:space="preserve"> visant à aider les États Membres à renforcer leurs capacités en matière de cybersécurité et de cyberrésilience, et a invité les États Membres ainsi que d</w:t>
      </w:r>
      <w:r w:rsidR="006F4594">
        <w:rPr>
          <w:rFonts w:eastAsia="SimSun"/>
          <w:color w:val="000000"/>
        </w:rPr>
        <w:t>'</w:t>
      </w:r>
      <w:r w:rsidR="00751DBE" w:rsidRPr="006F4594">
        <w:rPr>
          <w:rFonts w:eastAsia="SimSun"/>
          <w:color w:val="000000"/>
        </w:rPr>
        <w:t xml:space="preserve">autres parties prenantes à contribuer à ces efforts en fournissant des bonnes pratiques, des ressources et des informations </w:t>
      </w:r>
      <w:r w:rsidR="007A5DAB" w:rsidRPr="006F4594">
        <w:rPr>
          <w:rFonts w:eastAsia="SimSun"/>
          <w:color w:val="000000"/>
        </w:rPr>
        <w:t>dans ce domaine</w:t>
      </w:r>
      <w:r w:rsidR="00751DBE" w:rsidRPr="006F4594">
        <w:rPr>
          <w:rFonts w:eastAsia="SimSun"/>
          <w:color w:val="000000"/>
        </w:rPr>
        <w:t>.</w:t>
      </w:r>
    </w:p>
    <w:p w14:paraId="4BD410DC" w14:textId="1C8448ED" w:rsidR="00751DBE" w:rsidRPr="006F4594" w:rsidRDefault="003D6BE6" w:rsidP="006F4594">
      <w:pPr>
        <w:rPr>
          <w:rFonts w:eastAsia="SimSun"/>
          <w:lang w:eastAsia="zh-CN"/>
        </w:rPr>
      </w:pPr>
      <w:r w:rsidRPr="006F4594">
        <w:rPr>
          <w:rFonts w:eastAsia="SimSun"/>
          <w:lang w:eastAsia="zh-CN"/>
        </w:rPr>
        <w:t>5.3</w:t>
      </w:r>
      <w:r w:rsidRPr="006F4594">
        <w:rPr>
          <w:rFonts w:eastAsia="SimSun" w:cs="Arial"/>
          <w:sz w:val="22"/>
          <w:szCs w:val="22"/>
          <w:lang w:eastAsia="zh-CN"/>
        </w:rPr>
        <w:tab/>
      </w:r>
      <w:r w:rsidR="00751DBE" w:rsidRPr="006F4594">
        <w:rPr>
          <w:rFonts w:eastAsia="SimSun"/>
          <w:lang w:eastAsia="zh-CN"/>
        </w:rPr>
        <w:t xml:space="preserve">En tant que coordonnateur </w:t>
      </w:r>
      <w:r w:rsidR="00873D11" w:rsidRPr="006F4594">
        <w:rPr>
          <w:rFonts w:eastAsia="SimSun"/>
          <w:lang w:eastAsia="zh-CN"/>
        </w:rPr>
        <w:t xml:space="preserve">principal </w:t>
      </w:r>
      <w:r w:rsidR="00751DBE" w:rsidRPr="006F4594">
        <w:rPr>
          <w:rFonts w:eastAsia="SimSun"/>
          <w:lang w:eastAsia="zh-CN"/>
        </w:rPr>
        <w:t>pour la grande orientation C5 du SMSI, l</w:t>
      </w:r>
      <w:r w:rsidR="006F4594">
        <w:rPr>
          <w:rFonts w:eastAsia="SimSun"/>
          <w:lang w:eastAsia="zh-CN"/>
        </w:rPr>
        <w:t>'</w:t>
      </w:r>
      <w:r w:rsidR="00751DBE" w:rsidRPr="006F4594">
        <w:rPr>
          <w:rFonts w:eastAsia="SimSun"/>
          <w:lang w:eastAsia="zh-CN"/>
        </w:rPr>
        <w:t>UIT a organisé une séance de coordination pour cette grande orientation, sur le thème "Résilience numérique: la nouvelle frontière – le monde numérique et l</w:t>
      </w:r>
      <w:r w:rsidR="006F4594">
        <w:rPr>
          <w:rFonts w:eastAsia="SimSun"/>
          <w:lang w:eastAsia="zh-CN"/>
        </w:rPr>
        <w:t>'</w:t>
      </w:r>
      <w:r w:rsidR="00751DBE" w:rsidRPr="006F4594">
        <w:rPr>
          <w:rFonts w:eastAsia="SimSun"/>
          <w:lang w:eastAsia="zh-CN"/>
        </w:rPr>
        <w:t xml:space="preserve">espace", lors du </w:t>
      </w:r>
      <w:hyperlink r:id="rId49" w:history="1">
        <w:r w:rsidR="00751DBE" w:rsidRPr="006F4594">
          <w:rPr>
            <w:rStyle w:val="Hyperlink"/>
            <w:rFonts w:asciiTheme="minorHAnsi" w:eastAsia="SimSun" w:hAnsiTheme="minorHAnsi" w:cstheme="minorBidi"/>
            <w:szCs w:val="24"/>
            <w:lang w:eastAsia="zh-CN"/>
          </w:rPr>
          <w:t>Forum de 2023 du SMSI</w:t>
        </w:r>
      </w:hyperlink>
      <w:r w:rsidR="00751DBE" w:rsidRPr="006F4594">
        <w:rPr>
          <w:rFonts w:eastAsia="SimSun"/>
          <w:lang w:eastAsia="zh-CN"/>
        </w:rPr>
        <w:t>. Dans le cadre du Forum, plusieurs séances ont été organisées sur la confiance dans les domaines liés aux technologies nouvelles et émergentes, comme l</w:t>
      </w:r>
      <w:r w:rsidR="006F4594">
        <w:rPr>
          <w:rFonts w:eastAsia="SimSun"/>
          <w:lang w:eastAsia="zh-CN"/>
        </w:rPr>
        <w:t>'</w:t>
      </w:r>
      <w:r w:rsidR="00751DBE" w:rsidRPr="006F4594">
        <w:rPr>
          <w:rFonts w:eastAsia="SimSun"/>
          <w:lang w:eastAsia="zh-CN"/>
        </w:rPr>
        <w:t>intelligence artificielle (IA) et les technologies quantiques, ainsi que sur la protection en ligne des femmes et des enfants, pour ne citer que ces exemples.</w:t>
      </w:r>
    </w:p>
    <w:p w14:paraId="14E4587D" w14:textId="51549CA6" w:rsidR="00751DBE" w:rsidRPr="006F4594" w:rsidRDefault="003D6BE6" w:rsidP="006F4594">
      <w:pPr>
        <w:rPr>
          <w:rFonts w:eastAsia="SimSun"/>
          <w:lang w:eastAsia="zh-CN"/>
        </w:rPr>
      </w:pPr>
      <w:r w:rsidRPr="006F4594">
        <w:rPr>
          <w:rFonts w:eastAsia="SimSun"/>
          <w:lang w:eastAsia="zh-CN"/>
        </w:rPr>
        <w:t>5.4</w:t>
      </w:r>
      <w:r w:rsidRPr="006F4594">
        <w:tab/>
      </w:r>
      <w:r w:rsidR="00DC6BD1" w:rsidRPr="006F4594">
        <w:rPr>
          <w:rFonts w:eastAsia="SimSun"/>
          <w:lang w:eastAsia="zh-CN"/>
        </w:rPr>
        <w:t>L</w:t>
      </w:r>
      <w:r w:rsidR="006F4594">
        <w:rPr>
          <w:rFonts w:eastAsia="SimSun"/>
          <w:lang w:eastAsia="zh-CN"/>
        </w:rPr>
        <w:t>'</w:t>
      </w:r>
      <w:r w:rsidR="00DC6BD1" w:rsidRPr="006F4594">
        <w:rPr>
          <w:rFonts w:eastAsia="SimSun"/>
          <w:lang w:eastAsia="zh-CN"/>
        </w:rPr>
        <w:t>UIT a continué</w:t>
      </w:r>
      <w:r w:rsidR="00751DBE" w:rsidRPr="006F4594">
        <w:rPr>
          <w:rFonts w:eastAsia="SimSun"/>
          <w:lang w:eastAsia="zh-CN"/>
        </w:rPr>
        <w:t xml:space="preserve"> de </w:t>
      </w:r>
      <w:r w:rsidR="004F4742" w:rsidRPr="006F4594">
        <w:rPr>
          <w:rFonts w:eastAsia="SimSun"/>
          <w:lang w:eastAsia="zh-CN"/>
        </w:rPr>
        <w:t>travailler</w:t>
      </w:r>
      <w:r w:rsidR="00751DBE" w:rsidRPr="006F4594">
        <w:rPr>
          <w:rFonts w:eastAsia="SimSun"/>
          <w:lang w:eastAsia="zh-CN"/>
        </w:rPr>
        <w:t xml:space="preserve"> avec les parties prenantes </w:t>
      </w:r>
      <w:r w:rsidR="00DC6BD1" w:rsidRPr="006F4594">
        <w:rPr>
          <w:rFonts w:eastAsia="SimSun"/>
          <w:lang w:eastAsia="zh-CN"/>
        </w:rPr>
        <w:t>dans le cadre du Groupe de travail à composition non limitée sur la sécurité des TIC et de leur utilisation (OEWG), en contribuant à l</w:t>
      </w:r>
      <w:r w:rsidR="006F4594">
        <w:rPr>
          <w:rFonts w:eastAsia="SimSun"/>
          <w:lang w:eastAsia="zh-CN"/>
        </w:rPr>
        <w:t>'</w:t>
      </w:r>
      <w:r w:rsidR="00DC6BD1" w:rsidRPr="006F4594">
        <w:rPr>
          <w:rFonts w:eastAsia="SimSun"/>
          <w:lang w:eastAsia="zh-CN"/>
        </w:rPr>
        <w:t xml:space="preserve">exercice de mise en correspondance des activités de renforcement des capacités du Groupe, en </w:t>
      </w:r>
      <w:r w:rsidR="004F4742" w:rsidRPr="006F4594">
        <w:rPr>
          <w:rFonts w:eastAsia="SimSun"/>
          <w:lang w:eastAsia="zh-CN"/>
        </w:rPr>
        <w:t>acquérant une meilleure compréhension des besoins actuels en matière de cybersécurité à l</w:t>
      </w:r>
      <w:r w:rsidR="006F4594">
        <w:rPr>
          <w:rFonts w:eastAsia="SimSun"/>
          <w:lang w:eastAsia="zh-CN"/>
        </w:rPr>
        <w:t>'</w:t>
      </w:r>
      <w:r w:rsidR="004F4742" w:rsidRPr="006F4594">
        <w:rPr>
          <w:rFonts w:eastAsia="SimSun"/>
          <w:lang w:eastAsia="zh-CN"/>
        </w:rPr>
        <w:t>aide de l</w:t>
      </w:r>
      <w:r w:rsidR="006F4594">
        <w:rPr>
          <w:rFonts w:eastAsia="SimSun"/>
          <w:lang w:eastAsia="zh-CN"/>
        </w:rPr>
        <w:t>'</w:t>
      </w:r>
      <w:r w:rsidR="004F4742" w:rsidRPr="006F4594">
        <w:rPr>
          <w:rFonts w:eastAsia="SimSun"/>
          <w:lang w:eastAsia="zh-CN"/>
        </w:rPr>
        <w:t>Indice mondial de cybersécurité et en présentant les retombées de l</w:t>
      </w:r>
      <w:r w:rsidR="006F4594">
        <w:rPr>
          <w:rFonts w:eastAsia="SimSun"/>
          <w:lang w:eastAsia="zh-CN"/>
        </w:rPr>
        <w:t>'</w:t>
      </w:r>
      <w:r w:rsidR="004F4742" w:rsidRPr="006F4594">
        <w:rPr>
          <w:rFonts w:eastAsia="SimSun"/>
          <w:lang w:eastAsia="zh-CN"/>
        </w:rPr>
        <w:t>Initiative "HerCyberTracks".</w:t>
      </w:r>
    </w:p>
    <w:p w14:paraId="7BAEBA09" w14:textId="5F088805" w:rsidR="004F4742" w:rsidRPr="006F4594" w:rsidRDefault="003D6BE6" w:rsidP="006F4594">
      <w:pPr>
        <w:rPr>
          <w:rFonts w:eastAsia="SimSun"/>
          <w:lang w:eastAsia="zh-CN"/>
        </w:rPr>
      </w:pPr>
      <w:r w:rsidRPr="006F4594">
        <w:rPr>
          <w:rFonts w:eastAsia="SimSun"/>
          <w:lang w:eastAsia="zh-CN"/>
        </w:rPr>
        <w:t>5.5</w:t>
      </w:r>
      <w:r w:rsidRPr="006F4594">
        <w:rPr>
          <w:rFonts w:eastAsia="SimSun"/>
          <w:lang w:eastAsia="zh-CN"/>
        </w:rPr>
        <w:tab/>
      </w:r>
      <w:r w:rsidR="004F4742" w:rsidRPr="006F4594">
        <w:rPr>
          <w:rFonts w:eastAsia="SimSun"/>
          <w:lang w:eastAsia="zh-CN"/>
        </w:rPr>
        <w:t>L</w:t>
      </w:r>
      <w:r w:rsidR="006F4594">
        <w:rPr>
          <w:rFonts w:eastAsia="SimSun"/>
          <w:lang w:eastAsia="zh-CN"/>
        </w:rPr>
        <w:t>'</w:t>
      </w:r>
      <w:r w:rsidR="004F4742" w:rsidRPr="006F4594">
        <w:rPr>
          <w:rFonts w:eastAsia="SimSun"/>
          <w:lang w:eastAsia="zh-CN"/>
        </w:rPr>
        <w:t>UIT continue de participer en tant qu</w:t>
      </w:r>
      <w:r w:rsidR="006F4594">
        <w:rPr>
          <w:rFonts w:eastAsia="SimSun"/>
          <w:lang w:eastAsia="zh-CN"/>
        </w:rPr>
        <w:t>'</w:t>
      </w:r>
      <w:r w:rsidR="004F4742" w:rsidRPr="006F4594">
        <w:rPr>
          <w:rFonts w:eastAsia="SimSun"/>
          <w:lang w:eastAsia="zh-CN"/>
        </w:rPr>
        <w:t xml:space="preserve">observateur aux travaux du </w:t>
      </w:r>
      <w:hyperlink r:id="rId50" w:history="1">
        <w:r w:rsidR="004F4742" w:rsidRPr="006F4594">
          <w:rPr>
            <w:rStyle w:val="Hyperlink"/>
            <w:rFonts w:asciiTheme="minorHAnsi" w:eastAsia="SimSun" w:hAnsiTheme="minorHAnsi" w:cstheme="minorBidi"/>
            <w:szCs w:val="24"/>
            <w:lang w:eastAsia="zh-CN"/>
          </w:rPr>
          <w:t>Co</w:t>
        </w:r>
        <w:r w:rsidR="004F4742" w:rsidRPr="006F4594">
          <w:rPr>
            <w:rStyle w:val="Hyperlink"/>
            <w:rFonts w:asciiTheme="minorHAnsi" w:eastAsia="SimSun" w:hAnsiTheme="minorHAnsi" w:cstheme="minorBidi"/>
            <w:szCs w:val="24"/>
            <w:lang w:eastAsia="zh-CN"/>
          </w:rPr>
          <w:t>m</w:t>
        </w:r>
        <w:r w:rsidR="004F4742" w:rsidRPr="006F4594">
          <w:rPr>
            <w:rStyle w:val="Hyperlink"/>
            <w:rFonts w:asciiTheme="minorHAnsi" w:eastAsia="SimSun" w:hAnsiTheme="minorHAnsi" w:cstheme="minorBidi"/>
            <w:szCs w:val="24"/>
            <w:lang w:eastAsia="zh-CN"/>
          </w:rPr>
          <w:t>ité spécial chargé d</w:t>
        </w:r>
        <w:r w:rsidR="006F4594">
          <w:rPr>
            <w:rStyle w:val="Hyperlink"/>
            <w:rFonts w:asciiTheme="minorHAnsi" w:eastAsia="SimSun" w:hAnsiTheme="minorHAnsi" w:cstheme="minorBidi"/>
            <w:szCs w:val="24"/>
            <w:lang w:eastAsia="zh-CN"/>
          </w:rPr>
          <w:t>'</w:t>
        </w:r>
        <w:r w:rsidR="004F4742" w:rsidRPr="006F4594">
          <w:rPr>
            <w:rStyle w:val="Hyperlink"/>
            <w:rFonts w:asciiTheme="minorHAnsi" w:eastAsia="SimSun" w:hAnsiTheme="minorHAnsi" w:cstheme="minorBidi"/>
            <w:szCs w:val="24"/>
            <w:lang w:eastAsia="zh-CN"/>
          </w:rPr>
          <w:t>élaborer une convention internationale générale sur la lutte contre l</w:t>
        </w:r>
        <w:r w:rsidR="006F4594">
          <w:rPr>
            <w:rStyle w:val="Hyperlink"/>
            <w:rFonts w:asciiTheme="minorHAnsi" w:eastAsia="SimSun" w:hAnsiTheme="minorHAnsi" w:cstheme="minorBidi"/>
            <w:szCs w:val="24"/>
            <w:lang w:eastAsia="zh-CN"/>
          </w:rPr>
          <w:t>'</w:t>
        </w:r>
        <w:r w:rsidR="004F4742" w:rsidRPr="006F4594">
          <w:rPr>
            <w:rStyle w:val="Hyperlink"/>
            <w:rFonts w:asciiTheme="minorHAnsi" w:eastAsia="SimSun" w:hAnsiTheme="minorHAnsi" w:cstheme="minorBidi"/>
            <w:szCs w:val="24"/>
            <w:lang w:eastAsia="zh-CN"/>
          </w:rPr>
          <w:t>utilisation des</w:t>
        </w:r>
        <w:r w:rsidR="006F4594" w:rsidRPr="006F4594">
          <w:rPr>
            <w:rStyle w:val="Hyperlink"/>
            <w:rFonts w:asciiTheme="minorHAnsi" w:eastAsia="SimSun" w:hAnsiTheme="minorHAnsi" w:cstheme="minorBidi"/>
            <w:szCs w:val="24"/>
            <w:lang w:eastAsia="zh-CN"/>
          </w:rPr>
          <w:t> </w:t>
        </w:r>
        <w:r w:rsidR="004F4742" w:rsidRPr="006F4594">
          <w:rPr>
            <w:rStyle w:val="Hyperlink"/>
            <w:rFonts w:asciiTheme="minorHAnsi" w:eastAsia="SimSun" w:hAnsiTheme="minorHAnsi" w:cstheme="minorBidi"/>
            <w:szCs w:val="24"/>
            <w:lang w:eastAsia="zh-CN"/>
          </w:rPr>
          <w:t>TIC à des fins criminelles</w:t>
        </w:r>
      </w:hyperlink>
      <w:r w:rsidR="004F4742" w:rsidRPr="006F4594">
        <w:rPr>
          <w:rFonts w:eastAsia="SimSun"/>
          <w:lang w:eastAsia="zh-CN"/>
        </w:rPr>
        <w:t>. Le secrétariat du Comité spécial est assuré par l</w:t>
      </w:r>
      <w:r w:rsidR="006F4594">
        <w:rPr>
          <w:rFonts w:eastAsia="SimSun"/>
          <w:lang w:eastAsia="zh-CN"/>
        </w:rPr>
        <w:t>'</w:t>
      </w:r>
      <w:r w:rsidR="004F4742" w:rsidRPr="006F4594">
        <w:rPr>
          <w:rFonts w:eastAsia="SimSun"/>
          <w:lang w:eastAsia="zh-CN"/>
        </w:rPr>
        <w:t>ONUDC.</w:t>
      </w:r>
    </w:p>
    <w:p w14:paraId="1A8EFFD1" w14:textId="37968D1E" w:rsidR="004F4742" w:rsidRPr="006F4594" w:rsidRDefault="003D6BE6" w:rsidP="006F4594">
      <w:pPr>
        <w:rPr>
          <w:rFonts w:eastAsia="SimSun"/>
        </w:rPr>
      </w:pPr>
      <w:r w:rsidRPr="006F4594">
        <w:rPr>
          <w:rFonts w:eastAsia="SimSun"/>
          <w:lang w:eastAsia="zh-CN"/>
        </w:rPr>
        <w:t>5.6</w:t>
      </w:r>
      <w:r w:rsidRPr="006F4594">
        <w:rPr>
          <w:rFonts w:eastAsia="SimSun"/>
          <w:lang w:eastAsia="zh-CN"/>
        </w:rPr>
        <w:tab/>
      </w:r>
      <w:r w:rsidR="004F4742" w:rsidRPr="006F4594">
        <w:rPr>
          <w:rFonts w:eastAsia="SimSun"/>
          <w:lang w:eastAsia="zh-CN"/>
        </w:rPr>
        <w:t>L</w:t>
      </w:r>
      <w:r w:rsidR="006F4594">
        <w:rPr>
          <w:rFonts w:eastAsia="SimSun"/>
          <w:lang w:eastAsia="zh-CN"/>
        </w:rPr>
        <w:t>'</w:t>
      </w:r>
      <w:r w:rsidR="004F4742" w:rsidRPr="006F4594">
        <w:rPr>
          <w:rFonts w:eastAsia="SimSun"/>
          <w:lang w:eastAsia="zh-CN"/>
        </w:rPr>
        <w:t>UIT collabore avec des États Membres pour s</w:t>
      </w:r>
      <w:r w:rsidR="006F4594">
        <w:rPr>
          <w:rFonts w:eastAsia="SimSun"/>
          <w:lang w:eastAsia="zh-CN"/>
        </w:rPr>
        <w:t>'</w:t>
      </w:r>
      <w:r w:rsidR="004F4742" w:rsidRPr="006F4594">
        <w:rPr>
          <w:rFonts w:eastAsia="SimSun"/>
          <w:lang w:eastAsia="zh-CN"/>
        </w:rPr>
        <w:t>acquitter de sa mission, notamment</w:t>
      </w:r>
      <w:r w:rsidR="00873D11" w:rsidRPr="006F4594">
        <w:rPr>
          <w:rFonts w:eastAsia="SimSun"/>
          <w:lang w:eastAsia="zh-CN"/>
        </w:rPr>
        <w:t xml:space="preserve"> avec</w:t>
      </w:r>
      <w:r w:rsidR="004F4742" w:rsidRPr="006F4594">
        <w:rPr>
          <w:rFonts w:eastAsia="SimSun"/>
          <w:lang w:eastAsia="zh-CN"/>
        </w:rPr>
        <w:t xml:space="preserve"> la République tchèque, l</w:t>
      </w:r>
      <w:r w:rsidR="006F4594">
        <w:rPr>
          <w:rFonts w:eastAsia="SimSun"/>
          <w:lang w:eastAsia="zh-CN"/>
        </w:rPr>
        <w:t>'</w:t>
      </w:r>
      <w:r w:rsidR="004F4742" w:rsidRPr="006F4594">
        <w:rPr>
          <w:rFonts w:eastAsia="SimSun"/>
          <w:lang w:eastAsia="zh-CN"/>
        </w:rPr>
        <w:t>Allemagne, le Royaume d</w:t>
      </w:r>
      <w:r w:rsidR="006F4594">
        <w:rPr>
          <w:rFonts w:eastAsia="SimSun"/>
          <w:lang w:eastAsia="zh-CN"/>
        </w:rPr>
        <w:t>'</w:t>
      </w:r>
      <w:r w:rsidR="004F4742" w:rsidRPr="006F4594">
        <w:rPr>
          <w:rFonts w:eastAsia="SimSun"/>
          <w:lang w:eastAsia="zh-CN"/>
        </w:rPr>
        <w:t>Arabie saoudite et le Royaume-Uni.</w:t>
      </w:r>
    </w:p>
    <w:p w14:paraId="14A95892" w14:textId="2D56890D" w:rsidR="003D6BE6" w:rsidRPr="006F4594" w:rsidRDefault="003D6BE6" w:rsidP="006F4594">
      <w:pPr>
        <w:pStyle w:val="Heading1"/>
        <w:rPr>
          <w:rFonts w:eastAsia="SimSun"/>
          <w:lang w:eastAsia="zh-CN"/>
        </w:rPr>
      </w:pPr>
      <w:r w:rsidRPr="006F4594">
        <w:rPr>
          <w:rFonts w:eastAsia="SimSun"/>
          <w:lang w:eastAsia="zh-CN"/>
        </w:rPr>
        <w:t>6</w:t>
      </w:r>
      <w:r w:rsidRPr="006F4594">
        <w:rPr>
          <w:rFonts w:eastAsia="SimSun"/>
          <w:lang w:eastAsia="zh-CN"/>
        </w:rPr>
        <w:tab/>
      </w:r>
      <w:r w:rsidR="004F4742" w:rsidRPr="006F4594">
        <w:rPr>
          <w:rFonts w:eastAsia="SimSun"/>
          <w:lang w:eastAsia="zh-CN"/>
        </w:rPr>
        <w:t>Protection en ligne des enfants (COP)</w:t>
      </w:r>
    </w:p>
    <w:p w14:paraId="42FC5F10" w14:textId="5A864AE4" w:rsidR="004F4742" w:rsidRPr="006F4594" w:rsidRDefault="003D6BE6" w:rsidP="006F4594">
      <w:pPr>
        <w:rPr>
          <w:rFonts w:eastAsia="SimSun"/>
        </w:rPr>
      </w:pPr>
      <w:r w:rsidRPr="006F4594">
        <w:rPr>
          <w:rFonts w:eastAsia="SimSun"/>
        </w:rPr>
        <w:t>6.1</w:t>
      </w:r>
      <w:r w:rsidRPr="006F4594">
        <w:rPr>
          <w:rFonts w:eastAsia="SimSun"/>
        </w:rPr>
        <w:tab/>
      </w:r>
      <w:r w:rsidR="004F4742" w:rsidRPr="006F4594">
        <w:rPr>
          <w:rFonts w:eastAsia="SimSun"/>
        </w:rPr>
        <w:t>Dans le cadre de leur accord de collaboration, l</w:t>
      </w:r>
      <w:r w:rsidR="006F4594">
        <w:rPr>
          <w:rFonts w:eastAsia="SimSun"/>
        </w:rPr>
        <w:t>'</w:t>
      </w:r>
      <w:r w:rsidR="004F4742" w:rsidRPr="006F4594">
        <w:rPr>
          <w:rFonts w:eastAsia="SimSun"/>
        </w:rPr>
        <w:t>UIT et la Fondation SCORT ont organisé conjointement une manifestation lors du Forum de 2023 du SMSI, sur le thème "</w:t>
      </w:r>
      <w:hyperlink r:id="rId51" w:history="1">
        <w:r w:rsidR="004F4742" w:rsidRPr="006F4594">
          <w:rPr>
            <w:rStyle w:val="Hyperlink"/>
            <w:rFonts w:asciiTheme="minorHAnsi" w:eastAsia="SimSun" w:hAnsiTheme="minorHAnsi" w:cstheme="minorHAnsi"/>
            <w:szCs w:val="24"/>
          </w:rPr>
          <w:t>Joue</w:t>
        </w:r>
        <w:r w:rsidR="004F4742" w:rsidRPr="006F4594">
          <w:rPr>
            <w:rStyle w:val="Hyperlink"/>
            <w:rFonts w:asciiTheme="minorHAnsi" w:eastAsia="SimSun" w:hAnsiTheme="minorHAnsi" w:cstheme="minorHAnsi"/>
            <w:szCs w:val="24"/>
          </w:rPr>
          <w:t>r</w:t>
        </w:r>
        <w:r w:rsidR="004F4742" w:rsidRPr="006F4594">
          <w:rPr>
            <w:rStyle w:val="Hyperlink"/>
            <w:rFonts w:asciiTheme="minorHAnsi" w:eastAsia="SimSun" w:hAnsiTheme="minorHAnsi" w:cstheme="minorHAnsi"/>
            <w:szCs w:val="24"/>
          </w:rPr>
          <w:t xml:space="preserve"> en toute sécurité à l</w:t>
        </w:r>
        <w:r w:rsidR="006F4594">
          <w:rPr>
            <w:rStyle w:val="Hyperlink"/>
            <w:rFonts w:asciiTheme="minorHAnsi" w:eastAsia="SimSun" w:hAnsiTheme="minorHAnsi" w:cstheme="minorHAnsi"/>
            <w:szCs w:val="24"/>
          </w:rPr>
          <w:t>'</w:t>
        </w:r>
        <w:r w:rsidR="004F4742" w:rsidRPr="006F4594">
          <w:rPr>
            <w:rStyle w:val="Hyperlink"/>
            <w:rFonts w:asciiTheme="minorHAnsi" w:eastAsia="SimSun" w:hAnsiTheme="minorHAnsi" w:cstheme="minorHAnsi"/>
            <w:szCs w:val="24"/>
          </w:rPr>
          <w:t>ère du numérique: le sport au service de la sécurité en ligne des enfants</w:t>
        </w:r>
      </w:hyperlink>
      <w:r w:rsidR="004F4742" w:rsidRPr="006F4594">
        <w:rPr>
          <w:rFonts w:eastAsia="SimSun"/>
        </w:rPr>
        <w:t>", afin de tirer parti du potentiel de ce secteur pour sensibiliser davantage à la sécurité en ligne des enfants.</w:t>
      </w:r>
    </w:p>
    <w:p w14:paraId="3C70B2B9" w14:textId="1EBC45AF" w:rsidR="004F4742" w:rsidRPr="006F4594" w:rsidRDefault="003D6BE6" w:rsidP="006F4594">
      <w:pPr>
        <w:keepNext/>
        <w:keepLines/>
      </w:pPr>
      <w:r w:rsidRPr="006F4594">
        <w:rPr>
          <w:rFonts w:eastAsia="SimSun"/>
        </w:rPr>
        <w:lastRenderedPageBreak/>
        <w:t>6.2</w:t>
      </w:r>
      <w:r w:rsidRPr="006F4594">
        <w:rPr>
          <w:rFonts w:eastAsia="SimSun"/>
        </w:rPr>
        <w:tab/>
      </w:r>
      <w:r w:rsidR="004F4742" w:rsidRPr="006F4594">
        <w:t>Conformément à l</w:t>
      </w:r>
      <w:r w:rsidR="006F4594">
        <w:t>'</w:t>
      </w:r>
      <w:r w:rsidR="004F4742" w:rsidRPr="006F4594">
        <w:t>accord signé avec le Royaume d</w:t>
      </w:r>
      <w:r w:rsidR="006F4594">
        <w:t>'</w:t>
      </w:r>
      <w:r w:rsidR="004F4742" w:rsidRPr="006F4594">
        <w:t>Arabie saoudite, l</w:t>
      </w:r>
      <w:r w:rsidR="006F4594">
        <w:t>'</w:t>
      </w:r>
      <w:r w:rsidR="004F4742" w:rsidRPr="006F4594">
        <w:t>UIT met en œuvre le projet "Créer un cyberenvironnement sûr et de nature à autonomiser les enfants", dans le cadre duquel un certain nombre de cours de formation en ligne adaptés au rythme de chacun sont dispensés à toutes les parties prenantes concernées, par l</w:t>
      </w:r>
      <w:r w:rsidR="006F4594">
        <w:t>'</w:t>
      </w:r>
      <w:r w:rsidR="004F4742" w:rsidRPr="006F4594">
        <w:t>intermédiaire de l</w:t>
      </w:r>
      <w:r w:rsidR="006F4594">
        <w:t>'</w:t>
      </w:r>
      <w:r w:rsidR="004F4742" w:rsidRPr="006F4594">
        <w:t>Académie de l</w:t>
      </w:r>
      <w:r w:rsidR="006F4594">
        <w:t>'</w:t>
      </w:r>
      <w:r w:rsidR="004F4742" w:rsidRPr="006F4594">
        <w:t>UIT. Il était prévu que l</w:t>
      </w:r>
      <w:r w:rsidR="006F4594">
        <w:t>'</w:t>
      </w:r>
      <w:r w:rsidR="004F4742" w:rsidRPr="006F4594">
        <w:t>UIT présente, à la mi-2023, deux solutions interactives – une application web et un jeu en ligne – destinées à donner les moyens aux enfants et aux jeunes de devenir des citoyens responsables de la société du numérique.</w:t>
      </w:r>
    </w:p>
    <w:p w14:paraId="05309BCC" w14:textId="4BF3C5BC" w:rsidR="00897553" w:rsidRPr="006F4594" w:rsidRDefault="006A11AE" w:rsidP="006F4594">
      <w:pPr>
        <w:jc w:val="center"/>
      </w:pPr>
      <w:r w:rsidRPr="006F4594">
        <w:t>______________</w:t>
      </w:r>
    </w:p>
    <w:sectPr w:rsidR="00897553" w:rsidRPr="006F4594" w:rsidSect="00D72F49">
      <w:headerReference w:type="even" r:id="rId52"/>
      <w:footerReference w:type="even" r:id="rId53"/>
      <w:footerReference w:type="default" r:id="rId54"/>
      <w:headerReference w:type="first" r:id="rId55"/>
      <w:footerReference w:type="first" r:id="rId5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503D42B7" w:rsidR="00732045" w:rsidRDefault="006F4594">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9C20A7">
      <w:t>07.05.24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2BFBCE3" w:rsidR="00A51849" w:rsidRDefault="00A51849" w:rsidP="00A51849">
          <w:pPr>
            <w:pStyle w:val="Header"/>
            <w:jc w:val="left"/>
            <w:rPr>
              <w:noProof/>
            </w:rPr>
          </w:pPr>
        </w:p>
      </w:tc>
      <w:tc>
        <w:tcPr>
          <w:tcW w:w="8261" w:type="dxa"/>
        </w:tcPr>
        <w:p w14:paraId="0DB0A3C6" w14:textId="10D474B5" w:rsidR="00A51849" w:rsidRPr="00E06FD5" w:rsidRDefault="00A51849" w:rsidP="003D6BE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D6BE6">
            <w:rPr>
              <w:bCs/>
            </w:rPr>
            <w:t>18</w:t>
          </w:r>
          <w:r w:rsidRPr="00623AE3">
            <w:rPr>
              <w:bCs/>
            </w:rPr>
            <w:t>-</w:t>
          </w:r>
          <w:r w:rsidR="00973F53">
            <w:rPr>
              <w:bCs/>
            </w:rPr>
            <w:t>F</w:t>
          </w:r>
          <w:r>
            <w:rPr>
              <w:bCs/>
            </w:rPr>
            <w:tab/>
          </w:r>
          <w:r>
            <w:fldChar w:fldCharType="begin"/>
          </w:r>
          <w:r>
            <w:instrText>PAGE</w:instrText>
          </w:r>
          <w:r>
            <w:fldChar w:fldCharType="separate"/>
          </w:r>
          <w:r w:rsidR="00653CB5">
            <w:rPr>
              <w:noProof/>
            </w:rPr>
            <w:t>5</w:t>
          </w:r>
          <w:r>
            <w:rPr>
              <w:noProof/>
            </w:rPr>
            <w:fldChar w:fldCharType="end"/>
          </w:r>
        </w:p>
      </w:tc>
    </w:tr>
  </w:tbl>
  <w:p w14:paraId="0BA722AB" w14:textId="304455E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F4594"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95B6E44" w:rsidR="00A51849" w:rsidRPr="00E06FD5" w:rsidRDefault="00A51849" w:rsidP="003D6BE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D6BE6">
            <w:rPr>
              <w:bCs/>
            </w:rPr>
            <w:t>18</w:t>
          </w:r>
          <w:r w:rsidRPr="00623AE3">
            <w:rPr>
              <w:bCs/>
            </w:rPr>
            <w:t>-</w:t>
          </w:r>
          <w:r w:rsidR="00D72F49">
            <w:rPr>
              <w:bCs/>
            </w:rPr>
            <w:t>F</w:t>
          </w:r>
          <w:r>
            <w:rPr>
              <w:bCs/>
            </w:rPr>
            <w:tab/>
          </w:r>
          <w:r>
            <w:fldChar w:fldCharType="begin"/>
          </w:r>
          <w:r>
            <w:instrText>PAGE</w:instrText>
          </w:r>
          <w:r>
            <w:fldChar w:fldCharType="separate"/>
          </w:r>
          <w:r w:rsidR="00201AE9">
            <w:rPr>
              <w:noProof/>
            </w:rPr>
            <w:t>1</w:t>
          </w:r>
          <w:r>
            <w:rPr>
              <w:noProof/>
            </w:rPr>
            <w:fldChar w:fldCharType="end"/>
          </w:r>
        </w:p>
      </w:tc>
    </w:tr>
  </w:tbl>
  <w:p w14:paraId="67CF33E3" w14:textId="19EC231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en-US"/>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507E"/>
    <w:rsid w:val="00055EF3"/>
    <w:rsid w:val="00076A2C"/>
    <w:rsid w:val="00082AE8"/>
    <w:rsid w:val="00087124"/>
    <w:rsid w:val="000C613E"/>
    <w:rsid w:val="000D0D0A"/>
    <w:rsid w:val="00103163"/>
    <w:rsid w:val="00106B19"/>
    <w:rsid w:val="001133EF"/>
    <w:rsid w:val="00115D93"/>
    <w:rsid w:val="001247A8"/>
    <w:rsid w:val="001378C0"/>
    <w:rsid w:val="0018694A"/>
    <w:rsid w:val="00194294"/>
    <w:rsid w:val="001A3287"/>
    <w:rsid w:val="001A6508"/>
    <w:rsid w:val="001D4C31"/>
    <w:rsid w:val="001E4D21"/>
    <w:rsid w:val="0020077B"/>
    <w:rsid w:val="00201AE9"/>
    <w:rsid w:val="00207CD1"/>
    <w:rsid w:val="00226657"/>
    <w:rsid w:val="002477A2"/>
    <w:rsid w:val="00263A51"/>
    <w:rsid w:val="00267E02"/>
    <w:rsid w:val="00287577"/>
    <w:rsid w:val="00291FE1"/>
    <w:rsid w:val="002A5D44"/>
    <w:rsid w:val="002B5259"/>
    <w:rsid w:val="002E065F"/>
    <w:rsid w:val="002E0BC4"/>
    <w:rsid w:val="002F1B76"/>
    <w:rsid w:val="00317C0B"/>
    <w:rsid w:val="0033568E"/>
    <w:rsid w:val="00355FF5"/>
    <w:rsid w:val="00361350"/>
    <w:rsid w:val="00363E4F"/>
    <w:rsid w:val="003C3FAE"/>
    <w:rsid w:val="003D6BE6"/>
    <w:rsid w:val="004038CB"/>
    <w:rsid w:val="0040546F"/>
    <w:rsid w:val="0042404A"/>
    <w:rsid w:val="0044618F"/>
    <w:rsid w:val="004538FE"/>
    <w:rsid w:val="0046769A"/>
    <w:rsid w:val="00475FB3"/>
    <w:rsid w:val="004C0929"/>
    <w:rsid w:val="004C2CB7"/>
    <w:rsid w:val="004C37A9"/>
    <w:rsid w:val="004D1D50"/>
    <w:rsid w:val="004F259E"/>
    <w:rsid w:val="004F4742"/>
    <w:rsid w:val="00511F1D"/>
    <w:rsid w:val="00520F36"/>
    <w:rsid w:val="00534E13"/>
    <w:rsid w:val="00540615"/>
    <w:rsid w:val="00540A6D"/>
    <w:rsid w:val="005663B1"/>
    <w:rsid w:val="00566679"/>
    <w:rsid w:val="00571EEA"/>
    <w:rsid w:val="00575417"/>
    <w:rsid w:val="005768E1"/>
    <w:rsid w:val="005B1938"/>
    <w:rsid w:val="005B235B"/>
    <w:rsid w:val="005C3890"/>
    <w:rsid w:val="005C5219"/>
    <w:rsid w:val="005D0845"/>
    <w:rsid w:val="005F4B1D"/>
    <w:rsid w:val="005F7BFE"/>
    <w:rsid w:val="00600017"/>
    <w:rsid w:val="006235CA"/>
    <w:rsid w:val="00653CB5"/>
    <w:rsid w:val="00662F02"/>
    <w:rsid w:val="006643AB"/>
    <w:rsid w:val="0066448F"/>
    <w:rsid w:val="0066460D"/>
    <w:rsid w:val="006A11AE"/>
    <w:rsid w:val="006D1BA9"/>
    <w:rsid w:val="006E0734"/>
    <w:rsid w:val="006F0A53"/>
    <w:rsid w:val="006F4594"/>
    <w:rsid w:val="007210CD"/>
    <w:rsid w:val="00732045"/>
    <w:rsid w:val="0073275D"/>
    <w:rsid w:val="007369DB"/>
    <w:rsid w:val="00751DBE"/>
    <w:rsid w:val="007956C2"/>
    <w:rsid w:val="007A187E"/>
    <w:rsid w:val="007A44B0"/>
    <w:rsid w:val="007A5DAB"/>
    <w:rsid w:val="007B446E"/>
    <w:rsid w:val="007C72C2"/>
    <w:rsid w:val="007D4436"/>
    <w:rsid w:val="007F257A"/>
    <w:rsid w:val="007F3665"/>
    <w:rsid w:val="00800037"/>
    <w:rsid w:val="00806F66"/>
    <w:rsid w:val="0082299A"/>
    <w:rsid w:val="0083391C"/>
    <w:rsid w:val="00860935"/>
    <w:rsid w:val="00861D73"/>
    <w:rsid w:val="0087164D"/>
    <w:rsid w:val="00873D11"/>
    <w:rsid w:val="00897553"/>
    <w:rsid w:val="008A3435"/>
    <w:rsid w:val="008A4E87"/>
    <w:rsid w:val="008D76E6"/>
    <w:rsid w:val="008E591D"/>
    <w:rsid w:val="0092392D"/>
    <w:rsid w:val="0093234A"/>
    <w:rsid w:val="00956A78"/>
    <w:rsid w:val="0097363B"/>
    <w:rsid w:val="00973F53"/>
    <w:rsid w:val="009A6BAA"/>
    <w:rsid w:val="009B2DFF"/>
    <w:rsid w:val="009C20A7"/>
    <w:rsid w:val="009C307F"/>
    <w:rsid w:val="009C353C"/>
    <w:rsid w:val="009D304E"/>
    <w:rsid w:val="00A2113E"/>
    <w:rsid w:val="00A23A51"/>
    <w:rsid w:val="00A24607"/>
    <w:rsid w:val="00A25CD3"/>
    <w:rsid w:val="00A51849"/>
    <w:rsid w:val="00A66F36"/>
    <w:rsid w:val="00A709FE"/>
    <w:rsid w:val="00A73C60"/>
    <w:rsid w:val="00A82767"/>
    <w:rsid w:val="00A962EC"/>
    <w:rsid w:val="00AA332F"/>
    <w:rsid w:val="00AA7BBB"/>
    <w:rsid w:val="00AB64A8"/>
    <w:rsid w:val="00AC0266"/>
    <w:rsid w:val="00AD24EC"/>
    <w:rsid w:val="00AF0075"/>
    <w:rsid w:val="00AF461F"/>
    <w:rsid w:val="00B309F9"/>
    <w:rsid w:val="00B32B60"/>
    <w:rsid w:val="00B61619"/>
    <w:rsid w:val="00BB03A5"/>
    <w:rsid w:val="00BB4545"/>
    <w:rsid w:val="00BD5873"/>
    <w:rsid w:val="00BF4B60"/>
    <w:rsid w:val="00C04BE3"/>
    <w:rsid w:val="00C24065"/>
    <w:rsid w:val="00C25D29"/>
    <w:rsid w:val="00C27A7C"/>
    <w:rsid w:val="00C42437"/>
    <w:rsid w:val="00C4521B"/>
    <w:rsid w:val="00C47D59"/>
    <w:rsid w:val="00C76A07"/>
    <w:rsid w:val="00CA08ED"/>
    <w:rsid w:val="00CB6423"/>
    <w:rsid w:val="00CD1247"/>
    <w:rsid w:val="00CF183B"/>
    <w:rsid w:val="00D20F98"/>
    <w:rsid w:val="00D375CD"/>
    <w:rsid w:val="00D553A2"/>
    <w:rsid w:val="00D6414E"/>
    <w:rsid w:val="00D72F49"/>
    <w:rsid w:val="00D774D3"/>
    <w:rsid w:val="00D87111"/>
    <w:rsid w:val="00D904E8"/>
    <w:rsid w:val="00DA08C3"/>
    <w:rsid w:val="00DA5542"/>
    <w:rsid w:val="00DB5A3E"/>
    <w:rsid w:val="00DC22AA"/>
    <w:rsid w:val="00DC6BD1"/>
    <w:rsid w:val="00DD61B9"/>
    <w:rsid w:val="00DF0C7C"/>
    <w:rsid w:val="00DF1E36"/>
    <w:rsid w:val="00DF74DD"/>
    <w:rsid w:val="00E25AD0"/>
    <w:rsid w:val="00E42E62"/>
    <w:rsid w:val="00E4428F"/>
    <w:rsid w:val="00E64741"/>
    <w:rsid w:val="00E86511"/>
    <w:rsid w:val="00E93668"/>
    <w:rsid w:val="00E95647"/>
    <w:rsid w:val="00EB13D9"/>
    <w:rsid w:val="00EB6350"/>
    <w:rsid w:val="00F15B57"/>
    <w:rsid w:val="00F34F24"/>
    <w:rsid w:val="00F35EF4"/>
    <w:rsid w:val="00F37FE5"/>
    <w:rsid w:val="00F427DB"/>
    <w:rsid w:val="00F86873"/>
    <w:rsid w:val="00FA5EB1"/>
    <w:rsid w:val="00FA7439"/>
    <w:rsid w:val="00FC4EC0"/>
    <w:rsid w:val="00FD112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超?级链,Style 58,超????,하이퍼링크2,超链接1,超?级链?,Style?,S,하이퍼링크21,ECC 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A962EC"/>
    <w:rPr>
      <w:sz w:val="16"/>
      <w:szCs w:val="16"/>
    </w:rPr>
  </w:style>
  <w:style w:type="paragraph" w:styleId="CommentText">
    <w:name w:val="annotation text"/>
    <w:basedOn w:val="Normal"/>
    <w:link w:val="CommentTextChar"/>
    <w:semiHidden/>
    <w:unhideWhenUsed/>
    <w:rsid w:val="00A962EC"/>
    <w:rPr>
      <w:sz w:val="20"/>
    </w:rPr>
  </w:style>
  <w:style w:type="character" w:customStyle="1" w:styleId="CommentTextChar">
    <w:name w:val="Comment Text Char"/>
    <w:basedOn w:val="DefaultParagraphFont"/>
    <w:link w:val="CommentText"/>
    <w:semiHidden/>
    <w:rsid w:val="00A962EC"/>
    <w:rPr>
      <w:rFonts w:ascii="Calibri" w:hAnsi="Calibri"/>
      <w:lang w:val="fr-FR" w:eastAsia="en-US"/>
    </w:rPr>
  </w:style>
  <w:style w:type="paragraph" w:styleId="CommentSubject">
    <w:name w:val="annotation subject"/>
    <w:basedOn w:val="CommentText"/>
    <w:next w:val="CommentText"/>
    <w:link w:val="CommentSubjectChar"/>
    <w:semiHidden/>
    <w:unhideWhenUsed/>
    <w:rsid w:val="00A962EC"/>
    <w:rPr>
      <w:b/>
      <w:bCs/>
    </w:rPr>
  </w:style>
  <w:style w:type="character" w:customStyle="1" w:styleId="CommentSubjectChar">
    <w:name w:val="Comment Subject Char"/>
    <w:basedOn w:val="CommentTextChar"/>
    <w:link w:val="CommentSubject"/>
    <w:semiHidden/>
    <w:rsid w:val="00A962EC"/>
    <w:rPr>
      <w:rFonts w:ascii="Calibri" w:hAnsi="Calibri"/>
      <w:b/>
      <w:bCs/>
      <w:lang w:val="fr-FR" w:eastAsia="en-US"/>
    </w:rPr>
  </w:style>
  <w:style w:type="paragraph" w:styleId="BalloonText">
    <w:name w:val="Balloon Text"/>
    <w:basedOn w:val="Normal"/>
    <w:link w:val="BalloonTextChar"/>
    <w:semiHidden/>
    <w:unhideWhenUsed/>
    <w:rsid w:val="00A962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62EC"/>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9C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7147">
      <w:bodyDiv w:val="1"/>
      <w:marLeft w:val="0"/>
      <w:marRight w:val="0"/>
      <w:marTop w:val="0"/>
      <w:marBottom w:val="0"/>
      <w:divBdr>
        <w:top w:val="none" w:sz="0" w:space="0" w:color="auto"/>
        <w:left w:val="none" w:sz="0" w:space="0" w:color="auto"/>
        <w:bottom w:val="none" w:sz="0" w:space="0" w:color="auto"/>
        <w:right w:val="none" w:sz="0" w:space="0" w:color="auto"/>
      </w:divBdr>
    </w:div>
    <w:div w:id="6300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09/fr" TargetMode="External"/><Relationship Id="rId18" Type="http://schemas.openxmlformats.org/officeDocument/2006/relationships/hyperlink" Target="https://www.itu.int/pub/T-RES-T.75-2022/fr" TargetMode="External"/><Relationship Id="rId26" Type="http://schemas.openxmlformats.org/officeDocument/2006/relationships/hyperlink" Target="https://www.itu.int/md/S21-CL-C-0018/fr" TargetMode="External"/><Relationship Id="rId39" Type="http://schemas.openxmlformats.org/officeDocument/2006/relationships/hyperlink" Target="https://ncsguide.org/" TargetMode="External"/><Relationship Id="rId21" Type="http://schemas.openxmlformats.org/officeDocument/2006/relationships/hyperlink" Target="https://www.itu.int/md/S16-CL-C-0018/fr" TargetMode="External"/><Relationship Id="rId34" Type="http://schemas.openxmlformats.org/officeDocument/2006/relationships/hyperlink" Target="https://itu.int/go/SIG-SECURITY" TargetMode="External"/><Relationship Id="rId42" Type="http://schemas.openxmlformats.org/officeDocument/2006/relationships/hyperlink" Target="https://www.itu.int/en/ITU-D/Cybersecurity/Pages/global-cybersecurity-index.aspx" TargetMode="External"/><Relationship Id="rId47" Type="http://schemas.openxmlformats.org/officeDocument/2006/relationships/hyperlink" Target="https://www.itu.int/md/S23-CL-C-0124/fr" TargetMode="External"/><Relationship Id="rId50" Type="http://schemas.openxmlformats.org/officeDocument/2006/relationships/hyperlink" Target="https://www.unodc.org/unodc/en/cybercrime/ad_hoc_committee/home" TargetMode="External"/><Relationship Id="rId55" Type="http://schemas.openxmlformats.org/officeDocument/2006/relationships/header" Target="header2.xml"/><Relationship Id="rId7" Type="http://schemas.openxmlformats.org/officeDocument/2006/relationships/hyperlink" Target="https://www.itu.int/en/council/Documents/basic-texts-2023/RES-130-F.pdf" TargetMode="External"/><Relationship Id="rId12" Type="http://schemas.openxmlformats.org/officeDocument/2006/relationships/hyperlink" Target="http://www.itu.int/pub/S-CONF-WCIT-2012/fr" TargetMode="External"/><Relationship Id="rId17" Type="http://schemas.openxmlformats.org/officeDocument/2006/relationships/hyperlink" Target="https://www.itu.int/pub/T-RES-T.52-2022/fr" TargetMode="External"/><Relationship Id="rId25" Type="http://schemas.openxmlformats.org/officeDocument/2006/relationships/hyperlink" Target="https://www.itu.int/md/S20-CL-C-0018/fr" TargetMode="External"/><Relationship Id="rId33" Type="http://schemas.openxmlformats.org/officeDocument/2006/relationships/hyperlink" Target="https://www.itu.int/en/ITU-T/focusgroups/Pages/default.aspx" TargetMode="External"/><Relationship Id="rId38" Type="http://schemas.openxmlformats.org/officeDocument/2006/relationships/hyperlink" Target="https://www.itu.int/net4/ITU-D/CDS/sg/rgqlist.asp?lg=2&amp;sp=2014&amp;rgq=D14-SG02-RGQ03.2&amp;stg=2" TargetMode="External"/><Relationship Id="rId46" Type="http://schemas.openxmlformats.org/officeDocument/2006/relationships/hyperlink" Target="http://www.itu.int/en/ITU-D/Cybersecurity/Pages/partnership.aspx" TargetMode="External"/><Relationship Id="rId2" Type="http://schemas.openxmlformats.org/officeDocument/2006/relationships/settings" Target="settings.xml"/><Relationship Id="rId16" Type="http://schemas.openxmlformats.org/officeDocument/2006/relationships/hyperlink" Target="https://www.itu.int/pub/T-RES-T.50-2022/fr" TargetMode="External"/><Relationship Id="rId20" Type="http://schemas.openxmlformats.org/officeDocument/2006/relationships/hyperlink" Target="http://www.itu.int/md/S15-CL-C-0018/fr" TargetMode="External"/><Relationship Id="rId29" Type="http://schemas.openxmlformats.org/officeDocument/2006/relationships/hyperlink" Target="http://www.itu.int/en/ITU-D/Cybersecurity/Pages/Legal-Measures.aspx" TargetMode="External"/><Relationship Id="rId41" Type="http://schemas.openxmlformats.org/officeDocument/2006/relationships/hyperlink" Target="https://www.itu.int/en/ITU-D/Cybersecurity/Pages/cybersecurity-national-strategies.asp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071-F.pdf" TargetMode="External"/><Relationship Id="rId11" Type="http://schemas.openxmlformats.org/officeDocument/2006/relationships/hyperlink" Target="https://www.itu.int/en/council/Documents/basic-texts-2023/RES-181-F.pdf" TargetMode="External"/><Relationship Id="rId24" Type="http://schemas.openxmlformats.org/officeDocument/2006/relationships/hyperlink" Target="https://www.itu.int/md/S19-CL-C-0018/fr" TargetMode="External"/><Relationship Id="rId32" Type="http://schemas.openxmlformats.org/officeDocument/2006/relationships/hyperlink" Target="https://www.itu.int/fr/ITU-T/publications/Pages/recs.aspx" TargetMode="External"/><Relationship Id="rId37" Type="http://schemas.openxmlformats.org/officeDocument/2006/relationships/hyperlink" Target="https://www.itu.int/en/ITU-D/Cybersecurity/Pages/cyberdrills.aspx" TargetMode="External"/><Relationship Id="rId40"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45" Type="http://schemas.openxmlformats.org/officeDocument/2006/relationships/hyperlink" Target="https://www.itu.int/en/ITU-D/Cybersecurity/Pages/Cyber4Good/Cyber4Good.aspx"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D14-WTDC17-C-0115/fr" TargetMode="External"/><Relationship Id="rId23" Type="http://schemas.openxmlformats.org/officeDocument/2006/relationships/hyperlink" Target="https://www.itu.int/md/S18-CL-C-0018/fr" TargetMode="External"/><Relationship Id="rId28" Type="http://schemas.openxmlformats.org/officeDocument/2006/relationships/hyperlink" Target="https://www.itu.int/md/S23-CL-C-0038/fr" TargetMode="External"/><Relationship Id="rId36" Type="http://schemas.openxmlformats.org/officeDocument/2006/relationships/hyperlink" Target="https://www.itu.int/en/ITU-R/study-groups/rsg5/rwp5d/imt-2020/Pages/default.aspx" TargetMode="External"/><Relationship Id="rId49" Type="http://schemas.openxmlformats.org/officeDocument/2006/relationships/hyperlink" Target="https://www.itu.int/net4/wsis/forum/2023/fr" TargetMode="External"/><Relationship Id="rId57" Type="http://schemas.openxmlformats.org/officeDocument/2006/relationships/fontTable" Target="fontTable.xml"/><Relationship Id="rId10" Type="http://schemas.openxmlformats.org/officeDocument/2006/relationships/hyperlink" Target="chrome-extension://efaidnbmnnnibpcajpcglclefindmkaj/https:/www.itu.int/en/council/Documents/basic-texts-2023/RES-174-F.pdf" TargetMode="External"/><Relationship Id="rId19" Type="http://schemas.openxmlformats.org/officeDocument/2006/relationships/hyperlink" Target="https://www.itu.int/pub/T-RES-T.58-2022/fr" TargetMode="External"/><Relationship Id="rId31" Type="http://schemas.openxmlformats.org/officeDocument/2006/relationships/hyperlink" Target="https://www.itu.int/itu-t/workprog/wp_search.aspx?sg=17" TargetMode="External"/><Relationship Id="rId44" Type="http://schemas.openxmlformats.org/officeDocument/2006/relationships/hyperlink" Target="https://www.itu.int/en/ITU-D/Cybersecurity/Pages/Women-in-Cyber/HerCyberTracks/Her-CyberTracks.aspx"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council/Documents/basic-texts-2023/RES-179-F.pdf" TargetMode="External"/><Relationship Id="rId14" Type="http://schemas.openxmlformats.org/officeDocument/2006/relationships/hyperlink" Target="https://www.itu.int/dms_pub/itu-d/opb/tdc/D-TDC-WTDC-2022-PDF-F.pdf" TargetMode="External"/><Relationship Id="rId22" Type="http://schemas.openxmlformats.org/officeDocument/2006/relationships/hyperlink" Target="https://www.itu.int/md/S17-CL-C-0018/fr" TargetMode="External"/><Relationship Id="rId27" Type="http://schemas.openxmlformats.org/officeDocument/2006/relationships/hyperlink" Target="https://www.itu.int/md/S22-CL-C-0018/fr" TargetMode="External"/><Relationship Id="rId30" Type="http://schemas.openxmlformats.org/officeDocument/2006/relationships/hyperlink" Target="https://www.itu.int/fr/ITU-T/studygroups/2022-2024/17/Pages/default.aspx" TargetMode="External"/><Relationship Id="rId35" Type="http://schemas.openxmlformats.org/officeDocument/2006/relationships/hyperlink" Target="https://www.itu.int/pub/R-REC/fr" TargetMode="External"/><Relationship Id="rId43" Type="http://schemas.openxmlformats.org/officeDocument/2006/relationships/hyperlink" Target="https://www.itu.int/en/ITU-D/Cybersecurity/Pages/Women-in-Cyber/Women-in-Cyber-Mentorship-Programme.aspx" TargetMode="External"/><Relationship Id="rId48" Type="http://schemas.openxmlformats.org/officeDocument/2006/relationships/hyperlink" Target="https://www.itu.int/en/ITU-D/Cybersecurity/Pages/Council/CD630/Global-Cybersecurity-Knowledgebase.aspx" TargetMode="External"/><Relationship Id="rId56" Type="http://schemas.openxmlformats.org/officeDocument/2006/relationships/footer" Target="footer3.xml"/><Relationship Id="rId8" Type="http://schemas.openxmlformats.org/officeDocument/2006/relationships/hyperlink" Target="https://www.itu.int/en/council/Documents/basic-texts-2023/RES-140-F.pdf" TargetMode="External"/><Relationship Id="rId51" Type="http://schemas.openxmlformats.org/officeDocument/2006/relationships/hyperlink" Target="https://www.itu.int/net4/wsis/forum/2023/fr/Agenda/Session/463"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18835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23</cp:revision>
  <cp:lastPrinted>2000-07-18T08:55:00Z</cp:lastPrinted>
  <dcterms:created xsi:type="dcterms:W3CDTF">2024-05-07T14:28:00Z</dcterms:created>
  <dcterms:modified xsi:type="dcterms:W3CDTF">2024-05-08T06:34:00Z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