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5523363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412538D" w14:textId="0C66D0D9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9B598F">
              <w:rPr>
                <w:b/>
              </w:rPr>
              <w:t xml:space="preserve"> PL</w:t>
            </w:r>
            <w:r w:rsidR="00DC087A">
              <w:rPr>
                <w:b/>
              </w:rPr>
              <w:t>.</w:t>
            </w:r>
            <w:r w:rsidR="009B598F">
              <w:rPr>
                <w:b/>
              </w:rPr>
              <w:t>2</w:t>
            </w:r>
          </w:p>
        </w:tc>
        <w:tc>
          <w:tcPr>
            <w:tcW w:w="5245" w:type="dxa"/>
          </w:tcPr>
          <w:p w14:paraId="3E1C0CC8" w14:textId="198F71B1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097A6F">
              <w:rPr>
                <w:b/>
              </w:rPr>
              <w:t>15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1691A0F8" w14:textId="77777777" w:rsidTr="00E31DCE">
        <w:trPr>
          <w:cantSplit/>
        </w:trPr>
        <w:tc>
          <w:tcPr>
            <w:tcW w:w="3969" w:type="dxa"/>
            <w:vMerge/>
          </w:tcPr>
          <w:p w14:paraId="42E3A27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1DD6C54" w14:textId="09B404AA" w:rsidR="00796BD3" w:rsidRPr="00097A6F" w:rsidRDefault="00097A6F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</w:rPr>
              <w:t>9</w:t>
            </w:r>
            <w:r w:rsidR="00796BD3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апреля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796BD3" w:rsidRPr="00813E5E" w14:paraId="735E12A1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BD90463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F8A2FF0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28A14FB2" w14:textId="77777777" w:rsidTr="00E31DCE">
        <w:trPr>
          <w:cantSplit/>
          <w:trHeight w:val="23"/>
        </w:trPr>
        <w:tc>
          <w:tcPr>
            <w:tcW w:w="3969" w:type="dxa"/>
          </w:tcPr>
          <w:p w14:paraId="7AFDA1D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F36E94E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F25749" w14:paraId="432C34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7B2AF7" w14:textId="565F741B" w:rsidR="00796BD3" w:rsidRPr="00097A6F" w:rsidRDefault="00097A6F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97A6F">
              <w:rPr>
                <w:rFonts w:cstheme="minorHAnsi"/>
                <w:bCs/>
                <w:sz w:val="32"/>
                <w:szCs w:val="32"/>
                <w:lang w:val="ru-RU"/>
              </w:rPr>
              <w:t>Отчет председателя Рабочей группы Совета по защите ребенка в</w:t>
            </w:r>
            <w:r w:rsidR="00F25749">
              <w:rPr>
                <w:rFonts w:cstheme="minorHAnsi"/>
                <w:bCs/>
                <w:sz w:val="32"/>
                <w:szCs w:val="32"/>
                <w:lang w:val="ru-RU"/>
              </w:rPr>
              <w:t> </w:t>
            </w:r>
            <w:r w:rsidRPr="00097A6F">
              <w:rPr>
                <w:rFonts w:cstheme="minorHAnsi"/>
                <w:bCs/>
                <w:sz w:val="32"/>
                <w:szCs w:val="32"/>
                <w:lang w:val="ru-RU"/>
              </w:rPr>
              <w:t>онлайновой среде (РГС-COP)</w:t>
            </w:r>
          </w:p>
        </w:tc>
      </w:tr>
      <w:tr w:rsidR="00796BD3" w:rsidRPr="00F25749" w14:paraId="1A005BC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1EBB160" w14:textId="3A66232F" w:rsidR="00796BD3" w:rsidRPr="00097A6F" w:rsidRDefault="00097A6F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97A6F">
              <w:rPr>
                <w:rFonts w:cstheme="minorHAnsi"/>
                <w:sz w:val="32"/>
                <w:szCs w:val="32"/>
                <w:lang w:val="ru-RU"/>
              </w:rPr>
              <w:t>РЕЗУЛЬТАТЫ ДЕВЯТНАДЦАТОГО И ДВАДЦАТОГО СОБРАНИЙ РАБОЧЕЙ ГРУППЫ СОВЕТА ПО ЗАЩИТЕ РЕБЕНКА В ОНЛАЙНОВОЙ СРЕДЕ</w:t>
            </w:r>
          </w:p>
        </w:tc>
      </w:tr>
      <w:tr w:rsidR="00796BD3" w:rsidRPr="00813E5E" w14:paraId="3CB3156C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ACDF26F" w14:textId="7305F302" w:rsidR="00796BD3" w:rsidRPr="00F2574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97A6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9DA3994" w14:textId="044A99F2" w:rsidR="00796BD3" w:rsidRPr="00097A6F" w:rsidRDefault="00097A6F" w:rsidP="00E31DCE">
            <w:pPr>
              <w:rPr>
                <w:lang w:val="ru-RU"/>
              </w:rPr>
            </w:pPr>
            <w:r w:rsidRPr="00097A6F">
              <w:rPr>
                <w:lang w:val="ru-RU"/>
              </w:rPr>
              <w:t>В настоящем отчете содержится краткое описание основных результатов девятнадцатого и двадцатого собраний Рабочей группы Совета по защите ребенка в онлайновой среде (РГС-COP), состоявшегося 10 октября 2023 и 22</w:t>
            </w:r>
            <w:r w:rsidR="00DC087A" w:rsidRPr="00DC087A">
              <w:rPr>
                <w:lang w:val="ru-RU"/>
              </w:rPr>
              <w:t>−</w:t>
            </w:r>
            <w:r w:rsidRPr="00097A6F">
              <w:rPr>
                <w:lang w:val="ru-RU"/>
              </w:rPr>
              <w:t>23 января 2024 года в соответствии с Резолюцией 1306 Совета МСЭ 2010 года и Резолюцией 179 (Пересм. Бухарест, 2022 г.) Полномочной конференции МСЭ.</w:t>
            </w:r>
          </w:p>
          <w:p w14:paraId="73DFD7E0" w14:textId="77777777" w:rsidR="00796BD3" w:rsidRPr="00097A6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97A6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D69A8E7" w14:textId="444AD250" w:rsidR="00796BD3" w:rsidRPr="00097A6F" w:rsidRDefault="00097A6F" w:rsidP="00E31DCE">
            <w:pPr>
              <w:rPr>
                <w:lang w:val="ru-RU"/>
              </w:rPr>
            </w:pPr>
            <w:r w:rsidRPr="00097A6F">
              <w:rPr>
                <w:lang w:val="ru-RU"/>
              </w:rPr>
              <w:t xml:space="preserve">Совету предлагается </w:t>
            </w:r>
            <w:r w:rsidRPr="00097A6F">
              <w:rPr>
                <w:b/>
                <w:bCs/>
                <w:lang w:val="ru-RU"/>
              </w:rPr>
              <w:t>утвердить</w:t>
            </w:r>
            <w:r w:rsidRPr="00097A6F">
              <w:rPr>
                <w:lang w:val="ru-RU"/>
              </w:rPr>
              <w:t xml:space="preserve"> документ и </w:t>
            </w:r>
            <w:r w:rsidRPr="00097A6F">
              <w:rPr>
                <w:b/>
                <w:bCs/>
                <w:lang w:val="ru-RU"/>
              </w:rPr>
              <w:t>принять</w:t>
            </w:r>
            <w:r w:rsidRPr="00097A6F">
              <w:rPr>
                <w:lang w:val="ru-RU"/>
              </w:rPr>
              <w:t xml:space="preserve"> проект Резолюции, содержащийся в </w:t>
            </w:r>
            <w:hyperlink w:anchor="annex" w:history="1">
              <w:r w:rsidRPr="00097A6F">
                <w:rPr>
                  <w:rStyle w:val="Hyperlink"/>
                  <w:lang w:val="ru-RU"/>
                </w:rPr>
                <w:t>Приложе</w:t>
              </w:r>
              <w:r w:rsidRPr="00097A6F">
                <w:rPr>
                  <w:rStyle w:val="Hyperlink"/>
                  <w:lang w:val="ru-RU"/>
                </w:rPr>
                <w:t>н</w:t>
              </w:r>
              <w:r w:rsidRPr="00097A6F">
                <w:rPr>
                  <w:rStyle w:val="Hyperlink"/>
                  <w:lang w:val="ru-RU"/>
                </w:rPr>
                <w:t>ии</w:t>
              </w:r>
            </w:hyperlink>
            <w:r w:rsidRPr="00097A6F">
              <w:rPr>
                <w:lang w:val="ru-RU"/>
              </w:rPr>
              <w:t>.</w:t>
            </w:r>
          </w:p>
          <w:p w14:paraId="0981A1EE" w14:textId="77777777" w:rsidR="00796BD3" w:rsidRPr="00097A6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97A6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D2DCC40" w14:textId="7155650A" w:rsidR="00796BD3" w:rsidRPr="00097A6F" w:rsidRDefault="00097A6F" w:rsidP="00E31DCE">
            <w:pPr>
              <w:rPr>
                <w:lang w:val="ru-RU"/>
              </w:rPr>
            </w:pPr>
            <w:r w:rsidRPr="00097A6F">
              <w:rPr>
                <w:lang w:val="ru-RU"/>
              </w:rPr>
              <w:t>Устойчивая цифровая трансформация: содействовать справедливому и открытому для всех использованию электросвязи/ИКТ с целью расширения возможностей людей и общества для устойчивого развития.</w:t>
            </w:r>
          </w:p>
          <w:p w14:paraId="22A47270" w14:textId="3D0089FE" w:rsidR="00097A6F" w:rsidRPr="00F25749" w:rsidRDefault="0033025A" w:rsidP="00E31DCE">
            <w:pPr>
              <w:spacing w:before="160"/>
              <w:rPr>
                <w:sz w:val="24"/>
                <w:lang w:val="ru-RU"/>
              </w:rPr>
            </w:pPr>
            <w:r w:rsidRPr="00097A6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1019434" w14:textId="0CB75EE4" w:rsidR="00796BD3" w:rsidRPr="00097A6F" w:rsidRDefault="00097A6F" w:rsidP="00097A6F">
            <w:pPr>
              <w:rPr>
                <w:lang w:val="ru-RU"/>
              </w:rPr>
            </w:pPr>
            <w:r w:rsidRPr="00097A6F">
              <w:rPr>
                <w:lang w:val="ru-RU"/>
              </w:rPr>
              <w:t>В рамках выделенного бюджета на 2024</w:t>
            </w:r>
            <w:r w:rsidR="00DC087A" w:rsidRPr="00DC087A">
              <w:rPr>
                <w:lang w:val="ru-RU"/>
              </w:rPr>
              <w:t>−</w:t>
            </w:r>
            <w:r w:rsidRPr="00097A6F">
              <w:rPr>
                <w:lang w:val="ru-RU"/>
              </w:rPr>
              <w:t>2025 годы.</w:t>
            </w:r>
          </w:p>
          <w:p w14:paraId="649F90BD" w14:textId="77777777" w:rsidR="00796BD3" w:rsidRPr="00097A6F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097A6F">
              <w:rPr>
                <w:sz w:val="20"/>
                <w:szCs w:val="18"/>
                <w:lang w:val="ru-RU"/>
              </w:rPr>
              <w:t>__________________</w:t>
            </w:r>
          </w:p>
          <w:p w14:paraId="58809A9F" w14:textId="77777777" w:rsidR="00796BD3" w:rsidRPr="00097A6F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97A6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58B8982F" w14:textId="0DFF49D6" w:rsidR="00796BD3" w:rsidRDefault="00107D65" w:rsidP="00E31DCE">
            <w:pPr>
              <w:spacing w:after="160"/>
            </w:pPr>
            <w:hyperlink r:id="rId8" w:history="1">
              <w:r w:rsidR="00097A6F" w:rsidRPr="00097A6F">
                <w:rPr>
                  <w:rStyle w:val="Hyperlink"/>
                  <w:i/>
                  <w:iCs/>
                  <w:lang w:val="ru-RU"/>
                </w:rPr>
                <w:t>Резолюция 179</w:t>
              </w:r>
            </w:hyperlink>
            <w:r w:rsidR="00097A6F" w:rsidRPr="00097A6F">
              <w:rPr>
                <w:i/>
                <w:iCs/>
                <w:lang w:val="ru-RU"/>
              </w:rPr>
              <w:t xml:space="preserve"> (Пересм. Бухарест,</w:t>
            </w:r>
            <w:r w:rsidR="00097A6F" w:rsidRPr="00097A6F">
              <w:rPr>
                <w:lang w:val="ru-RU"/>
              </w:rPr>
              <w:t xml:space="preserve"> </w:t>
            </w:r>
            <w:r w:rsidR="00097A6F" w:rsidRPr="00097A6F">
              <w:rPr>
                <w:i/>
                <w:iCs/>
                <w:lang w:val="ru-RU"/>
              </w:rPr>
              <w:t>2022 г.) Полномочной конференции;</w:t>
            </w:r>
            <w:r w:rsidR="00097A6F" w:rsidRPr="00097A6F">
              <w:rPr>
                <w:lang w:val="ru-RU"/>
              </w:rPr>
              <w:t xml:space="preserve"> </w:t>
            </w:r>
            <w:r w:rsidR="00097A6F" w:rsidRPr="00097A6F">
              <w:rPr>
                <w:i/>
                <w:iCs/>
                <w:lang w:val="ru-RU"/>
              </w:rPr>
              <w:t xml:space="preserve">краткие отчеты о </w:t>
            </w:r>
            <w:hyperlink r:id="rId9" w:history="1">
              <w:r w:rsidR="00097A6F" w:rsidRPr="00097A6F">
                <w:rPr>
                  <w:rStyle w:val="Hyperlink"/>
                  <w:i/>
                  <w:iCs/>
                  <w:lang w:val="ru-RU"/>
                </w:rPr>
                <w:t>девятнадцатом</w:t>
              </w:r>
            </w:hyperlink>
            <w:r w:rsidR="00097A6F" w:rsidRPr="00097A6F">
              <w:rPr>
                <w:i/>
                <w:iCs/>
                <w:lang w:val="ru-RU"/>
              </w:rPr>
              <w:t xml:space="preserve"> и </w:t>
            </w:r>
            <w:hyperlink r:id="rId10" w:history="1">
              <w:r w:rsidR="00097A6F" w:rsidRPr="00097A6F">
                <w:rPr>
                  <w:rStyle w:val="Hyperlink"/>
                  <w:i/>
                  <w:iCs/>
                  <w:lang w:val="ru-RU"/>
                </w:rPr>
                <w:t>двадцатом</w:t>
              </w:r>
            </w:hyperlink>
            <w:r w:rsidR="00097A6F" w:rsidRPr="00097A6F">
              <w:rPr>
                <w:i/>
                <w:iCs/>
                <w:lang w:val="ru-RU"/>
              </w:rPr>
              <w:t xml:space="preserve"> собраниях.</w:t>
            </w:r>
          </w:p>
        </w:tc>
      </w:tr>
      <w:bookmarkEnd w:id="2"/>
      <w:bookmarkEnd w:id="6"/>
    </w:tbl>
    <w:p w14:paraId="3D499B9D" w14:textId="77777777" w:rsidR="00796BD3" w:rsidRDefault="00796BD3" w:rsidP="00796BD3"/>
    <w:p w14:paraId="4BE3A589" w14:textId="77777777" w:rsidR="00165D06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FE11A04" w14:textId="77777777" w:rsidR="00097A6F" w:rsidRPr="00F25749" w:rsidRDefault="00097A6F" w:rsidP="00F25749">
      <w:pPr>
        <w:pStyle w:val="Heading1"/>
        <w:spacing w:before="360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lastRenderedPageBreak/>
        <w:t>1</w:t>
      </w:r>
      <w:r>
        <w:rPr>
          <w:lang w:val="ru-RU"/>
        </w:rPr>
        <w:tab/>
        <w:t>Введение</w:t>
      </w:r>
    </w:p>
    <w:p w14:paraId="49AFCAEB" w14:textId="77777777" w:rsidR="00097A6F" w:rsidRPr="00A31DD9" w:rsidRDefault="00097A6F" w:rsidP="00097A6F">
      <w:pPr>
        <w:rPr>
          <w:rFonts w:asciiTheme="minorHAnsi" w:hAnsiTheme="minorHAnsi" w:cstheme="minorHAnsi"/>
          <w:lang w:val="ru-RU"/>
        </w:rPr>
      </w:pPr>
      <w:r>
        <w:rPr>
          <w:lang w:val="ru-RU"/>
        </w:rPr>
        <w:t>В настоящем документе содержится краткий отчет Председателя о двух собраниях Рабочей группы Совета по защите ребенка в онлайновой среде (РГС-COP), состоявшихся после сессии Совета в июле 2023 года.</w:t>
      </w:r>
    </w:p>
    <w:p w14:paraId="78086D70" w14:textId="77777777" w:rsidR="00097A6F" w:rsidRPr="00A31DD9" w:rsidRDefault="00097A6F" w:rsidP="00097A6F">
      <w:pPr>
        <w:rPr>
          <w:rFonts w:asciiTheme="minorHAnsi" w:hAnsiTheme="minorHAnsi" w:cstheme="minorHAnsi"/>
          <w:lang w:val="ru-RU"/>
        </w:rPr>
      </w:pPr>
      <w:r>
        <w:rPr>
          <w:lang w:val="ru-RU"/>
        </w:rPr>
        <w:t>В течение этого периода работа Группы была сосредоточена на следующих вопросах:</w:t>
      </w:r>
    </w:p>
    <w:p w14:paraId="765B5A3E" w14:textId="6D8570AE" w:rsidR="00097A6F" w:rsidRPr="00A31DD9" w:rsidRDefault="00097A6F" w:rsidP="00097A6F">
      <w:pPr>
        <w:pStyle w:val="enumlev1"/>
        <w:rPr>
          <w:rFonts w:asciiTheme="minorHAnsi" w:hAnsiTheme="minorHAnsi" w:cstheme="minorHAnsi"/>
          <w:lang w:val="ru-RU"/>
        </w:rPr>
      </w:pPr>
      <w:r>
        <w:rPr>
          <w:lang w:val="en-US"/>
        </w:rPr>
        <w:t>a</w:t>
      </w:r>
      <w:r w:rsidRPr="00097A6F">
        <w:rPr>
          <w:lang w:val="ru-RU"/>
        </w:rPr>
        <w:t>)</w:t>
      </w:r>
      <w:r>
        <w:rPr>
          <w:lang w:val="ru-RU"/>
        </w:rPr>
        <w:tab/>
        <w:t>демонстрация результатов Глобальной программы COP и общей инициативы COP;</w:t>
      </w:r>
    </w:p>
    <w:p w14:paraId="29A206C5" w14:textId="0C088FE5" w:rsidR="00097A6F" w:rsidRPr="00A31DD9" w:rsidRDefault="00097A6F" w:rsidP="00097A6F">
      <w:pPr>
        <w:pStyle w:val="enumlev1"/>
        <w:rPr>
          <w:rFonts w:asciiTheme="minorHAnsi" w:hAnsiTheme="minorHAnsi" w:cstheme="minorHAnsi"/>
          <w:lang w:val="ru-RU"/>
        </w:rPr>
      </w:pPr>
      <w:r>
        <w:rPr>
          <w:lang w:val="en-US"/>
        </w:rPr>
        <w:t>b</w:t>
      </w:r>
      <w:r w:rsidRPr="00097A6F">
        <w:rPr>
          <w:lang w:val="ru-RU"/>
        </w:rPr>
        <w:t>)</w:t>
      </w:r>
      <w:r>
        <w:rPr>
          <w:lang w:val="ru-RU"/>
        </w:rPr>
        <w:tab/>
        <w:t xml:space="preserve">привлечение большего числа компаний ИКТ, работающих в этой области, для обеспечения диалога и обмена знаниями; </w:t>
      </w:r>
    </w:p>
    <w:p w14:paraId="47EA6BFD" w14:textId="52180F10" w:rsidR="00097A6F" w:rsidRPr="00A31DD9" w:rsidRDefault="00097A6F" w:rsidP="00097A6F">
      <w:pPr>
        <w:pStyle w:val="enumlev1"/>
        <w:rPr>
          <w:rFonts w:asciiTheme="minorHAnsi" w:hAnsiTheme="minorHAnsi" w:cstheme="minorHAnsi"/>
          <w:lang w:val="ru-RU"/>
        </w:rPr>
      </w:pPr>
      <w:r>
        <w:rPr>
          <w:lang w:val="en-US"/>
        </w:rPr>
        <w:t>c</w:t>
      </w:r>
      <w:r w:rsidRPr="00097A6F">
        <w:rPr>
          <w:lang w:val="ru-RU"/>
        </w:rPr>
        <w:t>)</w:t>
      </w:r>
      <w:r w:rsidRPr="00097A6F">
        <w:rPr>
          <w:lang w:val="ru-RU"/>
        </w:rPr>
        <w:tab/>
      </w:r>
      <w:r>
        <w:rPr>
          <w:lang w:val="ru-RU"/>
        </w:rPr>
        <w:t>содействие работе и усилиям Членов МСЭ;</w:t>
      </w:r>
    </w:p>
    <w:p w14:paraId="073D9A23" w14:textId="25493D90" w:rsidR="00097A6F" w:rsidRPr="00097A6F" w:rsidRDefault="00097A6F" w:rsidP="00097A6F">
      <w:pPr>
        <w:pStyle w:val="enumlev1"/>
        <w:rPr>
          <w:rFonts w:asciiTheme="minorHAnsi" w:hAnsiTheme="minorHAnsi" w:cstheme="minorHAnsi"/>
          <w:lang w:val="ru-RU"/>
        </w:rPr>
      </w:pPr>
      <w:r>
        <w:rPr>
          <w:lang w:val="en-US"/>
        </w:rPr>
        <w:t>d</w:t>
      </w:r>
      <w:r w:rsidRPr="00097A6F">
        <w:rPr>
          <w:lang w:val="ru-RU"/>
        </w:rPr>
        <w:t>)</w:t>
      </w:r>
      <w:r w:rsidRPr="00097A6F">
        <w:rPr>
          <w:lang w:val="ru-RU"/>
        </w:rPr>
        <w:tab/>
      </w:r>
      <w:r>
        <w:rPr>
          <w:lang w:val="ru-RU"/>
        </w:rPr>
        <w:t xml:space="preserve">обмен примерами передового опыта; </w:t>
      </w:r>
    </w:p>
    <w:p w14:paraId="614EE04B" w14:textId="0A0FF9CE" w:rsidR="00097A6F" w:rsidRPr="00A31DD9" w:rsidRDefault="00097A6F" w:rsidP="00097A6F">
      <w:pPr>
        <w:pStyle w:val="enumlev1"/>
        <w:rPr>
          <w:rFonts w:asciiTheme="minorHAnsi" w:hAnsiTheme="minorHAnsi" w:cstheme="minorHAnsi"/>
          <w:lang w:val="ru-RU"/>
        </w:rPr>
      </w:pPr>
      <w:r>
        <w:rPr>
          <w:lang w:val="en-US"/>
        </w:rPr>
        <w:t>e</w:t>
      </w:r>
      <w:r w:rsidRPr="00097A6F">
        <w:rPr>
          <w:lang w:val="ru-RU"/>
        </w:rPr>
        <w:t>)</w:t>
      </w:r>
      <w:r>
        <w:rPr>
          <w:lang w:val="ru-RU"/>
        </w:rPr>
        <w:tab/>
        <w:t xml:space="preserve">предлагаемая новая </w:t>
      </w:r>
      <w:r w:rsidR="00F25749">
        <w:rPr>
          <w:lang w:val="ru-RU"/>
        </w:rPr>
        <w:t>р</w:t>
      </w:r>
      <w:r>
        <w:rPr>
          <w:lang w:val="ru-RU"/>
        </w:rPr>
        <w:t>езолюция об обеспечении безопасности в онлайновой среде и учете гендерной проблематики.</w:t>
      </w:r>
    </w:p>
    <w:p w14:paraId="29FF8433" w14:textId="77777777" w:rsidR="00097A6F" w:rsidRPr="00A31DD9" w:rsidRDefault="00097A6F" w:rsidP="00F25749">
      <w:pPr>
        <w:pStyle w:val="Heading1"/>
        <w:spacing w:before="360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Деятельность РГС-COP</w:t>
      </w:r>
    </w:p>
    <w:p w14:paraId="4A7F6208" w14:textId="77777777" w:rsidR="00097A6F" w:rsidRPr="00A31DD9" w:rsidRDefault="00097A6F" w:rsidP="00F25749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>2.1</w:t>
      </w:r>
      <w:r>
        <w:rPr>
          <w:lang w:val="ru-RU"/>
        </w:rPr>
        <w:tab/>
        <w:t>На девятнадцатом собрании РГС-COP, состоявшемся 10 октября 2023 года, Председатель подчеркнул растущее значение Группы ввиду представленных в общей сложности 24 вкладов, что является важным рубежом, достигнутым впервые. Он выразил интерес к пунктам повестки дня собрания и сказал о том, что к участникам присоединились несколько внешних экспертов по вопросам защиты ребенка в онлайновой среде. Кроме того, обсуждение на специальной сессии под названием "От теории к практике" охватывало ключевые темы, в том числе обмен опытом Государств-Членов (Малави, Армения и Албания) в области реализации стратегий по защите ребенка в онлайновой среде, в рамках которого основное внимание уделялось проблемам, результатам и историям успеха.</w:t>
      </w:r>
    </w:p>
    <w:p w14:paraId="13E0AE04" w14:textId="77777777" w:rsidR="00097A6F" w:rsidRPr="00A31DD9" w:rsidRDefault="00097A6F" w:rsidP="00F25749">
      <w:pPr>
        <w:rPr>
          <w:rFonts w:asciiTheme="minorHAnsi" w:hAnsiTheme="minorHAnsi" w:cstheme="minorHAnsi"/>
          <w:lang w:val="ru-RU"/>
        </w:rPr>
      </w:pPr>
      <w:r>
        <w:rPr>
          <w:lang w:val="ru-RU"/>
        </w:rPr>
        <w:t>2.2</w:t>
      </w:r>
      <w:r>
        <w:rPr>
          <w:lang w:val="ru-RU"/>
        </w:rPr>
        <w:tab/>
        <w:t>Основные результаты собрания:</w:t>
      </w:r>
    </w:p>
    <w:p w14:paraId="2D809284" w14:textId="18514FD5" w:rsidR="00097A6F" w:rsidRPr="00BC47D6" w:rsidRDefault="00097A6F" w:rsidP="00097A6F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 xml:space="preserve">Председатель подчеркнул успех мероприятия, о чем свидетельствует значительное количество полученных вкладов. В связи с этим он предложил разработать рекомендацию для представления с целью увеличения времени, отведенного </w:t>
      </w:r>
      <w:r>
        <w:rPr>
          <w:lang w:val="ru-RU"/>
        </w:rPr>
        <w:t>Р</w:t>
      </w:r>
      <w:r w:rsidRPr="00BC47D6">
        <w:rPr>
          <w:lang w:val="ru-RU"/>
        </w:rPr>
        <w:t>абочей группе Совета, до полутора дней.</w:t>
      </w:r>
    </w:p>
    <w:p w14:paraId="38819B3C" w14:textId="2D008DB4" w:rsidR="00097A6F" w:rsidRPr="00BC47D6" w:rsidRDefault="00097A6F" w:rsidP="00097A6F">
      <w:pPr>
        <w:pStyle w:val="enumlev1"/>
        <w:rPr>
          <w:rFonts w:asciiTheme="minorHAnsi" w:hAnsiTheme="minorHAnsi" w:cstheme="minorBidi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 xml:space="preserve">Председатель предложил усовершенствовать веб-сайт РГС-COP МСЭ, включая, среди прочего, </w:t>
      </w:r>
      <w:r>
        <w:rPr>
          <w:lang w:val="ru-RU"/>
        </w:rPr>
        <w:t>интеграцию</w:t>
      </w:r>
      <w:r w:rsidRPr="00BC47D6">
        <w:rPr>
          <w:lang w:val="ru-RU"/>
        </w:rPr>
        <w:t xml:space="preserve"> ресурсов из вкладов, представленных в РГС-COP, для расширения доступа пользователей к презентациям и предоставленным ресурсам. </w:t>
      </w:r>
    </w:p>
    <w:p w14:paraId="5F2D18FF" w14:textId="6AE9CEDE" w:rsidR="00097A6F" w:rsidRPr="00BC47D6" w:rsidRDefault="00097A6F" w:rsidP="00097A6F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>Председатель представил участникам обзор процесса представления вкладов для РГС</w:t>
      </w:r>
      <w:r w:rsidR="00F25749">
        <w:rPr>
          <w:lang w:val="ru-RU"/>
        </w:rPr>
        <w:noBreakHyphen/>
      </w:r>
      <w:r w:rsidRPr="00BC47D6">
        <w:rPr>
          <w:lang w:val="ru-RU"/>
        </w:rPr>
        <w:t>COP и сообщил им о соответствующих предельных сроках.</w:t>
      </w:r>
    </w:p>
    <w:p w14:paraId="6024E46C" w14:textId="1A675535" w:rsidR="00097A6F" w:rsidRPr="00BC47D6" w:rsidRDefault="00097A6F" w:rsidP="00F25749">
      <w:pPr>
        <w:pStyle w:val="enumlev1"/>
        <w:ind w:right="-1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>В отношении двух резолюций, представленных Филиппинами, Председатель предложил членам РГС-COP рассмотреть замечания и предложения авторов вкладов и объединить обе Резолюции в единую Резолюцию для повторного представления в январе.</w:t>
      </w:r>
    </w:p>
    <w:p w14:paraId="025BF1C2" w14:textId="5758E6A8" w:rsidR="00097A6F" w:rsidRPr="00A31DD9" w:rsidRDefault="00097A6F" w:rsidP="00F25749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  <w:t>На двадцатом собрании РГС-COP, которое состоялось 22</w:t>
      </w:r>
      <w:r w:rsidR="009B598F" w:rsidRPr="009B598F">
        <w:rPr>
          <w:lang w:val="ru-RU"/>
        </w:rPr>
        <w:t>−</w:t>
      </w:r>
      <w:r>
        <w:rPr>
          <w:lang w:val="ru-RU"/>
        </w:rPr>
        <w:t xml:space="preserve">23 января 2024 года, Председатель подчеркнул растущее значение Группы, ознаменованное беспрецедентным количеством вкладов </w:t>
      </w:r>
      <w:r w:rsidR="009B598F" w:rsidRPr="009B598F">
        <w:rPr>
          <w:lang w:val="ru-RU"/>
        </w:rPr>
        <w:t>−</w:t>
      </w:r>
      <w:r>
        <w:rPr>
          <w:lang w:val="ru-RU"/>
        </w:rPr>
        <w:t xml:space="preserve"> свыше 30; Председатель подчеркнул, что это выдающееся число отражает доверие к этой группе в качестве платформы для обмена примерами наилучшей практики и опытом в области защиты ребенка в онлайновой среде. Это подчеркнуло важность наличия надлежащих и обновленных законодательных рамок для решения проблемы безопасности детей и молодежи в онлайновой среде. </w:t>
      </w:r>
    </w:p>
    <w:p w14:paraId="1C564FE2" w14:textId="70A83C87" w:rsidR="00097A6F" w:rsidRPr="00097A6F" w:rsidRDefault="00097A6F" w:rsidP="00F25749">
      <w:pPr>
        <w:keepNext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lastRenderedPageBreak/>
        <w:t>2.</w:t>
      </w:r>
      <w:r w:rsidR="00DC087A" w:rsidRPr="00F25749">
        <w:rPr>
          <w:lang w:val="ru-RU"/>
        </w:rPr>
        <w:t>4</w:t>
      </w:r>
      <w:r w:rsidRPr="00097A6F">
        <w:rPr>
          <w:lang w:val="ru-RU"/>
        </w:rPr>
        <w:tab/>
      </w:r>
      <w:r w:rsidRPr="006F6471">
        <w:rPr>
          <w:lang w:val="ru-RU"/>
        </w:rPr>
        <w:t>Основные результаты собрания:</w:t>
      </w:r>
    </w:p>
    <w:p w14:paraId="3643519E" w14:textId="1ED08F54" w:rsidR="00097A6F" w:rsidRPr="00BC47D6" w:rsidRDefault="00097A6F" w:rsidP="00097A6F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 xml:space="preserve">Председатель подчеркнул значительный успех этого мероприятия, о чем свидетельствует существенное количество полученных вкладов. </w:t>
      </w:r>
    </w:p>
    <w:p w14:paraId="4F9EF3F0" w14:textId="136E6CB6" w:rsidR="00097A6F" w:rsidRPr="00BC47D6" w:rsidRDefault="00097A6F" w:rsidP="00097A6F">
      <w:pPr>
        <w:pStyle w:val="enumlev1"/>
        <w:rPr>
          <w:rFonts w:asciiTheme="minorHAnsi" w:hAnsiTheme="minorHAnsi" w:cstheme="minorBidi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>Собрание выразило благодарность Королевству Саудовская Аравия за его постоянную приверженность важным глобальным вопросам, включая создание института Глобального форума по кибербезопасности (GCF) для рассмотрения таких важных тем, как защита ребенка в киберпространстве. Собрание признало ценную поддержку, оказываемую Глобальной программе с целью создания безопасного и процветающего киберпространства для детей, и значительный прогресс в глобальной инициативе "Защита ребенка в киберпространстве". Всем членам было предложено присоединиться к эт</w:t>
      </w:r>
      <w:r>
        <w:rPr>
          <w:lang w:val="ru-RU"/>
        </w:rPr>
        <w:t>им</w:t>
      </w:r>
      <w:r w:rsidRPr="00BC47D6">
        <w:rPr>
          <w:lang w:val="ru-RU"/>
        </w:rPr>
        <w:t xml:space="preserve"> эффективн</w:t>
      </w:r>
      <w:r>
        <w:rPr>
          <w:lang w:val="ru-RU"/>
        </w:rPr>
        <w:t>ым</w:t>
      </w:r>
      <w:r w:rsidRPr="00BC47D6">
        <w:rPr>
          <w:lang w:val="ru-RU"/>
        </w:rPr>
        <w:t xml:space="preserve"> инициативе и программе.</w:t>
      </w:r>
    </w:p>
    <w:p w14:paraId="20011A5A" w14:textId="453E60AC" w:rsidR="00097A6F" w:rsidRPr="00BC47D6" w:rsidRDefault="00097A6F" w:rsidP="00097A6F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>Председатель представил участникам краткое описание процедуры доступа к вкладам, представленным Рабочей группе Совета по защите ребенка в онлайновой среде.</w:t>
      </w:r>
    </w:p>
    <w:p w14:paraId="655CB234" w14:textId="1C6830B9" w:rsidR="00097A6F" w:rsidRPr="00BC47D6" w:rsidRDefault="00097A6F" w:rsidP="00801EB4">
      <w:pPr>
        <w:pStyle w:val="enumlev1"/>
        <w:ind w:right="-143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>Председатель пояснил, что на предстоящих собраниях, которые пройдут в период с 2024</w:t>
      </w:r>
      <w:r w:rsidR="00801EB4">
        <w:rPr>
          <w:lang w:val="ru-RU"/>
        </w:rPr>
        <w:t> </w:t>
      </w:r>
      <w:r w:rsidRPr="00BC47D6">
        <w:rPr>
          <w:lang w:val="ru-RU"/>
        </w:rPr>
        <w:t xml:space="preserve">по 2026 год, основное внимание будет уделено различным темам, связанным с защитой ребенка в онлайновой среде, в соответствии с Руководящими указаниями МСЭ по защите ребенка в онлайновой среде для директивных органов 2020 года. Первое собрание, которое состоялось в январе 2024 года, было посвящено правовым базам, после чего в четвертом квартале 2024 года будут обсуждаться вопросы регламентарных баз и механизмов отчетности. Повестка дня </w:t>
      </w:r>
      <w:r>
        <w:rPr>
          <w:lang w:val="ru-RU"/>
        </w:rPr>
        <w:t>на первый квартал</w:t>
      </w:r>
      <w:r w:rsidRPr="00BC47D6">
        <w:rPr>
          <w:lang w:val="ru-RU"/>
        </w:rPr>
        <w:t xml:space="preserve"> 2025</w:t>
      </w:r>
      <w:r w:rsidR="009B598F">
        <w:rPr>
          <w:lang w:val="en-US"/>
        </w:rPr>
        <w:t> </w:t>
      </w:r>
      <w:r w:rsidRPr="00BC47D6">
        <w:rPr>
          <w:lang w:val="ru-RU"/>
        </w:rPr>
        <w:t>года будет включать такие темы, как образование, цифровая грамотность и информированность на национальном уровне, а в четвертом квартале 2025 года основное внимание будет уделяться инструментам исследования и техническим инструментам. Наконец, на последующих собраниях будет рассматриваться вопрос об интеграции</w:t>
      </w:r>
      <w:r>
        <w:rPr>
          <w:lang w:val="ru-RU"/>
        </w:rPr>
        <w:t xml:space="preserve"> вопросов </w:t>
      </w:r>
      <w:r w:rsidRPr="00BC47D6">
        <w:rPr>
          <w:lang w:val="ru-RU"/>
        </w:rPr>
        <w:t>защиты ребенка в онлайновой среде в более широкие инициативы.</w:t>
      </w:r>
    </w:p>
    <w:p w14:paraId="302D67FB" w14:textId="7967297A" w:rsidR="00097A6F" w:rsidRPr="00BC47D6" w:rsidRDefault="00097A6F" w:rsidP="00097A6F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>Председатель повторил для участников информацию, касающуюся предстоящих собраний, в том числе предельные сроки и контактные данные для направления сообщений.</w:t>
      </w:r>
    </w:p>
    <w:p w14:paraId="58FAE205" w14:textId="2AC032E2" w:rsidR="00097A6F" w:rsidRPr="00BC47D6" w:rsidRDefault="00097A6F" w:rsidP="00097A6F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 xml:space="preserve">Группа приняла предложенный и скоординированный Филиппинами проект </w:t>
      </w:r>
      <w:r>
        <w:rPr>
          <w:lang w:val="ru-RU"/>
        </w:rPr>
        <w:t>Р</w:t>
      </w:r>
      <w:r w:rsidRPr="00BC47D6">
        <w:rPr>
          <w:lang w:val="ru-RU"/>
        </w:rPr>
        <w:t xml:space="preserve">езолюции, который будет направлен Совету для утверждения. Было отмечено включение примечания, касающегося источника </w:t>
      </w:r>
      <w:r>
        <w:rPr>
          <w:lang w:val="ru-RU"/>
        </w:rPr>
        <w:t>цифр</w:t>
      </w:r>
      <w:r w:rsidRPr="00BC47D6">
        <w:rPr>
          <w:lang w:val="ru-RU"/>
        </w:rPr>
        <w:t>, представленных в тексте.</w:t>
      </w:r>
    </w:p>
    <w:p w14:paraId="2BBDD1DA" w14:textId="2998809A" w:rsidR="00097A6F" w:rsidRPr="00BC47D6" w:rsidRDefault="00097A6F" w:rsidP="00097A6F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 w:rsidRPr="00BC47D6">
        <w:rPr>
          <w:lang w:val="ru-RU"/>
        </w:rPr>
        <w:t xml:space="preserve">В соответствии с </w:t>
      </w:r>
      <w:r>
        <w:rPr>
          <w:lang w:val="ru-RU"/>
        </w:rPr>
        <w:t>решением, принятым</w:t>
      </w:r>
      <w:r w:rsidRPr="00BC47D6">
        <w:rPr>
          <w:lang w:val="ru-RU"/>
        </w:rPr>
        <w:t xml:space="preserve"> по пункту 7 повестки дня "Любые другие вопросы"</w:t>
      </w:r>
      <w:r>
        <w:rPr>
          <w:lang w:val="ru-RU"/>
        </w:rPr>
        <w:t>,</w:t>
      </w:r>
      <w:r w:rsidRPr="00BC47D6">
        <w:rPr>
          <w:lang w:val="ru-RU"/>
        </w:rPr>
        <w:t xml:space="preserve"> будут направлены два заявления о взаимодействии:</w:t>
      </w:r>
    </w:p>
    <w:p w14:paraId="2C287196" w14:textId="08FBA3B2" w:rsidR="00097A6F" w:rsidRPr="00A31DD9" w:rsidRDefault="00097A6F" w:rsidP="00097A6F">
      <w:pPr>
        <w:pStyle w:val="enumlev2"/>
        <w:rPr>
          <w:rFonts w:asciiTheme="minorHAnsi" w:hAnsiTheme="minorHAnsi" w:cstheme="minorHAnsi"/>
          <w:szCs w:val="24"/>
          <w:lang w:val="ru-RU"/>
        </w:rPr>
      </w:pPr>
      <w:r>
        <w:rPr>
          <w:rFonts w:ascii="Times New Roman" w:hAnsi="Times New Roman"/>
          <w:lang w:val="ru-RU"/>
        </w:rPr>
        <w:t>•</w:t>
      </w:r>
      <w:r>
        <w:rPr>
          <w:lang w:val="ru-RU"/>
        </w:rPr>
        <w:tab/>
        <w:t>в адрес ИК2 МСЭ-D о результатах двух последних собраний РГС-COP (19-е и 20-е собрания в период с октября 2023 г. по январь 2024 г.);</w:t>
      </w:r>
    </w:p>
    <w:p w14:paraId="269A55B8" w14:textId="436A47AA" w:rsidR="00097A6F" w:rsidRPr="00A31DD9" w:rsidRDefault="00097A6F" w:rsidP="00097A6F">
      <w:pPr>
        <w:pStyle w:val="enumlev2"/>
        <w:rPr>
          <w:rFonts w:asciiTheme="minorHAnsi" w:hAnsiTheme="minorHAnsi" w:cstheme="minorHAnsi"/>
          <w:szCs w:val="24"/>
          <w:lang w:val="ru-RU"/>
        </w:rPr>
      </w:pPr>
      <w:r>
        <w:rPr>
          <w:rFonts w:ascii="Times New Roman" w:hAnsi="Times New Roman"/>
          <w:lang w:val="ru-RU"/>
        </w:rPr>
        <w:t>•</w:t>
      </w:r>
      <w:r>
        <w:rPr>
          <w:lang w:val="ru-RU"/>
        </w:rPr>
        <w:tab/>
        <w:t>в адрес ИК17 МСЭ-Т, с тем чтобы информировать ИК17 о вкладе euCONSENT и SWGfl, направленном на внедрение возрастных ограничений и сквозного шифрования в интернете.</w:t>
      </w:r>
    </w:p>
    <w:p w14:paraId="09D73F9A" w14:textId="3087F69F" w:rsidR="00097A6F" w:rsidRPr="00A31DD9" w:rsidRDefault="00097A6F" w:rsidP="00097A6F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097A6F">
        <w:rPr>
          <w:lang w:val="ru-RU"/>
        </w:rPr>
        <w:t>−</w:t>
      </w:r>
      <w:r w:rsidRPr="00097A6F">
        <w:rPr>
          <w:lang w:val="ru-RU"/>
        </w:rPr>
        <w:tab/>
      </w:r>
      <w:r>
        <w:rPr>
          <w:lang w:val="ru-RU"/>
        </w:rPr>
        <w:t>Группа далее приняла следующие рекомендации:</w:t>
      </w:r>
    </w:p>
    <w:p w14:paraId="21AF9C90" w14:textId="4F24A3C5" w:rsidR="00097A6F" w:rsidRPr="00A31DD9" w:rsidRDefault="00097A6F" w:rsidP="00097A6F">
      <w:pPr>
        <w:pStyle w:val="enumlev2"/>
        <w:rPr>
          <w:rFonts w:asciiTheme="minorHAnsi" w:hAnsiTheme="minorHAnsi" w:cstheme="minorHAnsi"/>
          <w:szCs w:val="24"/>
          <w:lang w:val="ru-RU"/>
        </w:rPr>
      </w:pPr>
      <w:r>
        <w:rPr>
          <w:rFonts w:ascii="Times New Roman" w:hAnsi="Times New Roman"/>
          <w:lang w:val="ru-RU"/>
        </w:rPr>
        <w:t>•</w:t>
      </w:r>
      <w:r>
        <w:rPr>
          <w:lang w:val="ru-RU"/>
        </w:rPr>
        <w:tab/>
        <w:t>Рекомендация о представлении Совету предложения по пересмотру Резолюции 1306 Совета, касающейся мандата РГС-COP.</w:t>
      </w:r>
    </w:p>
    <w:p w14:paraId="6915FAD4" w14:textId="4BAB90F9" w:rsidR="00097A6F" w:rsidRPr="00A31DD9" w:rsidRDefault="00097A6F" w:rsidP="00097A6F">
      <w:pPr>
        <w:pStyle w:val="enumlev2"/>
        <w:rPr>
          <w:rFonts w:asciiTheme="minorHAnsi" w:hAnsiTheme="minorHAnsi" w:cstheme="minorHAnsi"/>
          <w:szCs w:val="24"/>
          <w:lang w:val="ru-RU"/>
        </w:rPr>
      </w:pPr>
      <w:r>
        <w:rPr>
          <w:rFonts w:ascii="Times New Roman" w:hAnsi="Times New Roman"/>
          <w:lang w:val="ru-RU"/>
        </w:rPr>
        <w:t>•</w:t>
      </w:r>
      <w:r>
        <w:rPr>
          <w:lang w:val="ru-RU"/>
        </w:rPr>
        <w:tab/>
        <w:t>Рекомендация по определению механизмов, направленных на расширение доступа к бесценным ресурсам и информации, обеспеченным посредством вкладов, предоставленных Группе, и возможности их использования.</w:t>
      </w:r>
    </w:p>
    <w:p w14:paraId="0B4491E7" w14:textId="0FE57EDF" w:rsidR="00097A6F" w:rsidRPr="00A31DD9" w:rsidRDefault="00097A6F" w:rsidP="00F25749">
      <w:pPr>
        <w:pStyle w:val="enumlev2"/>
        <w:keepNext/>
        <w:rPr>
          <w:rFonts w:asciiTheme="minorHAnsi" w:hAnsiTheme="minorHAnsi" w:cstheme="minorHAnsi"/>
          <w:szCs w:val="24"/>
          <w:lang w:val="ru-RU"/>
        </w:rPr>
      </w:pPr>
      <w:r>
        <w:rPr>
          <w:rFonts w:ascii="Times New Roman" w:hAnsi="Times New Roman"/>
          <w:lang w:val="ru-RU"/>
        </w:rPr>
        <w:t>•</w:t>
      </w:r>
      <w:r>
        <w:rPr>
          <w:lang w:val="ru-RU"/>
        </w:rPr>
        <w:tab/>
        <w:t>Рекомендация по совершенствованию шаблона для обеспечения более четкого руководства для авторов вкладов.</w:t>
      </w:r>
    </w:p>
    <w:p w14:paraId="775247E4" w14:textId="55E2F3D3" w:rsidR="007B19E7" w:rsidRPr="00F25749" w:rsidRDefault="00097A6F" w:rsidP="00801EB4">
      <w:pPr>
        <w:pStyle w:val="Headingi"/>
        <w:spacing w:before="320"/>
        <w:rPr>
          <w:lang w:val="ru-RU"/>
        </w:rPr>
      </w:pPr>
      <w:r w:rsidRPr="00F25749">
        <w:rPr>
          <w:b/>
          <w:bCs/>
          <w:i w:val="0"/>
          <w:iCs/>
          <w:lang w:val="ru-RU"/>
        </w:rPr>
        <w:t>Приложение</w:t>
      </w:r>
      <w:r w:rsidRPr="00F25749">
        <w:rPr>
          <w:i w:val="0"/>
          <w:iCs/>
          <w:lang w:val="ru-RU"/>
        </w:rPr>
        <w:t>: 1</w:t>
      </w:r>
      <w:r w:rsidR="007B19E7" w:rsidRPr="00F25749">
        <w:rPr>
          <w:lang w:val="ru-RU"/>
        </w:rPr>
        <w:br w:type="page"/>
      </w:r>
    </w:p>
    <w:p w14:paraId="69D91CA9" w14:textId="77777777" w:rsidR="007B19E7" w:rsidRPr="00A31DD9" w:rsidRDefault="007B19E7" w:rsidP="007B19E7">
      <w:pPr>
        <w:pStyle w:val="AnnexNo"/>
        <w:rPr>
          <w:lang w:val="ru-RU"/>
        </w:rPr>
      </w:pPr>
      <w:bookmarkStart w:id="7" w:name="annex"/>
      <w:r>
        <w:rPr>
          <w:lang w:val="ru-RU"/>
        </w:rPr>
        <w:lastRenderedPageBreak/>
        <w:t>ПРИЛОЖЕНИЕ</w:t>
      </w:r>
      <w:bookmarkEnd w:id="7"/>
    </w:p>
    <w:p w14:paraId="492D61DA" w14:textId="77777777" w:rsidR="007B19E7" w:rsidRPr="00A31DD9" w:rsidRDefault="007B19E7" w:rsidP="007B19E7">
      <w:pPr>
        <w:pStyle w:val="ResNo"/>
        <w:rPr>
          <w:rFonts w:eastAsia="Calibri"/>
          <w:lang w:val="ru-RU"/>
        </w:rPr>
      </w:pPr>
      <w:r>
        <w:rPr>
          <w:lang w:val="ru-RU"/>
        </w:rPr>
        <w:t>ПРОЕКТ НОВОЙ РЕЗОЛЮЦИИ [...]</w:t>
      </w:r>
    </w:p>
    <w:p w14:paraId="6D0FB598" w14:textId="3BC727B6" w:rsidR="007B19E7" w:rsidRPr="00A31DD9" w:rsidRDefault="007B19E7" w:rsidP="007B19E7">
      <w:pPr>
        <w:pStyle w:val="Restitle"/>
        <w:rPr>
          <w:rFonts w:eastAsia="Calibri"/>
          <w:lang w:val="ru-RU"/>
        </w:rPr>
      </w:pPr>
      <w:r>
        <w:rPr>
          <w:lang w:val="ru-RU"/>
        </w:rPr>
        <w:t xml:space="preserve">Призыв к Государствам </w:t>
      </w:r>
      <w:r w:rsidR="009E64BF">
        <w:rPr>
          <w:lang w:val="ru-RU"/>
        </w:rPr>
        <w:t>−</w:t>
      </w:r>
      <w:r>
        <w:rPr>
          <w:lang w:val="ru-RU"/>
        </w:rPr>
        <w:t xml:space="preserve"> Членам МСЭ и Членам Секторов посредством МСЭ определять в качестве приоритетной, учитывать и укреплять деятельность по защите ребенка в онлайновой среде (COP) путем реализации конкретных программ, таких как празднование Дня "Девушки в ИКТ"</w:t>
      </w:r>
    </w:p>
    <w:p w14:paraId="0EB67A6A" w14:textId="77777777" w:rsidR="007B19E7" w:rsidRPr="004948F5" w:rsidRDefault="007B19E7" w:rsidP="007B19E7">
      <w:pPr>
        <w:pStyle w:val="Normalaftertitle"/>
        <w:rPr>
          <w:rFonts w:eastAsia="Calibri"/>
          <w:lang w:val="ru-RU"/>
        </w:rPr>
      </w:pPr>
      <w:r>
        <w:rPr>
          <w:lang w:val="ru-RU"/>
        </w:rPr>
        <w:t>Совет МСЭ,</w:t>
      </w:r>
    </w:p>
    <w:p w14:paraId="0982E118" w14:textId="012700A8" w:rsidR="007B19E7" w:rsidRPr="009B598F" w:rsidRDefault="007B19E7" w:rsidP="007B19E7">
      <w:pPr>
        <w:pStyle w:val="Call"/>
        <w:rPr>
          <w:rFonts w:eastAsia="Calibri"/>
          <w:i w:val="0"/>
          <w:iCs/>
          <w:lang w:val="ru-RU"/>
        </w:rPr>
      </w:pPr>
      <w:r>
        <w:rPr>
          <w:iCs/>
          <w:lang w:val="ru-RU"/>
        </w:rPr>
        <w:t>учитывая</w:t>
      </w:r>
    </w:p>
    <w:p w14:paraId="7D020C1D" w14:textId="77777777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Резолюцию 179 (Пересм. Бухарест, 2022 г.) Полномочной конференции о роли МСЭ в защите ребенка в онлайновой среде;</w:t>
      </w:r>
    </w:p>
    <w:p w14:paraId="5297AFCB" w14:textId="77777777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Резолюцию 67 (Пересм. Кигали, 2022 г.) Всемирной конференции по развитию электросвязи (ВКРЭ) о роли Сектора развития электросвязи в защите ребенка в онлайновой среде;</w:t>
      </w:r>
    </w:p>
    <w:p w14:paraId="203FD0F2" w14:textId="77777777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>Резолюцию 1306 (С09, последнее изменение С15) о роли МСЭ в области международных вопросов государственной политики, касающихся создания более безопасной среды интернета для детей,</w:t>
      </w:r>
    </w:p>
    <w:p w14:paraId="4B3F915B" w14:textId="77777777" w:rsidR="007B19E7" w:rsidRPr="00A31DD9" w:rsidRDefault="007B19E7" w:rsidP="007B19E7">
      <w:pPr>
        <w:pStyle w:val="Call"/>
        <w:rPr>
          <w:rFonts w:eastAsia="Calibri"/>
          <w:lang w:val="ru-RU"/>
        </w:rPr>
      </w:pPr>
      <w:r>
        <w:rPr>
          <w:iCs/>
          <w:lang w:val="ru-RU"/>
        </w:rPr>
        <w:t>напоминая</w:t>
      </w:r>
    </w:p>
    <w:p w14:paraId="60B827CC" w14:textId="773D67AC" w:rsidR="007B19E7" w:rsidRPr="007B19E7" w:rsidRDefault="007B19E7" w:rsidP="007B19E7">
      <w:pPr>
        <w:rPr>
          <w:iCs/>
          <w:lang w:val="ru-RU"/>
        </w:rPr>
      </w:pPr>
      <w:r>
        <w:rPr>
          <w:lang w:val="ru-RU"/>
        </w:rPr>
        <w:t>о Резолюции 1306 (C09) о создании Рабочей группы по защите ребенка в онлайновой среде,</w:t>
      </w:r>
    </w:p>
    <w:p w14:paraId="13DBB1DA" w14:textId="77777777" w:rsidR="007B19E7" w:rsidRPr="007B19E7" w:rsidRDefault="007B19E7" w:rsidP="007B19E7">
      <w:pPr>
        <w:pStyle w:val="Call"/>
        <w:rPr>
          <w:rFonts w:eastAsia="Calibri"/>
          <w:i w:val="0"/>
          <w:lang w:val="ru-RU"/>
        </w:rPr>
      </w:pPr>
      <w:r>
        <w:rPr>
          <w:iCs/>
          <w:lang w:val="ru-RU"/>
        </w:rPr>
        <w:t>принимая во внимание</w:t>
      </w:r>
      <w:r w:rsidRPr="007B19E7">
        <w:rPr>
          <w:i w:val="0"/>
          <w:lang w:val="ru-RU"/>
        </w:rPr>
        <w:t>,</w:t>
      </w:r>
    </w:p>
    <w:p w14:paraId="6E42AB85" w14:textId="77777777" w:rsidR="007B19E7" w:rsidRPr="00A31DD9" w:rsidRDefault="007B19E7" w:rsidP="007B19E7">
      <w:pPr>
        <w:rPr>
          <w:rFonts w:eastAsia="Calibri"/>
          <w:lang w:val="ru-RU"/>
        </w:rPr>
      </w:pPr>
      <w:r>
        <w:rPr>
          <w:lang w:val="ru-RU"/>
        </w:rPr>
        <w:t>что в Резолюции 179 (Пересм. Бухарест, 2022 г.) приняты, в том числе, следующие решения:</w:t>
      </w:r>
    </w:p>
    <w:p w14:paraId="0EBAF76B" w14:textId="073B81C5" w:rsidR="007B19E7" w:rsidRPr="007B19E7" w:rsidRDefault="007B19E7" w:rsidP="007B19E7">
      <w:pPr>
        <w:rPr>
          <w:rFonts w:eastAsia="Calibri"/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продолжать осуществление инициативы COP как платформы для повышения осведомленности и обмена передовым опытом по вопросам безопасности ребенка в онлайновой среде;</w:t>
      </w:r>
    </w:p>
    <w:p w14:paraId="35B27F24" w14:textId="26958272" w:rsidR="007B19E7" w:rsidRPr="00A31DD9" w:rsidRDefault="007B19E7" w:rsidP="007B19E7">
      <w:pPr>
        <w:rPr>
          <w:rFonts w:eastAsia="Calibri"/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продолжать оказывать содействие и поддержку Государствам-Членам, в особенности развивающимся странам, в разработке и реализации дорожных карт для инициативы COP</w:t>
      </w:r>
      <w:r>
        <w:rPr>
          <w:rStyle w:val="FootnoteReference"/>
          <w:lang w:val="ru-RU"/>
        </w:rPr>
        <w:footnoteReference w:customMarkFollows="1" w:id="1"/>
        <w:t>1</w:t>
      </w:r>
      <w:r>
        <w:rPr>
          <w:lang w:val="ru-RU"/>
        </w:rPr>
        <w:t>;</w:t>
      </w:r>
    </w:p>
    <w:p w14:paraId="1BC4558E" w14:textId="1B3A79DE" w:rsidR="007B19E7" w:rsidRPr="00A31DD9" w:rsidRDefault="007B19E7" w:rsidP="007B19E7">
      <w:pPr>
        <w:rPr>
          <w:rFonts w:eastAsia="Calibri"/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>продолжать координировать инициативу СОР в сотрудничестве с соответствующими заинтересованными сторонами,</w:t>
      </w:r>
    </w:p>
    <w:p w14:paraId="5612FB61" w14:textId="77777777" w:rsidR="007B19E7" w:rsidRPr="007B19E7" w:rsidRDefault="007B19E7" w:rsidP="007B19E7">
      <w:pPr>
        <w:pStyle w:val="Call"/>
        <w:rPr>
          <w:rFonts w:eastAsia="Calibri"/>
          <w:i w:val="0"/>
          <w:lang w:val="ru-RU"/>
        </w:rPr>
      </w:pPr>
      <w:r>
        <w:rPr>
          <w:iCs/>
          <w:lang w:val="ru-RU"/>
        </w:rPr>
        <w:t>признавая</w:t>
      </w:r>
      <w:r w:rsidRPr="007B19E7">
        <w:rPr>
          <w:i w:val="0"/>
          <w:lang w:val="ru-RU"/>
        </w:rPr>
        <w:t>,</w:t>
      </w:r>
    </w:p>
    <w:p w14:paraId="3142AD6D" w14:textId="77777777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что существует настоятельная необходимость в срочном коллективном реагировании для борьбы с сексуальным злоупотреблением или эксплуатацией детей в онлайновой среде;</w:t>
      </w:r>
    </w:p>
    <w:p w14:paraId="66040BBB" w14:textId="24D08745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что, согласно карте МСЭ, посвященной Дню "Девушки в ИКТ", этот День получил широкое признание среди Государств-Членов, в которых с 2011 года прошло 11</w:t>
      </w:r>
      <w:r w:rsidR="00F25749">
        <w:rPr>
          <w:lang w:val="ru-RU"/>
        </w:rPr>
        <w:t> </w:t>
      </w:r>
      <w:r>
        <w:rPr>
          <w:lang w:val="ru-RU"/>
        </w:rPr>
        <w:t>400</w:t>
      </w:r>
      <w:r w:rsidR="00F25749">
        <w:rPr>
          <w:lang w:val="ru-RU"/>
        </w:rPr>
        <w:t> </w:t>
      </w:r>
      <w:r>
        <w:rPr>
          <w:lang w:val="ru-RU"/>
        </w:rPr>
        <w:t>мероприятий, посвященных празднованию Дня "Девушки в ИКТ"</w:t>
      </w:r>
      <w:r>
        <w:rPr>
          <w:rStyle w:val="FootnoteReference"/>
          <w:lang w:val="ru-RU"/>
        </w:rPr>
        <w:footnoteReference w:customMarkFollows="1" w:id="2"/>
        <w:t>2</w:t>
      </w:r>
      <w:r>
        <w:rPr>
          <w:lang w:val="ru-RU"/>
        </w:rPr>
        <w:t>,</w:t>
      </w:r>
    </w:p>
    <w:p w14:paraId="4442FCAB" w14:textId="77777777" w:rsidR="007B19E7" w:rsidRPr="008A4F77" w:rsidRDefault="007B19E7" w:rsidP="007B19E7">
      <w:pPr>
        <w:pStyle w:val="Call"/>
        <w:rPr>
          <w:lang w:val="ru-RU"/>
        </w:rPr>
      </w:pPr>
      <w:r>
        <w:rPr>
          <w:iCs/>
          <w:lang w:val="ru-RU"/>
        </w:rPr>
        <w:lastRenderedPageBreak/>
        <w:t>решает</w:t>
      </w:r>
    </w:p>
    <w:p w14:paraId="58E41000" w14:textId="77777777" w:rsidR="007B19E7" w:rsidRPr="00A31DD9" w:rsidRDefault="007B19E7" w:rsidP="007B19E7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содействовать</w:t>
      </w:r>
      <w:r w:rsidRPr="002A725E">
        <w:rPr>
          <w:lang w:val="ru-RU"/>
        </w:rPr>
        <w:t xml:space="preserve"> </w:t>
      </w:r>
      <w:r>
        <w:rPr>
          <w:lang w:val="ru-RU"/>
        </w:rPr>
        <w:t>программам по охвату цифровыми технологиями и другим программам под руководством МСЭ, касающимся защиты прав и благополучия детей, координировать и поддерживать эти программы посредством предоставления информации и ресурсов в области безопасности в онлайновой среде;</w:t>
      </w:r>
    </w:p>
    <w:p w14:paraId="4046AEB6" w14:textId="77777777" w:rsidR="007B19E7" w:rsidRPr="00A31DD9" w:rsidRDefault="007B19E7" w:rsidP="007B19E7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выделить необходимые ресурсы для обеспечения того, чтобы дети и молодые люди имели возможности и навыки обеспечения безопасности в онлайновой среде,</w:t>
      </w:r>
    </w:p>
    <w:p w14:paraId="72A9465E" w14:textId="77777777" w:rsidR="007B19E7" w:rsidRPr="00A31DD9" w:rsidRDefault="007B19E7" w:rsidP="007B19E7">
      <w:pPr>
        <w:pStyle w:val="Call"/>
        <w:rPr>
          <w:rFonts w:asciiTheme="minorHAnsi" w:eastAsia="Calibri" w:hAnsiTheme="minorHAnsi" w:cstheme="minorHAnsi"/>
          <w:lang w:val="ru-RU"/>
        </w:rPr>
      </w:pPr>
      <w:r>
        <w:rPr>
          <w:lang w:val="ru-RU"/>
        </w:rPr>
        <w:t>предлагает Государствам-Членам и Членам Секторов</w:t>
      </w:r>
    </w:p>
    <w:p w14:paraId="62FD8493" w14:textId="77777777" w:rsidR="007B19E7" w:rsidRPr="00A31DD9" w:rsidRDefault="007B19E7" w:rsidP="007B19E7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определять как приоритетные, учитывать и укреплять стратегические виды деятельности в области COP посредством реализации конкретных программ, таких как празднование Дня "Девушки в ИКТ";</w:t>
      </w:r>
    </w:p>
    <w:p w14:paraId="32D3E221" w14:textId="77777777" w:rsidR="007B19E7" w:rsidRPr="00A31DD9" w:rsidRDefault="007B19E7" w:rsidP="007B19E7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осуществлять сотрудничество по этому вопросу с другими Членами посредством МСЭ.</w:t>
      </w:r>
    </w:p>
    <w:p w14:paraId="18A68B16" w14:textId="77777777" w:rsidR="007B19E7" w:rsidRDefault="007B19E7" w:rsidP="007B19E7">
      <w:pPr>
        <w:spacing w:before="720"/>
        <w:jc w:val="center"/>
      </w:pPr>
      <w:r>
        <w:t>______________</w:t>
      </w:r>
    </w:p>
    <w:sectPr w:rsidR="007B19E7" w:rsidSect="00E72BFE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ABD3" w14:textId="77777777" w:rsidR="00E72BFE" w:rsidRDefault="00E72BFE">
      <w:r>
        <w:separator/>
      </w:r>
    </w:p>
  </w:endnote>
  <w:endnote w:type="continuationSeparator" w:id="0">
    <w:p w14:paraId="13C6BC07" w14:textId="77777777" w:rsidR="00E72BFE" w:rsidRDefault="00E7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4B9550F" w14:textId="77777777" w:rsidTr="00E31DCE">
      <w:trPr>
        <w:jc w:val="center"/>
      </w:trPr>
      <w:tc>
        <w:tcPr>
          <w:tcW w:w="1803" w:type="dxa"/>
          <w:vAlign w:val="center"/>
        </w:tcPr>
        <w:p w14:paraId="351F6EBE" w14:textId="01CF6194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1E83802" w14:textId="65B0C89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97A6F">
            <w:rPr>
              <w:bCs/>
              <w:lang w:val="ru-RU"/>
            </w:rPr>
            <w:t>15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500D9FF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E607949" w14:textId="77777777" w:rsidTr="00E31DCE">
      <w:trPr>
        <w:jc w:val="center"/>
      </w:trPr>
      <w:tc>
        <w:tcPr>
          <w:tcW w:w="1803" w:type="dxa"/>
          <w:vAlign w:val="center"/>
        </w:tcPr>
        <w:p w14:paraId="6B218A1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0BC2EEA" w14:textId="7955F95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97A6F">
            <w:rPr>
              <w:bCs/>
              <w:lang w:val="ru-RU"/>
            </w:rPr>
            <w:t>15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19BAC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86E0" w14:textId="77777777" w:rsidR="00E72BFE" w:rsidRDefault="00E72BFE">
      <w:r>
        <w:t>____________________</w:t>
      </w:r>
    </w:p>
  </w:footnote>
  <w:footnote w:type="continuationSeparator" w:id="0">
    <w:p w14:paraId="621A45F2" w14:textId="77777777" w:rsidR="00E72BFE" w:rsidRDefault="00E72BFE">
      <w:r>
        <w:continuationSeparator/>
      </w:r>
    </w:p>
  </w:footnote>
  <w:footnote w:id="1">
    <w:p w14:paraId="205C7D7E" w14:textId="3703C47B" w:rsidR="007B19E7" w:rsidRPr="007B19E7" w:rsidRDefault="007B19E7">
      <w:pPr>
        <w:pStyle w:val="FootnoteText"/>
        <w:rPr>
          <w:lang w:val="ru-RU"/>
        </w:rPr>
      </w:pPr>
      <w:r w:rsidRPr="007B19E7">
        <w:rPr>
          <w:rStyle w:val="FootnoteReference"/>
          <w:lang w:val="ru-RU"/>
        </w:rPr>
        <w:t>1</w:t>
      </w:r>
      <w:r w:rsidRPr="007B19E7">
        <w:rPr>
          <w:lang w:val="ru-RU"/>
        </w:rPr>
        <w:t xml:space="preserve"> </w:t>
      </w:r>
      <w:r>
        <w:rPr>
          <w:lang w:val="ru-RU"/>
        </w:rPr>
        <w:tab/>
      </w:r>
      <w:r w:rsidRPr="00193D65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4A4CCA5E" w14:textId="4C48444A" w:rsidR="007B19E7" w:rsidRPr="00193D65" w:rsidRDefault="007B19E7" w:rsidP="007B19E7">
      <w:pPr>
        <w:pStyle w:val="FootnoteText"/>
        <w:tabs>
          <w:tab w:val="clear" w:pos="255"/>
        </w:tabs>
        <w:rPr>
          <w:lang w:val="ru-RU"/>
        </w:rPr>
      </w:pPr>
      <w:r w:rsidRPr="007B19E7">
        <w:rPr>
          <w:rStyle w:val="FootnoteReference"/>
          <w:lang w:val="ru-RU"/>
        </w:rPr>
        <w:t>2</w:t>
      </w:r>
      <w:r w:rsidRPr="007B19E7">
        <w:rPr>
          <w:lang w:val="ru-RU"/>
        </w:rPr>
        <w:t xml:space="preserve"> </w:t>
      </w:r>
      <w:r>
        <w:rPr>
          <w:lang w:val="ru-RU"/>
        </w:rPr>
        <w:tab/>
      </w:r>
      <w:r w:rsidRPr="00193D65">
        <w:rPr>
          <w:lang w:val="ru-RU"/>
        </w:rPr>
        <w:t xml:space="preserve">Данные </w:t>
      </w:r>
      <w:r>
        <w:rPr>
          <w:lang w:val="ru-RU"/>
        </w:rPr>
        <w:t>представлены</w:t>
      </w:r>
      <w:r w:rsidRPr="00193D65">
        <w:rPr>
          <w:lang w:val="ru-RU"/>
        </w:rPr>
        <w:t xml:space="preserve"> </w:t>
      </w:r>
      <w:r>
        <w:rPr>
          <w:lang w:val="ru-RU"/>
        </w:rPr>
        <w:t>согласно</w:t>
      </w:r>
      <w:r w:rsidRPr="00193D65">
        <w:rPr>
          <w:lang w:val="ru-RU"/>
        </w:rPr>
        <w:t xml:space="preserve"> карт</w:t>
      </w:r>
      <w:r>
        <w:rPr>
          <w:lang w:val="ru-RU"/>
        </w:rPr>
        <w:t>е</w:t>
      </w:r>
      <w:r w:rsidRPr="00193D65">
        <w:rPr>
          <w:lang w:val="ru-RU"/>
        </w:rPr>
        <w:t xml:space="preserve"> МСЭ "Девушки в ИКТ" </w:t>
      </w:r>
      <w:hyperlink r:id="rId1" w:history="1">
        <w:r w:rsidRPr="00454CB1">
          <w:rPr>
            <w:rStyle w:val="Hyperlink"/>
            <w:lang w:val="ru-RU"/>
          </w:rPr>
          <w:t>https://www.itu.int/en/ITU-D/Digital-Inclusion/Women-and-Girls/Girls-in-ICT-Portal/Pages/Portaldev.aspx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5CCA16F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30B6C1A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19E8054D" wp14:editId="75202A52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83EE7A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049D31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B335ED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4FE0497D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47356" wp14:editId="3BC9ABA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E590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E5074"/>
    <w:multiLevelType w:val="hybridMultilevel"/>
    <w:tmpl w:val="E4E6FF3C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5CC6"/>
    <w:multiLevelType w:val="hybridMultilevel"/>
    <w:tmpl w:val="D5D26BE2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E67CA"/>
    <w:multiLevelType w:val="multilevel"/>
    <w:tmpl w:val="FE8AAC52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6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708533826">
    <w:abstractNumId w:val="7"/>
  </w:num>
  <w:num w:numId="3" w16cid:durableId="1262491437">
    <w:abstractNumId w:val="6"/>
  </w:num>
  <w:num w:numId="4" w16cid:durableId="1397321369">
    <w:abstractNumId w:val="2"/>
  </w:num>
  <w:num w:numId="5" w16cid:durableId="351877986">
    <w:abstractNumId w:val="4"/>
  </w:num>
  <w:num w:numId="6" w16cid:durableId="627905072">
    <w:abstractNumId w:val="1"/>
  </w:num>
  <w:num w:numId="7" w16cid:durableId="1974095457">
    <w:abstractNumId w:val="3"/>
  </w:num>
  <w:num w:numId="8" w16cid:durableId="675766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94DEE"/>
    <w:rsid w:val="00097A6F"/>
    <w:rsid w:val="000B2DE7"/>
    <w:rsid w:val="000E568E"/>
    <w:rsid w:val="00107D65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B19E7"/>
    <w:rsid w:val="007D38B5"/>
    <w:rsid w:val="007E7EA0"/>
    <w:rsid w:val="00801EB4"/>
    <w:rsid w:val="00807255"/>
    <w:rsid w:val="0081023E"/>
    <w:rsid w:val="008173AA"/>
    <w:rsid w:val="00840A14"/>
    <w:rsid w:val="00871258"/>
    <w:rsid w:val="008B62B4"/>
    <w:rsid w:val="008D2D7B"/>
    <w:rsid w:val="008E0737"/>
    <w:rsid w:val="008F7C2C"/>
    <w:rsid w:val="00940E96"/>
    <w:rsid w:val="009B0BAE"/>
    <w:rsid w:val="009B598F"/>
    <w:rsid w:val="009C1C89"/>
    <w:rsid w:val="009E64BF"/>
    <w:rsid w:val="009F3448"/>
    <w:rsid w:val="00A01CF9"/>
    <w:rsid w:val="00A71773"/>
    <w:rsid w:val="00AE2C85"/>
    <w:rsid w:val="00B12A37"/>
    <w:rsid w:val="00B41837"/>
    <w:rsid w:val="00B63EF2"/>
    <w:rsid w:val="00BA4579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DC087A"/>
    <w:rsid w:val="00E176BA"/>
    <w:rsid w:val="00E423EC"/>
    <w:rsid w:val="00E55121"/>
    <w:rsid w:val="00E72BFE"/>
    <w:rsid w:val="00EB4FCB"/>
    <w:rsid w:val="00EC6BC5"/>
    <w:rsid w:val="00F2574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90880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097A6F"/>
    <w:rPr>
      <w:color w:val="605E5C"/>
      <w:shd w:val="clear" w:color="auto" w:fill="E1DFDD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97A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097A6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79-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4-CLCWGCOP20-C-000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CWGCOP19-C-0005/e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Digital-Inclusion/Women-and-Girls/Girls-in-ICT-Portal/Pages/Portaldev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57F8-CD23-4DB0-AF48-C6DBE90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29</TotalTime>
  <Pages>5</Pages>
  <Words>1279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10090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Fedosova, Elena</cp:lastModifiedBy>
  <cp:revision>7</cp:revision>
  <cp:lastPrinted>2006-03-28T16:12:00Z</cp:lastPrinted>
  <dcterms:created xsi:type="dcterms:W3CDTF">2024-05-01T08:46:00Z</dcterms:created>
  <dcterms:modified xsi:type="dcterms:W3CDTF">2024-05-01T09:43:00Z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