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5E39A5" w14:paraId="4C13E140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E127DC0" w14:textId="53D50970" w:rsidR="00D72F49" w:rsidRPr="005E39A5" w:rsidRDefault="00D72F49" w:rsidP="00895226">
            <w:pPr>
              <w:tabs>
                <w:tab w:val="left" w:pos="851"/>
              </w:tabs>
              <w:spacing w:before="0"/>
              <w:rPr>
                <w:b/>
              </w:rPr>
            </w:pPr>
            <w:r w:rsidRPr="005E39A5">
              <w:rPr>
                <w:b/>
              </w:rPr>
              <w:t>Point de l</w:t>
            </w:r>
            <w:r w:rsidR="001E5E1F" w:rsidRPr="005E39A5">
              <w:rPr>
                <w:b/>
              </w:rPr>
              <w:t>'</w:t>
            </w:r>
            <w:r w:rsidRPr="005E39A5">
              <w:rPr>
                <w:b/>
              </w:rPr>
              <w:t xml:space="preserve">ordre du jour: </w:t>
            </w:r>
            <w:r w:rsidR="00016EAF" w:rsidRPr="005E39A5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666F04B1" w14:textId="2465363F" w:rsidR="00D72F49" w:rsidRPr="005E39A5" w:rsidRDefault="00D72F49" w:rsidP="0089522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5E39A5">
              <w:rPr>
                <w:b/>
              </w:rPr>
              <w:t>Document C2</w:t>
            </w:r>
            <w:r w:rsidR="004E7954" w:rsidRPr="005E39A5">
              <w:rPr>
                <w:b/>
              </w:rPr>
              <w:t>4</w:t>
            </w:r>
            <w:r w:rsidRPr="005E39A5">
              <w:rPr>
                <w:b/>
              </w:rPr>
              <w:t>/</w:t>
            </w:r>
            <w:r w:rsidR="00016EAF" w:rsidRPr="005E39A5">
              <w:rPr>
                <w:b/>
              </w:rPr>
              <w:t>9</w:t>
            </w:r>
            <w:r w:rsidRPr="005E39A5">
              <w:rPr>
                <w:b/>
              </w:rPr>
              <w:t>-F</w:t>
            </w:r>
          </w:p>
        </w:tc>
      </w:tr>
      <w:tr w:rsidR="00D72F49" w:rsidRPr="005E39A5" w14:paraId="1B2353CA" w14:textId="77777777" w:rsidTr="00D72F49">
        <w:trPr>
          <w:cantSplit/>
        </w:trPr>
        <w:tc>
          <w:tcPr>
            <w:tcW w:w="3969" w:type="dxa"/>
            <w:vMerge/>
          </w:tcPr>
          <w:p w14:paraId="31B5441E" w14:textId="77777777" w:rsidR="00D72F49" w:rsidRPr="005E39A5" w:rsidRDefault="00D72F49" w:rsidP="00895226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2031402" w14:textId="46CCD8FB" w:rsidR="00D72F49" w:rsidRPr="005E39A5" w:rsidRDefault="00016EAF" w:rsidP="0089522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5E39A5">
              <w:rPr>
                <w:b/>
              </w:rPr>
              <w:t>6 mai</w:t>
            </w:r>
            <w:r w:rsidR="00D72F49" w:rsidRPr="005E39A5">
              <w:rPr>
                <w:b/>
              </w:rPr>
              <w:t xml:space="preserve"> 202</w:t>
            </w:r>
            <w:r w:rsidR="004E7954" w:rsidRPr="005E39A5">
              <w:rPr>
                <w:b/>
              </w:rPr>
              <w:t>4</w:t>
            </w:r>
          </w:p>
        </w:tc>
      </w:tr>
      <w:tr w:rsidR="00D72F49" w:rsidRPr="005E39A5" w14:paraId="40035ACB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355235AA" w14:textId="77777777" w:rsidR="00D72F49" w:rsidRPr="005E39A5" w:rsidRDefault="00D72F49" w:rsidP="00895226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2DE186F6" w14:textId="77777777" w:rsidR="00D72F49" w:rsidRPr="005E39A5" w:rsidRDefault="00D72F49" w:rsidP="0089522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5E39A5">
              <w:rPr>
                <w:b/>
              </w:rPr>
              <w:t>Original: anglais</w:t>
            </w:r>
          </w:p>
        </w:tc>
      </w:tr>
      <w:tr w:rsidR="00D72F49" w:rsidRPr="005E39A5" w14:paraId="598F1173" w14:textId="77777777" w:rsidTr="00D72F49">
        <w:trPr>
          <w:cantSplit/>
          <w:trHeight w:val="23"/>
        </w:trPr>
        <w:tc>
          <w:tcPr>
            <w:tcW w:w="3969" w:type="dxa"/>
          </w:tcPr>
          <w:p w14:paraId="5BBEE5E7" w14:textId="77777777" w:rsidR="00D72F49" w:rsidRPr="005E39A5" w:rsidRDefault="00D72F49" w:rsidP="00895226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586A5AF" w14:textId="77777777" w:rsidR="00D72F49" w:rsidRPr="005E39A5" w:rsidRDefault="00D72F49" w:rsidP="0089522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5E39A5" w14:paraId="0E533F14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09D51AD" w14:textId="252A45AB" w:rsidR="00D72F49" w:rsidRPr="005E39A5" w:rsidRDefault="00D72F49" w:rsidP="00895226">
            <w:pPr>
              <w:pStyle w:val="Source"/>
              <w:jc w:val="left"/>
              <w:rPr>
                <w:sz w:val="34"/>
                <w:szCs w:val="34"/>
              </w:rPr>
            </w:pPr>
            <w:r w:rsidRPr="005E39A5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146182" w:rsidRPr="005E39A5">
              <w:rPr>
                <w:rFonts w:cstheme="minorHAnsi"/>
                <w:color w:val="000000"/>
                <w:sz w:val="34"/>
                <w:szCs w:val="34"/>
              </w:rPr>
              <w:t>de la</w:t>
            </w:r>
            <w:r w:rsidRPr="005E39A5">
              <w:rPr>
                <w:rFonts w:cstheme="minorHAnsi"/>
                <w:color w:val="000000"/>
                <w:sz w:val="34"/>
                <w:szCs w:val="34"/>
              </w:rPr>
              <w:t xml:space="preserve"> Secrétaire général</w:t>
            </w:r>
            <w:r w:rsidR="007D2ACA" w:rsidRPr="005E39A5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5E39A5" w14:paraId="7C6FF170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9067801" w14:textId="77777777" w:rsidR="00D72F49" w:rsidRPr="005E39A5" w:rsidRDefault="00586CD1" w:rsidP="00895226">
            <w:pPr>
              <w:pStyle w:val="Subtitle"/>
              <w:framePr w:hSpace="0" w:wrap="auto" w:hAnchor="text" w:xAlign="left" w:yAlign="inline"/>
              <w:rPr>
                <w:rFonts w:cstheme="minorHAnsi"/>
                <w:lang w:val="fr-FR"/>
              </w:rPr>
            </w:pPr>
            <w:bookmarkStart w:id="0" w:name="_Hlk138347505"/>
            <w:r w:rsidRPr="005E39A5">
              <w:rPr>
                <w:rFonts w:cstheme="minorHAnsi"/>
                <w:lang w:val="fr-FR"/>
              </w:rPr>
              <w:t>EXAMEN ANNUEL DES PRODUITS ET DES CHARGES</w:t>
            </w:r>
            <w:r w:rsidRPr="005E39A5">
              <w:rPr>
                <w:lang w:val="fr-FR"/>
              </w:rPr>
              <w:t xml:space="preserve"> </w:t>
            </w:r>
            <w:r w:rsidRPr="005E39A5">
              <w:rPr>
                <w:rFonts w:cstheme="minorHAnsi"/>
                <w:lang w:val="fr-FR"/>
              </w:rPr>
              <w:t>DANS LE CADRE DE LA MISE EN ŒUVRE DU BUDGET 202</w:t>
            </w:r>
            <w:bookmarkEnd w:id="0"/>
            <w:r w:rsidR="004E7954" w:rsidRPr="005E39A5">
              <w:rPr>
                <w:rFonts w:cstheme="minorHAnsi"/>
                <w:lang w:val="fr-FR"/>
              </w:rPr>
              <w:t>4</w:t>
            </w:r>
          </w:p>
          <w:p w14:paraId="2AA7A4F4" w14:textId="19ECC098" w:rsidR="004E7954" w:rsidRPr="005E39A5" w:rsidRDefault="001F5BCB" w:rsidP="00895226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5E39A5">
              <w:rPr>
                <w:rFonts w:cstheme="minorHAnsi"/>
                <w:lang w:val="fr-FR"/>
              </w:rPr>
              <w:t>R</w:t>
            </w:r>
            <w:r w:rsidR="00895226" w:rsidRPr="005E39A5">
              <w:rPr>
                <w:rFonts w:cstheme="minorHAnsi"/>
                <w:lang w:val="fr-FR"/>
              </w:rPr>
              <w:t>É</w:t>
            </w:r>
            <w:r w:rsidRPr="005E39A5">
              <w:rPr>
                <w:rFonts w:cstheme="minorHAnsi"/>
                <w:lang w:val="fr-FR"/>
              </w:rPr>
              <w:t>SULTATS PR</w:t>
            </w:r>
            <w:r w:rsidR="00895226" w:rsidRPr="005E39A5">
              <w:rPr>
                <w:rFonts w:cstheme="minorHAnsi"/>
                <w:lang w:val="fr-FR"/>
              </w:rPr>
              <w:t>É</w:t>
            </w:r>
            <w:r w:rsidRPr="005E39A5">
              <w:rPr>
                <w:rFonts w:cstheme="minorHAnsi"/>
                <w:lang w:val="fr-FR"/>
              </w:rPr>
              <w:t>LIMINAIRES DE LA MISE EN</w:t>
            </w:r>
            <w:r w:rsidR="00895226" w:rsidRPr="005E39A5">
              <w:rPr>
                <w:rFonts w:cstheme="minorHAnsi"/>
                <w:lang w:val="fr-FR"/>
              </w:rPr>
              <w:t xml:space="preserve"> ŒUVRE </w:t>
            </w:r>
            <w:r w:rsidRPr="005E39A5">
              <w:rPr>
                <w:rFonts w:cstheme="minorHAnsi"/>
                <w:lang w:val="fr-FR"/>
              </w:rPr>
              <w:t>DES MESURES D</w:t>
            </w:r>
            <w:r w:rsidR="001E5E1F" w:rsidRPr="005E39A5">
              <w:rPr>
                <w:rFonts w:cstheme="minorHAnsi"/>
                <w:lang w:val="fr-FR"/>
              </w:rPr>
              <w:t>'</w:t>
            </w:r>
            <w:r w:rsidRPr="005E39A5">
              <w:rPr>
                <w:rFonts w:cstheme="minorHAnsi"/>
                <w:lang w:val="fr-FR"/>
              </w:rPr>
              <w:t xml:space="preserve">EFFICACITE </w:t>
            </w:r>
            <w:r w:rsidR="00895226" w:rsidRPr="005E39A5">
              <w:rPr>
                <w:rFonts w:cstheme="minorHAnsi"/>
                <w:lang w:val="fr-FR"/>
              </w:rPr>
              <w:t>É</w:t>
            </w:r>
            <w:r w:rsidRPr="005E39A5">
              <w:rPr>
                <w:rFonts w:cstheme="minorHAnsi"/>
                <w:lang w:val="fr-FR"/>
              </w:rPr>
              <w:t>TABLIES DANS L</w:t>
            </w:r>
            <w:r w:rsidR="001E5E1F" w:rsidRPr="005E39A5">
              <w:rPr>
                <w:rFonts w:cstheme="minorHAnsi"/>
                <w:lang w:val="fr-FR"/>
              </w:rPr>
              <w:t>'</w:t>
            </w:r>
            <w:r w:rsidRPr="005E39A5">
              <w:rPr>
                <w:rFonts w:cstheme="minorHAnsi"/>
                <w:lang w:val="fr-FR"/>
              </w:rPr>
              <w:t>ANNEXE 2 DE LA D</w:t>
            </w:r>
            <w:r w:rsidR="00895226" w:rsidRPr="005E39A5">
              <w:rPr>
                <w:rFonts w:cstheme="minorHAnsi"/>
                <w:lang w:val="fr-FR"/>
              </w:rPr>
              <w:t>É</w:t>
            </w:r>
            <w:r w:rsidRPr="005E39A5">
              <w:rPr>
                <w:rFonts w:cstheme="minorHAnsi"/>
                <w:lang w:val="fr-FR"/>
              </w:rPr>
              <w:t>CISION 5</w:t>
            </w:r>
          </w:p>
        </w:tc>
      </w:tr>
      <w:tr w:rsidR="00D72F49" w:rsidRPr="005E39A5" w14:paraId="38F02CB9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D8E5CDB" w14:textId="67560C4D" w:rsidR="00D72F49" w:rsidRPr="005E39A5" w:rsidRDefault="00146182" w:rsidP="00895226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5E39A5">
              <w:rPr>
                <w:b/>
                <w:bCs/>
                <w:sz w:val="26"/>
                <w:szCs w:val="26"/>
              </w:rPr>
              <w:t>Objet</w:t>
            </w:r>
          </w:p>
          <w:p w14:paraId="18AA1316" w14:textId="2316AA51" w:rsidR="00016EAF" w:rsidRPr="005E39A5" w:rsidRDefault="00016EAF" w:rsidP="00895226">
            <w:r w:rsidRPr="005E39A5">
              <w:t xml:space="preserve">Le présent document </w:t>
            </w:r>
            <w:r w:rsidR="001F5BCB" w:rsidRPr="005E39A5">
              <w:t>rend compte</w:t>
            </w:r>
            <w:r w:rsidRPr="005E39A5">
              <w:t xml:space="preserve"> </w:t>
            </w:r>
            <w:r w:rsidR="001F5BCB" w:rsidRPr="005E39A5">
              <w:t>d</w:t>
            </w:r>
            <w:r w:rsidRPr="005E39A5">
              <w:t>es principaux éléments de la mise en œuvre du budget pour 202</w:t>
            </w:r>
            <w:r w:rsidR="004E7954" w:rsidRPr="005E39A5">
              <w:t>4</w:t>
            </w:r>
            <w:r w:rsidRPr="005E39A5">
              <w:t>, conformément au numéro 73 de la Convention de l</w:t>
            </w:r>
            <w:r w:rsidR="001E5E1F" w:rsidRPr="005E39A5">
              <w:t>'</w:t>
            </w:r>
            <w:r w:rsidRPr="005E39A5">
              <w:t>UIT, qui dispose que le</w:t>
            </w:r>
            <w:r w:rsidR="007D2ACA" w:rsidRPr="005E39A5">
              <w:t> </w:t>
            </w:r>
            <w:r w:rsidRPr="005E39A5">
              <w:t>Conseil procède à un examen annuel des produits et des charges.</w:t>
            </w:r>
          </w:p>
          <w:p w14:paraId="4C69F416" w14:textId="659B8379" w:rsidR="004E7954" w:rsidRPr="005E39A5" w:rsidRDefault="001F5BCB" w:rsidP="00895226">
            <w:r w:rsidRPr="005E39A5">
              <w:t xml:space="preserve">Le présent document contient également les résultats préliminaires de la mise en </w:t>
            </w:r>
            <w:r w:rsidR="006E2714" w:rsidRPr="005E39A5">
              <w:t>œuvre</w:t>
            </w:r>
            <w:r w:rsidRPr="005E39A5">
              <w:t xml:space="preserve"> des mesures d</w:t>
            </w:r>
            <w:r w:rsidR="001E5E1F" w:rsidRPr="005E39A5">
              <w:t>'</w:t>
            </w:r>
            <w:r w:rsidRPr="005E39A5">
              <w:t>efficacité établies dans l</w:t>
            </w:r>
            <w:r w:rsidR="001E5E1F" w:rsidRPr="005E39A5">
              <w:t>'</w:t>
            </w:r>
            <w:r w:rsidRPr="005E39A5">
              <w:t>Annexe 2 de la Décision 5 (Rév. Dubaï, 2018) de la Conférence de plénipotentiaires pour 2023 et dans l</w:t>
            </w:r>
            <w:r w:rsidR="001E5E1F" w:rsidRPr="005E39A5">
              <w:t>'</w:t>
            </w:r>
            <w:r w:rsidRPr="005E39A5">
              <w:t>Annexe 2 de la Décision 5 (Rév.</w:t>
            </w:r>
            <w:r w:rsidR="006E2714" w:rsidRPr="005E39A5">
              <w:t> </w:t>
            </w:r>
            <w:r w:rsidRPr="005E39A5">
              <w:t>Dubaï,</w:t>
            </w:r>
            <w:r w:rsidR="006E2714" w:rsidRPr="005E39A5">
              <w:t> </w:t>
            </w:r>
            <w:r w:rsidRPr="005E39A5">
              <w:t>2022) de la Conférence de plénipotentiaires pour 2024.</w:t>
            </w:r>
          </w:p>
          <w:p w14:paraId="08AFC8CD" w14:textId="77777777" w:rsidR="00D72F49" w:rsidRPr="005E39A5" w:rsidRDefault="00D72F49" w:rsidP="00895226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5E39A5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5AB70BC8" w14:textId="02901C8E" w:rsidR="00D72F49" w:rsidRPr="005E39A5" w:rsidRDefault="00016EAF" w:rsidP="00895226">
            <w:r w:rsidRPr="005E39A5">
              <w:t xml:space="preserve">Le Conseil est invité à </w:t>
            </w:r>
            <w:r w:rsidR="00146182" w:rsidRPr="005E39A5">
              <w:rPr>
                <w:b/>
              </w:rPr>
              <w:t>prendre note</w:t>
            </w:r>
            <w:r w:rsidR="00146182" w:rsidRPr="005E39A5">
              <w:rPr>
                <w:bCs/>
              </w:rPr>
              <w:t xml:space="preserve"> du</w:t>
            </w:r>
            <w:r w:rsidRPr="005E39A5">
              <w:t xml:space="preserve"> présent document.</w:t>
            </w:r>
          </w:p>
          <w:p w14:paraId="3B4BD10C" w14:textId="258FCC13" w:rsidR="00D72F49" w:rsidRPr="005E39A5" w:rsidRDefault="00D72F49" w:rsidP="00895226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5E39A5">
              <w:rPr>
                <w:b/>
                <w:bCs/>
                <w:sz w:val="26"/>
                <w:szCs w:val="26"/>
              </w:rPr>
              <w:t xml:space="preserve">Lien(s) pertinent(s) avec le </w:t>
            </w:r>
            <w:r w:rsidR="00084D86" w:rsidRPr="005E39A5">
              <w:rPr>
                <w:b/>
                <w:bCs/>
                <w:sz w:val="26"/>
                <w:szCs w:val="26"/>
              </w:rPr>
              <w:t xml:space="preserve">plan </w:t>
            </w:r>
            <w:r w:rsidRPr="005E39A5">
              <w:rPr>
                <w:b/>
                <w:bCs/>
                <w:sz w:val="26"/>
                <w:szCs w:val="26"/>
              </w:rPr>
              <w:t>stratégique</w:t>
            </w:r>
          </w:p>
          <w:p w14:paraId="669F8795" w14:textId="01E61FBA" w:rsidR="00D72F49" w:rsidRPr="005E39A5" w:rsidRDefault="00146182" w:rsidP="00895226">
            <w:r w:rsidRPr="005E39A5">
              <w:t>Le</w:t>
            </w:r>
            <w:r w:rsidR="00016EAF" w:rsidRPr="005E39A5">
              <w:t xml:space="preserve"> budget </w:t>
            </w:r>
            <w:r w:rsidRPr="005E39A5">
              <w:t>de l</w:t>
            </w:r>
            <w:r w:rsidR="001E5E1F" w:rsidRPr="005E39A5">
              <w:t>'</w:t>
            </w:r>
            <w:r w:rsidRPr="005E39A5">
              <w:t>Union permet le financement d</w:t>
            </w:r>
            <w:r w:rsidR="001F5BCB" w:rsidRPr="005E39A5">
              <w:t>es deux buts et des cinq priorités thématiques de l</w:t>
            </w:r>
            <w:r w:rsidR="001E5E1F" w:rsidRPr="005E39A5">
              <w:t>'</w:t>
            </w:r>
            <w:r w:rsidR="001F5BCB" w:rsidRPr="005E39A5">
              <w:t>UIT</w:t>
            </w:r>
            <w:r w:rsidRPr="005E39A5">
              <w:t>.</w:t>
            </w:r>
          </w:p>
          <w:p w14:paraId="1121513F" w14:textId="0F7ED778" w:rsidR="00D72F49" w:rsidRPr="005E39A5" w:rsidRDefault="00D72F49" w:rsidP="00895226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5E39A5">
              <w:rPr>
                <w:b/>
                <w:bCs/>
                <w:sz w:val="26"/>
                <w:szCs w:val="26"/>
              </w:rPr>
              <w:t>Incidences financières</w:t>
            </w:r>
          </w:p>
          <w:p w14:paraId="6EE383AA" w14:textId="5CEBA2EB" w:rsidR="00016EAF" w:rsidRPr="005E39A5" w:rsidRDefault="00146182" w:rsidP="00895226">
            <w:pPr>
              <w:spacing w:before="160"/>
            </w:pPr>
            <w:r w:rsidRPr="005E39A5">
              <w:t>La direction de l</w:t>
            </w:r>
            <w:r w:rsidR="001E5E1F" w:rsidRPr="005E39A5">
              <w:t>'</w:t>
            </w:r>
            <w:r w:rsidRPr="005E39A5">
              <w:t xml:space="preserve">UIT prendra toutes les mesures nécessaires pour </w:t>
            </w:r>
            <w:r w:rsidR="001F5BCB" w:rsidRPr="005E39A5">
              <w:t>garantir une mise en</w:t>
            </w:r>
            <w:r w:rsidR="00270DDE" w:rsidRPr="005E39A5">
              <w:t> </w:t>
            </w:r>
            <w:r w:rsidR="00711810" w:rsidRPr="005E39A5">
              <w:t>œuvre</w:t>
            </w:r>
            <w:r w:rsidR="001F5BCB" w:rsidRPr="005E39A5">
              <w:t xml:space="preserve"> optimale du budget </w:t>
            </w:r>
            <w:r w:rsidRPr="005E39A5">
              <w:t>202</w:t>
            </w:r>
            <w:r w:rsidR="001F5BCB" w:rsidRPr="005E39A5">
              <w:t>4</w:t>
            </w:r>
            <w:r w:rsidRPr="005E39A5">
              <w:t>.</w:t>
            </w:r>
          </w:p>
          <w:p w14:paraId="4636A9DD" w14:textId="77777777" w:rsidR="00D72F49" w:rsidRPr="005E39A5" w:rsidRDefault="00D72F49" w:rsidP="00895226">
            <w:pPr>
              <w:spacing w:before="160"/>
              <w:rPr>
                <w:caps/>
                <w:sz w:val="22"/>
              </w:rPr>
            </w:pPr>
            <w:r w:rsidRPr="005E39A5">
              <w:rPr>
                <w:sz w:val="22"/>
              </w:rPr>
              <w:t>__________________</w:t>
            </w:r>
          </w:p>
          <w:p w14:paraId="3A1F642B" w14:textId="77777777" w:rsidR="00D72F49" w:rsidRPr="005E39A5" w:rsidRDefault="00D72F49" w:rsidP="00895226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5E39A5">
              <w:rPr>
                <w:b/>
                <w:bCs/>
                <w:sz w:val="26"/>
                <w:szCs w:val="26"/>
              </w:rPr>
              <w:t>Références</w:t>
            </w:r>
          </w:p>
          <w:p w14:paraId="61529A23" w14:textId="26364E84" w:rsidR="00D72F49" w:rsidRPr="005E39A5" w:rsidRDefault="00FF2B38" w:rsidP="00895226">
            <w:pPr>
              <w:spacing w:after="160"/>
              <w:rPr>
                <w:i/>
                <w:iCs/>
              </w:rPr>
            </w:pPr>
            <w:hyperlink r:id="rId8" w:history="1">
              <w:r w:rsidR="004E7954" w:rsidRPr="005E39A5">
                <w:rPr>
                  <w:rStyle w:val="Hyperlink"/>
                  <w:i/>
                  <w:iCs/>
                </w:rPr>
                <w:t>Décision 5 (Rév. Dubaï, 2018)</w:t>
              </w:r>
            </w:hyperlink>
            <w:r w:rsidR="004E7954" w:rsidRPr="005E39A5">
              <w:rPr>
                <w:i/>
                <w:iCs/>
              </w:rPr>
              <w:t xml:space="preserve"> et </w:t>
            </w:r>
            <w:hyperlink r:id="rId9" w:history="1">
              <w:r w:rsidR="004E7954" w:rsidRPr="005E39A5">
                <w:rPr>
                  <w:rStyle w:val="Hyperlink"/>
                  <w:i/>
                  <w:iCs/>
                </w:rPr>
                <w:t>Décision 5 (Rév. Bucarest, 2022)</w:t>
              </w:r>
            </w:hyperlink>
            <w:r w:rsidR="004E7954" w:rsidRPr="005E39A5">
              <w:rPr>
                <w:i/>
                <w:iCs/>
              </w:rPr>
              <w:t xml:space="preserve"> de la Conférence de plénipotentiaires; </w:t>
            </w:r>
            <w:hyperlink r:id="rId10" w:history="1">
              <w:r w:rsidR="004E7954" w:rsidRPr="005E39A5">
                <w:rPr>
                  <w:rStyle w:val="Hyperlink"/>
                  <w:i/>
                  <w:iCs/>
                </w:rPr>
                <w:t>Résolution 1417 du Conseil</w:t>
              </w:r>
            </w:hyperlink>
            <w:r w:rsidR="004E7954" w:rsidRPr="005E39A5">
              <w:rPr>
                <w:i/>
                <w:iCs/>
              </w:rPr>
              <w:t xml:space="preserve"> (Budget biennal de l</w:t>
            </w:r>
            <w:r w:rsidR="001E5E1F" w:rsidRPr="005E39A5">
              <w:rPr>
                <w:i/>
                <w:iCs/>
              </w:rPr>
              <w:t>'</w:t>
            </w:r>
            <w:r w:rsidR="004E7954" w:rsidRPr="005E39A5">
              <w:rPr>
                <w:i/>
                <w:iCs/>
              </w:rPr>
              <w:t xml:space="preserve">Union </w:t>
            </w:r>
            <w:r w:rsidR="001F5BCB" w:rsidRPr="005E39A5">
              <w:rPr>
                <w:i/>
                <w:iCs/>
              </w:rPr>
              <w:t xml:space="preserve">internationale des télécommunications </w:t>
            </w:r>
            <w:r w:rsidR="004E7954" w:rsidRPr="005E39A5">
              <w:rPr>
                <w:i/>
                <w:iCs/>
              </w:rPr>
              <w:t>pour 2024-2025)</w:t>
            </w:r>
          </w:p>
        </w:tc>
      </w:tr>
    </w:tbl>
    <w:p w14:paraId="55764A82" w14:textId="77777777" w:rsidR="00A51849" w:rsidRPr="005E39A5" w:rsidRDefault="00A51849" w:rsidP="008952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5E39A5">
        <w:br w:type="page"/>
      </w:r>
    </w:p>
    <w:p w14:paraId="68EB91B8" w14:textId="5C325751" w:rsidR="00016EAF" w:rsidRPr="005E39A5" w:rsidRDefault="00016EAF" w:rsidP="00895226">
      <w:pPr>
        <w:pStyle w:val="Heading1"/>
        <w:tabs>
          <w:tab w:val="clear" w:pos="2268"/>
          <w:tab w:val="clear" w:pos="2835"/>
          <w:tab w:val="center" w:pos="4819"/>
        </w:tabs>
      </w:pPr>
      <w:r w:rsidRPr="005E39A5">
        <w:lastRenderedPageBreak/>
        <w:t>1</w:t>
      </w:r>
      <w:r w:rsidRPr="005E39A5">
        <w:tab/>
      </w:r>
      <w:r w:rsidR="001F5BCB" w:rsidRPr="005E39A5">
        <w:t>Considérations générales</w:t>
      </w:r>
    </w:p>
    <w:p w14:paraId="30424119" w14:textId="391E0F57" w:rsidR="00016EAF" w:rsidRPr="005E39A5" w:rsidRDefault="00016EAF" w:rsidP="00895226">
      <w:r w:rsidRPr="005E39A5">
        <w:t>1.1</w:t>
      </w:r>
      <w:r w:rsidRPr="005E39A5">
        <w:tab/>
      </w:r>
      <w:r w:rsidR="001F5BCB" w:rsidRPr="005E39A5">
        <w:t>Le présent document expose les principaux éléments de la mise en œuvre du budget pour 2024, conformément à l</w:t>
      </w:r>
      <w:r w:rsidR="001E5E1F" w:rsidRPr="005E39A5">
        <w:t>'</w:t>
      </w:r>
      <w:r w:rsidR="001F5BCB" w:rsidRPr="005E39A5">
        <w:t>article 73 de la Convention de l</w:t>
      </w:r>
      <w:r w:rsidR="001E5E1F" w:rsidRPr="005E39A5">
        <w:t>'</w:t>
      </w:r>
      <w:r w:rsidR="001F5BCB" w:rsidRPr="005E39A5">
        <w:t>UIT, qui stipule que le Conseil procède à un examen annuel des recettes et des dépenses.</w:t>
      </w:r>
    </w:p>
    <w:p w14:paraId="0C4F4320" w14:textId="5F84566B" w:rsidR="00320FB6" w:rsidRPr="005E39A5" w:rsidRDefault="00320FB6" w:rsidP="00895226">
      <w:r w:rsidRPr="005E39A5">
        <w:t>1.2</w:t>
      </w:r>
      <w:r w:rsidRPr="005E39A5">
        <w:tab/>
      </w:r>
      <w:r w:rsidR="001F5BCB" w:rsidRPr="005E39A5">
        <w:t>Il donne également un aperçu préliminaire des résultats de la mise en œuvre des mesures d</w:t>
      </w:r>
      <w:r w:rsidR="001E5E1F" w:rsidRPr="005E39A5">
        <w:t>'</w:t>
      </w:r>
      <w:r w:rsidR="001F5BCB" w:rsidRPr="005E39A5">
        <w:t>efficacité énumérées dans l</w:t>
      </w:r>
      <w:r w:rsidR="001E5E1F" w:rsidRPr="005E39A5">
        <w:t>'</w:t>
      </w:r>
      <w:r w:rsidR="001F5BCB" w:rsidRPr="005E39A5">
        <w:t>Annexe 2 de la Décision 5 pour 2023 et 2024</w:t>
      </w:r>
      <w:r w:rsidR="00762FE0" w:rsidRPr="005E39A5">
        <w:t>.</w:t>
      </w:r>
    </w:p>
    <w:p w14:paraId="73F58321" w14:textId="644E7DF4" w:rsidR="00320FB6" w:rsidRPr="005E39A5" w:rsidRDefault="001F5BCB" w:rsidP="00895226">
      <w:r w:rsidRPr="005E39A5">
        <w:t>Conformément aux paragraphes 1 et 2 de la Décision 5 (Rév. Bucarest, 2022), le Secrétaire</w:t>
      </w:r>
      <w:r w:rsidR="00FF52DB" w:rsidRPr="005E39A5">
        <w:t> </w:t>
      </w:r>
      <w:r w:rsidRPr="005E39A5">
        <w:t>général et les Directeurs des Bureaux sont chargés:</w:t>
      </w:r>
    </w:p>
    <w:p w14:paraId="7C525CD6" w14:textId="2F82A1E2" w:rsidR="00320FB6" w:rsidRPr="005E39A5" w:rsidRDefault="00320FB6" w:rsidP="00895226">
      <w:pPr>
        <w:rPr>
          <w:i/>
          <w:iCs/>
        </w:rPr>
      </w:pPr>
      <w:r w:rsidRPr="005E39A5">
        <w:t>"</w:t>
      </w:r>
      <w:r w:rsidRPr="005E39A5">
        <w:rPr>
          <w:i/>
          <w:iCs/>
        </w:rPr>
        <w:t>1</w:t>
      </w:r>
      <w:r w:rsidRPr="005E39A5">
        <w:rPr>
          <w:i/>
          <w:iCs/>
        </w:rPr>
        <w:tab/>
        <w:t>de présenter chaque année au Conseil un rapport rendant compte de la mise en œuvre du budget de l</w:t>
      </w:r>
      <w:r w:rsidR="001E5E1F" w:rsidRPr="005E39A5">
        <w:rPr>
          <w:i/>
          <w:iCs/>
        </w:rPr>
        <w:t>'</w:t>
      </w:r>
      <w:r w:rsidRPr="005E39A5">
        <w:rPr>
          <w:i/>
          <w:iCs/>
        </w:rPr>
        <w:t>UIT pour l</w:t>
      </w:r>
      <w:r w:rsidR="001E5E1F" w:rsidRPr="005E39A5">
        <w:rPr>
          <w:i/>
          <w:iCs/>
        </w:rPr>
        <w:t>'</w:t>
      </w:r>
      <w:r w:rsidRPr="005E39A5">
        <w:rPr>
          <w:i/>
          <w:iCs/>
        </w:rPr>
        <w:t>exercice antérieur et de la mise en œuvre prévue du budget de l</w:t>
      </w:r>
      <w:r w:rsidR="001E5E1F" w:rsidRPr="005E39A5">
        <w:rPr>
          <w:i/>
          <w:iCs/>
        </w:rPr>
        <w:t>'</w:t>
      </w:r>
      <w:r w:rsidRPr="005E39A5">
        <w:rPr>
          <w:i/>
          <w:iCs/>
        </w:rPr>
        <w:t>UIT pour l</w:t>
      </w:r>
      <w:r w:rsidR="001E5E1F" w:rsidRPr="005E39A5">
        <w:rPr>
          <w:i/>
          <w:iCs/>
        </w:rPr>
        <w:t>'</w:t>
      </w:r>
      <w:r w:rsidRPr="005E39A5">
        <w:rPr>
          <w:i/>
          <w:iCs/>
        </w:rPr>
        <w:t>exercice en cours et indiquant les économies réalisées grâce à la mise en œuvre de chaque point de l</w:t>
      </w:r>
      <w:r w:rsidR="001E5E1F" w:rsidRPr="005E39A5">
        <w:rPr>
          <w:i/>
          <w:iCs/>
        </w:rPr>
        <w:t>'</w:t>
      </w:r>
      <w:r w:rsidRPr="005E39A5">
        <w:rPr>
          <w:i/>
          <w:iCs/>
        </w:rPr>
        <w:t>Annexe 2 de la présente Décision;</w:t>
      </w:r>
    </w:p>
    <w:p w14:paraId="7EC071F4" w14:textId="0CCB6A59" w:rsidR="00320FB6" w:rsidRPr="005E39A5" w:rsidRDefault="00320FB6" w:rsidP="00895226">
      <w:r w:rsidRPr="005E39A5">
        <w:rPr>
          <w:i/>
          <w:iCs/>
        </w:rPr>
        <w:t>2</w:t>
      </w:r>
      <w:r w:rsidRPr="005E39A5">
        <w:rPr>
          <w:i/>
          <w:iCs/>
        </w:rPr>
        <w:tab/>
        <w:t>de déployer les efforts nécessaires pour parvenir à réduire les dépenses dans un souci d</w:t>
      </w:r>
      <w:r w:rsidR="001E5E1F" w:rsidRPr="005E39A5">
        <w:rPr>
          <w:i/>
          <w:iCs/>
        </w:rPr>
        <w:t>'</w:t>
      </w:r>
      <w:r w:rsidRPr="005E39A5">
        <w:rPr>
          <w:i/>
          <w:iCs/>
        </w:rPr>
        <w:t>efficience et d</w:t>
      </w:r>
      <w:r w:rsidR="001E5E1F" w:rsidRPr="005E39A5">
        <w:rPr>
          <w:i/>
          <w:iCs/>
        </w:rPr>
        <w:t>'</w:t>
      </w:r>
      <w:r w:rsidRPr="005E39A5">
        <w:rPr>
          <w:i/>
          <w:iCs/>
        </w:rPr>
        <w:t>économie et d</w:t>
      </w:r>
      <w:r w:rsidR="001E5E1F" w:rsidRPr="005E39A5">
        <w:rPr>
          <w:i/>
          <w:iCs/>
        </w:rPr>
        <w:t>'</w:t>
      </w:r>
      <w:r w:rsidRPr="005E39A5">
        <w:rPr>
          <w:i/>
          <w:iCs/>
        </w:rPr>
        <w:t>inclure les économies effectivement réalisées dans les budgets globaux approuvés dans le rapport susmentionné qui sera présenté au Conseil</w:t>
      </w:r>
      <w:r w:rsidRPr="005E39A5">
        <w:t>"</w:t>
      </w:r>
      <w:r w:rsidR="001F0C2A" w:rsidRPr="005E39A5">
        <w:t>.</w:t>
      </w:r>
    </w:p>
    <w:p w14:paraId="78C81C38" w14:textId="149E769E" w:rsidR="00016EAF" w:rsidRPr="005E39A5" w:rsidRDefault="00016EAF" w:rsidP="00895226">
      <w:pPr>
        <w:pStyle w:val="Heading1"/>
      </w:pPr>
      <w:r w:rsidRPr="005E39A5">
        <w:t>2</w:t>
      </w:r>
      <w:r w:rsidRPr="005E39A5">
        <w:tab/>
      </w:r>
      <w:r w:rsidR="00F70A9B" w:rsidRPr="005E39A5">
        <w:t xml:space="preserve">Prévisions concernant la mise en </w:t>
      </w:r>
      <w:r w:rsidR="00711810" w:rsidRPr="005E39A5">
        <w:t>œuvre</w:t>
      </w:r>
      <w:r w:rsidR="00F70A9B" w:rsidRPr="005E39A5">
        <w:t xml:space="preserve"> du budget pour 2024</w:t>
      </w:r>
    </w:p>
    <w:p w14:paraId="68359A19" w14:textId="1B176B76" w:rsidR="00F70A9B" w:rsidRPr="005E39A5" w:rsidRDefault="00016EAF" w:rsidP="00895226">
      <w:r w:rsidRPr="005E39A5">
        <w:t>2.1</w:t>
      </w:r>
      <w:r w:rsidRPr="005E39A5">
        <w:tab/>
      </w:r>
      <w:r w:rsidR="00F70A9B" w:rsidRPr="005E39A5">
        <w:t>Le Conseil a adopté le budget de l</w:t>
      </w:r>
      <w:r w:rsidR="001E5E1F" w:rsidRPr="005E39A5">
        <w:t>'</w:t>
      </w:r>
      <w:r w:rsidR="00F70A9B" w:rsidRPr="005E39A5">
        <w:t>Union pour la période 2024-2025 à sa session ordinaire de 2023 par sa Résolution 1417. Le budget biennal actualisé s</w:t>
      </w:r>
      <w:r w:rsidR="001E5E1F" w:rsidRPr="005E39A5">
        <w:t>'</w:t>
      </w:r>
      <w:r w:rsidR="00F70A9B" w:rsidRPr="005E39A5">
        <w:t>élève à</w:t>
      </w:r>
      <w:r w:rsidR="00FF52DB" w:rsidRPr="005E39A5">
        <w:t> </w:t>
      </w:r>
      <w:r w:rsidR="00F70A9B" w:rsidRPr="005E39A5">
        <w:t>164</w:t>
      </w:r>
      <w:r w:rsidR="00FF52DB" w:rsidRPr="005E39A5">
        <w:t> </w:t>
      </w:r>
      <w:r w:rsidR="00F70A9B" w:rsidRPr="005E39A5">
        <w:t>933</w:t>
      </w:r>
      <w:r w:rsidR="00FF52DB" w:rsidRPr="005E39A5">
        <w:t> </w:t>
      </w:r>
      <w:r w:rsidR="009C136C" w:rsidRPr="005E39A5">
        <w:t>000</w:t>
      </w:r>
      <w:r w:rsidR="00FF52DB" w:rsidRPr="005E39A5">
        <w:t> </w:t>
      </w:r>
      <w:r w:rsidR="00F70A9B" w:rsidRPr="005E39A5">
        <w:t>CHF pour 2024, sur la base d</w:t>
      </w:r>
      <w:r w:rsidR="001E5E1F" w:rsidRPr="005E39A5">
        <w:t>'</w:t>
      </w:r>
      <w:r w:rsidR="00F70A9B" w:rsidRPr="005E39A5">
        <w:t xml:space="preserve">une unité contributive annuelle de 318 000 CHF pour les </w:t>
      </w:r>
      <w:r w:rsidR="00711810" w:rsidRPr="005E39A5">
        <w:t>États</w:t>
      </w:r>
      <w:r w:rsidR="00F70A9B" w:rsidRPr="005E39A5">
        <w:t xml:space="preserve"> Membres, soit une croissance nominale zéro depuis 2006.</w:t>
      </w:r>
    </w:p>
    <w:p w14:paraId="6B659FE6" w14:textId="46B1B25C" w:rsidR="00F70A9B" w:rsidRPr="005E39A5" w:rsidRDefault="00F70A9B" w:rsidP="00895226">
      <w:r w:rsidRPr="005E39A5">
        <w:t>2.2</w:t>
      </w:r>
      <w:r w:rsidRPr="005E39A5">
        <w:tab/>
        <w:t xml:space="preserve"> Les deux principaux facteurs actuellement connus, représentant au total</w:t>
      </w:r>
      <w:r w:rsidR="00FF52DB" w:rsidRPr="005E39A5">
        <w:t> </w:t>
      </w:r>
      <w:r w:rsidRPr="005E39A5">
        <w:rPr>
          <w:b/>
          <w:bCs/>
        </w:rPr>
        <w:t>6,7</w:t>
      </w:r>
      <w:r w:rsidR="00FF52DB" w:rsidRPr="005E39A5">
        <w:rPr>
          <w:b/>
          <w:bCs/>
        </w:rPr>
        <w:t> </w:t>
      </w:r>
      <w:r w:rsidRPr="005E39A5">
        <w:rPr>
          <w:b/>
          <w:bCs/>
        </w:rPr>
        <w:t>millions</w:t>
      </w:r>
      <w:r w:rsidR="00FF52DB" w:rsidRPr="005E39A5">
        <w:rPr>
          <w:b/>
          <w:bCs/>
        </w:rPr>
        <w:t> </w:t>
      </w:r>
      <w:r w:rsidRPr="005E39A5">
        <w:rPr>
          <w:b/>
          <w:bCs/>
        </w:rPr>
        <w:t>CHF</w:t>
      </w:r>
      <w:r w:rsidRPr="005E39A5">
        <w:t xml:space="preserve"> ou </w:t>
      </w:r>
      <w:r w:rsidRPr="005E39A5">
        <w:rPr>
          <w:b/>
          <w:bCs/>
        </w:rPr>
        <w:t>4,1%</w:t>
      </w:r>
      <w:r w:rsidRPr="005E39A5">
        <w:t xml:space="preserve"> du budget pour 2024, qui auront une incidence sur la mise en</w:t>
      </w:r>
      <w:r w:rsidR="001F0C2A" w:rsidRPr="005E39A5">
        <w:t> </w:t>
      </w:r>
      <w:r w:rsidRPr="005E39A5">
        <w:t>œuvre du budget pour 2024 sont les suivants:</w:t>
      </w:r>
    </w:p>
    <w:p w14:paraId="34B42D32" w14:textId="00C0D161" w:rsidR="00F70A9B" w:rsidRPr="005E39A5" w:rsidRDefault="00F70A9B" w:rsidP="00895226">
      <w:pPr>
        <w:pStyle w:val="enumlev1"/>
      </w:pPr>
      <w:r w:rsidRPr="005E39A5">
        <w:t>•</w:t>
      </w:r>
      <w:r w:rsidRPr="005E39A5">
        <w:tab/>
        <w:t xml:space="preserve">La réduction des </w:t>
      </w:r>
      <w:r w:rsidR="009C136C" w:rsidRPr="005E39A5">
        <w:t>produits</w:t>
      </w:r>
      <w:r w:rsidRPr="005E39A5">
        <w:t xml:space="preserve"> tirées du recouvrement des coûts pour le traitement des fiches de notification des réseaux à satellite pour un montant de </w:t>
      </w:r>
      <w:r w:rsidRPr="005E39A5">
        <w:rPr>
          <w:b/>
          <w:bCs/>
        </w:rPr>
        <w:t xml:space="preserve">4 </w:t>
      </w:r>
      <w:r w:rsidR="009C136C" w:rsidRPr="005E39A5">
        <w:rPr>
          <w:b/>
          <w:bCs/>
        </w:rPr>
        <w:t xml:space="preserve">millions </w:t>
      </w:r>
      <w:r w:rsidRPr="005E39A5">
        <w:rPr>
          <w:b/>
          <w:bCs/>
        </w:rPr>
        <w:t>CHF</w:t>
      </w:r>
      <w:r w:rsidRPr="005E39A5">
        <w:t xml:space="preserve">. Ce déficit intrinsèque de </w:t>
      </w:r>
      <w:r w:rsidR="00FD2932" w:rsidRPr="005E39A5">
        <w:t>produits</w:t>
      </w:r>
      <w:r w:rsidRPr="005E39A5">
        <w:t xml:space="preserve"> pourra être compensé, en </w:t>
      </w:r>
      <w:r w:rsidR="00FD2932" w:rsidRPr="005E39A5">
        <w:t>tout</w:t>
      </w:r>
      <w:r w:rsidRPr="005E39A5">
        <w:t xml:space="preserve"> ou partie, pour les périodes à venir, lorsque le barème des droits </w:t>
      </w:r>
      <w:r w:rsidR="00FD2932" w:rsidRPr="005E39A5">
        <w:t>établi</w:t>
      </w:r>
      <w:r w:rsidRPr="005E39A5">
        <w:t xml:space="preserve"> dans la Décision 482 sera révisé pour tenir compte des coûts réels du traitement des fiches de notification de</w:t>
      </w:r>
      <w:r w:rsidR="00FD2932" w:rsidRPr="005E39A5">
        <w:t xml:space="preserve"> réseaux à satellite</w:t>
      </w:r>
      <w:r w:rsidRPr="005E39A5">
        <w:t>. Toutefois, étant donné que le Groupe d</w:t>
      </w:r>
      <w:r w:rsidR="001E5E1F" w:rsidRPr="005E39A5">
        <w:t>'</w:t>
      </w:r>
      <w:r w:rsidRPr="005E39A5">
        <w:t>experts sur la Décision 482 n</w:t>
      </w:r>
      <w:r w:rsidR="001E5E1F" w:rsidRPr="005E39A5">
        <w:t>'</w:t>
      </w:r>
      <w:r w:rsidRPr="005E39A5">
        <w:t xml:space="preserve">a pas encore </w:t>
      </w:r>
      <w:r w:rsidR="00FD2932" w:rsidRPr="005E39A5">
        <w:t>achevé</w:t>
      </w:r>
      <w:r w:rsidRPr="005E39A5">
        <w:t xml:space="preserve"> ses travaux, </w:t>
      </w:r>
      <w:r w:rsidR="00FD2932" w:rsidRPr="005E39A5">
        <w:t>il n</w:t>
      </w:r>
      <w:r w:rsidR="001E5E1F" w:rsidRPr="005E39A5">
        <w:t>'</w:t>
      </w:r>
      <w:r w:rsidR="00FD2932" w:rsidRPr="005E39A5">
        <w:t>est pas à prévoir que l</w:t>
      </w:r>
      <w:r w:rsidR="001E5E1F" w:rsidRPr="005E39A5">
        <w:t>'</w:t>
      </w:r>
      <w:r w:rsidR="00FD2932" w:rsidRPr="005E39A5">
        <w:t xml:space="preserve">ajustement des droits interviendra </w:t>
      </w:r>
      <w:r w:rsidRPr="005E39A5">
        <w:t>en 2024.</w:t>
      </w:r>
    </w:p>
    <w:p w14:paraId="7F36ADB4" w14:textId="4E5F1137" w:rsidR="00F70A9B" w:rsidRPr="005E39A5" w:rsidRDefault="00F70A9B" w:rsidP="00895226">
      <w:pPr>
        <w:pStyle w:val="enumlev1"/>
      </w:pPr>
      <w:r w:rsidRPr="005E39A5">
        <w:t>•</w:t>
      </w:r>
      <w:r w:rsidRPr="005E39A5">
        <w:tab/>
        <w:t>Les augmentations de traitement des fonctionnaires de la catégorie des services généraux et de la catégorie professionnelle, y compris la rémunération des pensions</w:t>
      </w:r>
      <w:r w:rsidR="00FD2932" w:rsidRPr="005E39A5">
        <w:t xml:space="preserve"> pour les fonctionnaires de cette dernière catégorie</w:t>
      </w:r>
      <w:r w:rsidRPr="005E39A5">
        <w:t xml:space="preserve">, sont estimées à </w:t>
      </w:r>
      <w:r w:rsidRPr="005E39A5">
        <w:rPr>
          <w:b/>
          <w:bCs/>
        </w:rPr>
        <w:t>2,7 millions CHF</w:t>
      </w:r>
      <w:r w:rsidRPr="005E39A5">
        <w:t xml:space="preserve"> pour 2024.</w:t>
      </w:r>
    </w:p>
    <w:p w14:paraId="2FEF7CC4" w14:textId="43B70D0D" w:rsidR="00016EAF" w:rsidRPr="005E39A5" w:rsidRDefault="00F70A9B" w:rsidP="00895226">
      <w:r w:rsidRPr="005E39A5">
        <w:t>2.3</w:t>
      </w:r>
      <w:r w:rsidRPr="005E39A5">
        <w:tab/>
        <w:t xml:space="preserve">Au 22 mars 2024, et malgré les deux facteurs </w:t>
      </w:r>
      <w:r w:rsidR="00533E0A" w:rsidRPr="005E39A5">
        <w:t>fondamentaux</w:t>
      </w:r>
      <w:r w:rsidRPr="005E39A5">
        <w:t xml:space="preserve"> susmentionnés, le résultat prévu de la mise en œuvre du budget </w:t>
      </w:r>
      <w:r w:rsidR="00FC3D87" w:rsidRPr="005E39A5">
        <w:t>pour</w:t>
      </w:r>
      <w:r w:rsidRPr="005E39A5">
        <w:t xml:space="preserve"> 2024 est </w:t>
      </w:r>
      <w:r w:rsidRPr="005E39A5">
        <w:rPr>
          <w:b/>
          <w:bCs/>
        </w:rPr>
        <w:t>équilibré</w:t>
      </w:r>
      <w:r w:rsidRPr="005E39A5">
        <w:t xml:space="preserve">. Un montant supplémentaire de 700 000 CHF, en plus des 750 </w:t>
      </w:r>
      <w:r w:rsidR="00FC3D87" w:rsidRPr="005E39A5">
        <w:t xml:space="preserve">000 </w:t>
      </w:r>
      <w:r w:rsidRPr="005E39A5">
        <w:t>CHF déjà inscrits au budget, devrait être versé au Fonds d</w:t>
      </w:r>
      <w:r w:rsidR="001E5E1F" w:rsidRPr="005E39A5">
        <w:t>'</w:t>
      </w:r>
      <w:r w:rsidRPr="005E39A5">
        <w:t>entretien des bâtiments (voir Tableau 2) afin de garantir des fonds suffisants pour l</w:t>
      </w:r>
      <w:r w:rsidR="001E5E1F" w:rsidRPr="005E39A5">
        <w:t>'</w:t>
      </w:r>
      <w:r w:rsidRPr="005E39A5">
        <w:t>entretien des bâtiments de l</w:t>
      </w:r>
      <w:r w:rsidR="001E5E1F" w:rsidRPr="005E39A5">
        <w:t>'</w:t>
      </w:r>
      <w:r w:rsidRPr="005E39A5">
        <w:t>UIT, d</w:t>
      </w:r>
      <w:r w:rsidR="001E5E1F" w:rsidRPr="005E39A5">
        <w:t>'</w:t>
      </w:r>
      <w:r w:rsidRPr="005E39A5">
        <w:t>autant plus que l</w:t>
      </w:r>
      <w:r w:rsidR="001E5E1F" w:rsidRPr="005E39A5">
        <w:t>'</w:t>
      </w:r>
      <w:r w:rsidRPr="005E39A5">
        <w:t>entretien du bâtiment Varembé n</w:t>
      </w:r>
      <w:r w:rsidR="001E5E1F" w:rsidRPr="005E39A5">
        <w:t>'</w:t>
      </w:r>
      <w:r w:rsidRPr="005E39A5">
        <w:t xml:space="preserve">a généralement pas été inclus dans le budget pour 2024-2025. Cette mise en œuvre équilibrée </w:t>
      </w:r>
      <w:r w:rsidRPr="005E39A5">
        <w:lastRenderedPageBreak/>
        <w:t>s</w:t>
      </w:r>
      <w:r w:rsidR="001E5E1F" w:rsidRPr="005E39A5">
        <w:t>'</w:t>
      </w:r>
      <w:r w:rsidRPr="005E39A5">
        <w:t>explique principalement par l</w:t>
      </w:r>
      <w:r w:rsidR="001E5E1F" w:rsidRPr="005E39A5">
        <w:t>'</w:t>
      </w:r>
      <w:r w:rsidRPr="005E39A5">
        <w:t>augmentation prévue du recouvrement des coûts des publications, l</w:t>
      </w:r>
      <w:r w:rsidR="001E5E1F" w:rsidRPr="005E39A5">
        <w:t>'</w:t>
      </w:r>
      <w:r w:rsidRPr="005E39A5">
        <w:t>augmentation des gains d</w:t>
      </w:r>
      <w:r w:rsidR="001E5E1F" w:rsidRPr="005E39A5">
        <w:t>'</w:t>
      </w:r>
      <w:r w:rsidRPr="005E39A5">
        <w:t xml:space="preserve">intérêts sur la trésorerie et </w:t>
      </w:r>
      <w:r w:rsidR="00FC3D87" w:rsidRPr="005E39A5">
        <w:t xml:space="preserve">les </w:t>
      </w:r>
      <w:r w:rsidRPr="005E39A5">
        <w:t xml:space="preserve">équivalents de trésorerie, les économies </w:t>
      </w:r>
      <w:r w:rsidR="00FC3D87" w:rsidRPr="005E39A5">
        <w:t>réalisées sur</w:t>
      </w:r>
      <w:r w:rsidRPr="005E39A5">
        <w:t xml:space="preserve"> les </w:t>
      </w:r>
      <w:r w:rsidR="00FC3D87" w:rsidRPr="005E39A5">
        <w:t>charges d</w:t>
      </w:r>
      <w:r w:rsidR="001E5E1F" w:rsidRPr="005E39A5">
        <w:t>'</w:t>
      </w:r>
      <w:r w:rsidR="00FC3D87" w:rsidRPr="005E39A5">
        <w:t xml:space="preserve">exploitation </w:t>
      </w:r>
      <w:r w:rsidRPr="005E39A5">
        <w:t xml:space="preserve">et les délais de recrutement. De plus amples détails sont fournis dans les </w:t>
      </w:r>
      <w:r w:rsidR="001F0C2A" w:rsidRPr="005E39A5">
        <w:t>T</w:t>
      </w:r>
      <w:r w:rsidRPr="005E39A5">
        <w:t>ableaux 1 à 3.</w:t>
      </w:r>
    </w:p>
    <w:p w14:paraId="4636AEB7" w14:textId="7E8D0DF5" w:rsidR="00711810" w:rsidRPr="005E39A5" w:rsidRDefault="006743B1" w:rsidP="00FF2B38">
      <w:pPr>
        <w:pStyle w:val="Tabletitle"/>
      </w:pPr>
      <w:r w:rsidRPr="005E39A5">
        <w:t>Tableau 1</w:t>
      </w:r>
    </w:p>
    <w:p w14:paraId="2CA5FFD2" w14:textId="272108DA" w:rsidR="00704453" w:rsidRPr="005E39A5" w:rsidRDefault="001F0C2A" w:rsidP="00FF2B38">
      <w:pPr>
        <w:pStyle w:val="Figure"/>
      </w:pPr>
      <w:r w:rsidRPr="005E39A5">
        <w:rPr>
          <w:noProof/>
        </w:rPr>
        <w:drawing>
          <wp:inline distT="0" distB="0" distL="0" distR="0" wp14:anchorId="77765414" wp14:editId="6418D144">
            <wp:extent cx="4037330" cy="116395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453" w:rsidRPr="005E39A5">
        <w:fldChar w:fldCharType="begin"/>
      </w:r>
      <w:r w:rsidR="00704453" w:rsidRPr="005E39A5">
        <w:instrText xml:space="preserve"> LINK </w:instrText>
      </w:r>
      <w:r w:rsidR="00711810" w:rsidRPr="005E39A5">
        <w:instrText xml:space="preserve">Excel.Sheet.12 \\\\blue\\dfs\\POOL\\TRAD\\F\\gDoc\\SG\\C24\\24-00727\\009e-figures-page-3-and-4.xlsx "PAGE 3 - All Expenses!R24C1:R29C3" </w:instrText>
      </w:r>
      <w:r w:rsidR="00704453" w:rsidRPr="005E39A5">
        <w:instrText xml:space="preserve">\a \f 4 \h </w:instrText>
      </w:r>
      <w:r w:rsidR="00895226" w:rsidRPr="005E39A5">
        <w:instrText xml:space="preserve"> \* MERGEFORMAT </w:instrText>
      </w:r>
      <w:r w:rsidR="00704453" w:rsidRPr="005E39A5">
        <w:fldChar w:fldCharType="separate"/>
      </w:r>
    </w:p>
    <w:p w14:paraId="397D5AC2" w14:textId="40A659DC" w:rsidR="006743B1" w:rsidRPr="005E39A5" w:rsidRDefault="00704453" w:rsidP="001F0C2A">
      <w:r w:rsidRPr="005E39A5">
        <w:fldChar w:fldCharType="end"/>
      </w:r>
      <w:r w:rsidR="006743B1" w:rsidRPr="005E39A5">
        <w:t>Le Tableau 2 et le Graphique 1</w:t>
      </w:r>
      <w:r w:rsidR="00FC3D87" w:rsidRPr="005E39A5">
        <w:t xml:space="preserve"> montrent la ventilation des charges par Secteur:</w:t>
      </w:r>
    </w:p>
    <w:p w14:paraId="129D1CE2" w14:textId="78E4FB1A" w:rsidR="006743B1" w:rsidRPr="00FF2B38" w:rsidRDefault="006743B1" w:rsidP="00FF2B38">
      <w:pPr>
        <w:pStyle w:val="Tabletitle"/>
      </w:pPr>
      <w:r w:rsidRPr="00FF2B38">
        <w:t>Tableau 2</w:t>
      </w:r>
    </w:p>
    <w:p w14:paraId="67213FD4" w14:textId="7CC7CA66" w:rsidR="006743B1" w:rsidRPr="005E39A5" w:rsidRDefault="00827BB5" w:rsidP="00FF2B38">
      <w:pPr>
        <w:pStyle w:val="Figure"/>
      </w:pPr>
      <w:r w:rsidRPr="005E39A5">
        <w:rPr>
          <w:noProof/>
        </w:rPr>
        <w:drawing>
          <wp:inline distT="0" distB="0" distL="0" distR="0" wp14:anchorId="0D3B98D4" wp14:editId="244B7852">
            <wp:extent cx="5760085" cy="17354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FEF29" w14:textId="7B27D76D" w:rsidR="006743B1" w:rsidRPr="005E39A5" w:rsidRDefault="006743B1" w:rsidP="00FF2B38">
      <w:pPr>
        <w:pStyle w:val="Tabletitle"/>
      </w:pPr>
      <w:r w:rsidRPr="005E39A5">
        <w:t>Graphique 1</w:t>
      </w:r>
    </w:p>
    <w:p w14:paraId="42806AE1" w14:textId="2C8CC163" w:rsidR="006743B1" w:rsidRPr="005E39A5" w:rsidRDefault="004B7A4C" w:rsidP="00FF2B38">
      <w:pPr>
        <w:pStyle w:val="Figure"/>
      </w:pPr>
      <w:r w:rsidRPr="005E39A5">
        <w:rPr>
          <w:noProof/>
        </w:rPr>
        <w:drawing>
          <wp:inline distT="0" distB="0" distL="0" distR="0" wp14:anchorId="3BA06858" wp14:editId="703777B1">
            <wp:extent cx="5760085" cy="277622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2369D" w14:textId="2AEBF0D7" w:rsidR="002843A7" w:rsidRPr="005E39A5" w:rsidRDefault="006743B1" w:rsidP="008952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5E39A5">
        <w:br w:type="page"/>
      </w:r>
    </w:p>
    <w:p w14:paraId="392BB53D" w14:textId="224EB7AC" w:rsidR="006743B1" w:rsidRPr="005E39A5" w:rsidRDefault="006743B1" w:rsidP="008952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5E39A5">
        <w:lastRenderedPageBreak/>
        <w:t>Le Tableau 3 et le Graphique 2</w:t>
      </w:r>
      <w:r w:rsidR="002843A7" w:rsidRPr="005E39A5">
        <w:t xml:space="preserve"> montrent la ventilation des produits par Secteur:</w:t>
      </w:r>
    </w:p>
    <w:p w14:paraId="74C73084" w14:textId="3CEEA3A7" w:rsidR="006743B1" w:rsidRPr="005E39A5" w:rsidRDefault="006743B1" w:rsidP="00FF2B38">
      <w:pPr>
        <w:pStyle w:val="Tabletitle"/>
      </w:pPr>
      <w:r w:rsidRPr="005E39A5">
        <w:t>Tableau 3</w:t>
      </w:r>
    </w:p>
    <w:p w14:paraId="2A091483" w14:textId="0609205B" w:rsidR="006743B1" w:rsidRPr="005E39A5" w:rsidRDefault="007848A1" w:rsidP="00FF2B38">
      <w:pPr>
        <w:pStyle w:val="Figure"/>
      </w:pPr>
      <w:r w:rsidRPr="005E39A5">
        <w:rPr>
          <w:noProof/>
        </w:rPr>
        <w:drawing>
          <wp:inline distT="0" distB="0" distL="0" distR="0" wp14:anchorId="131D27EA" wp14:editId="5604AAFD">
            <wp:extent cx="5760085" cy="23431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07051" w14:textId="2F49AB57" w:rsidR="006743B1" w:rsidRPr="005E39A5" w:rsidRDefault="006743B1" w:rsidP="00FF2B38">
      <w:pPr>
        <w:pStyle w:val="Tabletitle"/>
        <w:rPr>
          <w:sz w:val="22"/>
        </w:rPr>
      </w:pPr>
      <w:r w:rsidRPr="005E39A5">
        <w:t>Graphique 2</w:t>
      </w:r>
    </w:p>
    <w:p w14:paraId="7719BB99" w14:textId="24C32517" w:rsidR="006743B1" w:rsidRPr="005E39A5" w:rsidRDefault="006A1D80" w:rsidP="00FF2B38">
      <w:pPr>
        <w:pStyle w:val="Figure"/>
      </w:pPr>
      <w:r w:rsidRPr="005E39A5">
        <w:rPr>
          <w:noProof/>
        </w:rPr>
        <w:drawing>
          <wp:inline distT="0" distB="0" distL="0" distR="0" wp14:anchorId="26150E39" wp14:editId="7B5270ED">
            <wp:extent cx="4813300" cy="3982085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398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79C3D" w14:textId="13E9C2A6" w:rsidR="002843A7" w:rsidRPr="005E39A5" w:rsidRDefault="006743B1" w:rsidP="008952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5E39A5">
        <w:br w:type="page"/>
      </w:r>
    </w:p>
    <w:p w14:paraId="50B33A10" w14:textId="0C4DC1C2" w:rsidR="006743B1" w:rsidRPr="005E39A5" w:rsidRDefault="006743B1" w:rsidP="00895226">
      <w:pPr>
        <w:pStyle w:val="Heading1"/>
      </w:pPr>
      <w:r w:rsidRPr="005E39A5">
        <w:lastRenderedPageBreak/>
        <w:t>3</w:t>
      </w:r>
      <w:r w:rsidRPr="005E39A5">
        <w:tab/>
      </w:r>
      <w:r w:rsidR="00B16345" w:rsidRPr="005E39A5">
        <w:t>Mesures d</w:t>
      </w:r>
      <w:r w:rsidR="001E5E1F" w:rsidRPr="005E39A5">
        <w:t>'</w:t>
      </w:r>
      <w:r w:rsidR="00B16345" w:rsidRPr="005E39A5">
        <w:t>efficacité</w:t>
      </w:r>
    </w:p>
    <w:p w14:paraId="514E0914" w14:textId="513F4E20" w:rsidR="00B16345" w:rsidRPr="005E39A5" w:rsidRDefault="006743B1" w:rsidP="00895226">
      <w:r w:rsidRPr="005E39A5">
        <w:t>3.1</w:t>
      </w:r>
      <w:r w:rsidRPr="005E39A5">
        <w:tab/>
      </w:r>
      <w:r w:rsidR="00B16345" w:rsidRPr="005E39A5">
        <w:t>Le Tableau 4 (pages 6 et 7) présente les mesures prises et les économies possibles au titre de chacune des 27 mesures d</w:t>
      </w:r>
      <w:r w:rsidR="001E5E1F" w:rsidRPr="005E39A5">
        <w:t>'</w:t>
      </w:r>
      <w:r w:rsidR="00B16345" w:rsidRPr="005E39A5">
        <w:t>efficacité identifiées dans l</w:t>
      </w:r>
      <w:r w:rsidR="001E5E1F" w:rsidRPr="005E39A5">
        <w:t>'</w:t>
      </w:r>
      <w:r w:rsidR="00B16345" w:rsidRPr="005E39A5">
        <w:t xml:space="preserve">Annexe 2 de la Décision 5 (Rév. Dubaï, 2018) </w:t>
      </w:r>
      <w:r w:rsidR="00924E4E" w:rsidRPr="005E39A5">
        <w:t xml:space="preserve">de la PP </w:t>
      </w:r>
      <w:r w:rsidR="00B16345" w:rsidRPr="005E39A5">
        <w:t>pour 2023</w:t>
      </w:r>
      <w:r w:rsidR="00924E4E" w:rsidRPr="005E39A5">
        <w:t xml:space="preserve">, </w:t>
      </w:r>
      <w:r w:rsidR="00B16345" w:rsidRPr="005E39A5">
        <w:t>au 22 mars 2024.</w:t>
      </w:r>
    </w:p>
    <w:p w14:paraId="39BF1411" w14:textId="00B00D52" w:rsidR="00B16345" w:rsidRPr="005E39A5" w:rsidRDefault="00B16345" w:rsidP="00895226">
      <w:r w:rsidRPr="005E39A5">
        <w:t>3.2</w:t>
      </w:r>
      <w:r w:rsidR="00924E4E" w:rsidRPr="005E39A5">
        <w:tab/>
      </w:r>
      <w:r w:rsidRPr="005E39A5">
        <w:t>Le Tableau 5 (pages 8 à 10) présente les mesures envisagées et les économies possibles au titre de chacune des 27 mesures d</w:t>
      </w:r>
      <w:r w:rsidR="001E5E1F" w:rsidRPr="005E39A5">
        <w:t>'</w:t>
      </w:r>
      <w:r w:rsidRPr="005E39A5">
        <w:t>efficacité identifiées dans l</w:t>
      </w:r>
      <w:r w:rsidR="001E5E1F" w:rsidRPr="005E39A5">
        <w:t>'</w:t>
      </w:r>
      <w:r w:rsidRPr="005E39A5">
        <w:t>Annexe 2 de la Décision 5 (Rév.</w:t>
      </w:r>
      <w:r w:rsidR="008919AC" w:rsidRPr="005E39A5">
        <w:t xml:space="preserve"> </w:t>
      </w:r>
      <w:r w:rsidRPr="005E39A5">
        <w:t>Bucarest, 2022)</w:t>
      </w:r>
      <w:r w:rsidR="00924E4E" w:rsidRPr="005E39A5">
        <w:t xml:space="preserve"> de la PP</w:t>
      </w:r>
      <w:r w:rsidRPr="005E39A5">
        <w:t xml:space="preserve"> pour 2024.</w:t>
      </w:r>
    </w:p>
    <w:p w14:paraId="246EF3BE" w14:textId="60D3D1A2" w:rsidR="006743B1" w:rsidRPr="005E39A5" w:rsidRDefault="00B16345" w:rsidP="00895226">
      <w:r w:rsidRPr="005E39A5">
        <w:t>L</w:t>
      </w:r>
      <w:r w:rsidR="00924E4E" w:rsidRPr="005E39A5">
        <w:t>a</w:t>
      </w:r>
      <w:r w:rsidRPr="005E39A5">
        <w:t xml:space="preserve"> Secrétaire général</w:t>
      </w:r>
      <w:r w:rsidR="00924E4E" w:rsidRPr="005E39A5">
        <w:t>e</w:t>
      </w:r>
      <w:r w:rsidRPr="005E39A5">
        <w:t>, le Vice-Secrétaire général et les Directeurs des Bureaux analyseront plus avant ces mesures d</w:t>
      </w:r>
      <w:r w:rsidR="001E5E1F" w:rsidRPr="005E39A5">
        <w:t>'</w:t>
      </w:r>
      <w:r w:rsidRPr="005E39A5">
        <w:t xml:space="preserve">efficacité afin de fournir des estimations plus précises des économies réalisées pendant la mise en œuvre du budget </w:t>
      </w:r>
      <w:r w:rsidR="00924E4E" w:rsidRPr="005E39A5">
        <w:t xml:space="preserve">pour </w:t>
      </w:r>
      <w:r w:rsidRPr="005E39A5">
        <w:t>2024.</w:t>
      </w:r>
    </w:p>
    <w:p w14:paraId="41348B04" w14:textId="77777777" w:rsidR="006743B1" w:rsidRPr="005E39A5" w:rsidRDefault="006743B1" w:rsidP="00895226"/>
    <w:p w14:paraId="2B3598B5" w14:textId="0D5CEE74" w:rsidR="00F45D08" w:rsidRPr="005E39A5" w:rsidRDefault="00F45D08" w:rsidP="00895226">
      <w:pPr>
        <w:sectPr w:rsidR="00F45D08" w:rsidRPr="005E39A5" w:rsidSect="00D72F49">
          <w:headerReference w:type="even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011C2301" w14:textId="5E8DC579" w:rsidR="00233499" w:rsidRPr="005E39A5" w:rsidRDefault="00363229" w:rsidP="00FF2B38">
      <w:pPr>
        <w:pStyle w:val="Tabletitle"/>
        <w:spacing w:before="0" w:after="0"/>
      </w:pPr>
      <w:r w:rsidRPr="005E39A5">
        <w:lastRenderedPageBreak/>
        <w:t>202</w:t>
      </w:r>
      <w:r w:rsidR="00A33469" w:rsidRPr="005E39A5">
        <w:t>3</w:t>
      </w:r>
      <w:r w:rsidRPr="005E39A5">
        <w:t xml:space="preserve"> </w:t>
      </w:r>
      <w:r w:rsidR="00DD0649" w:rsidRPr="005E39A5">
        <w:t xml:space="preserve">– </w:t>
      </w:r>
      <w:r w:rsidRPr="005E39A5">
        <w:t>Annexe 2 de la Décision 5 (Rév. Dubaï, 2018)</w:t>
      </w:r>
    </w:p>
    <w:p w14:paraId="0A97DB74" w14:textId="25491E4C" w:rsidR="006743B1" w:rsidRPr="005E39A5" w:rsidRDefault="00194354" w:rsidP="00FF2B38">
      <w:pPr>
        <w:pStyle w:val="Tabletitle"/>
        <w:spacing w:before="120"/>
      </w:pPr>
      <w:r w:rsidRPr="005E39A5">
        <w:t>Tableau 4</w:t>
      </w:r>
    </w:p>
    <w:p w14:paraId="73310434" w14:textId="501FFCFC" w:rsidR="00233499" w:rsidRPr="005E39A5" w:rsidRDefault="0032319C" w:rsidP="00FF2B38">
      <w:pPr>
        <w:pStyle w:val="Figure"/>
      </w:pPr>
      <w:r w:rsidRPr="005E39A5">
        <w:rPr>
          <w:noProof/>
        </w:rPr>
        <w:drawing>
          <wp:inline distT="0" distB="0" distL="0" distR="0" wp14:anchorId="06539249" wp14:editId="05641F44">
            <wp:extent cx="8954135" cy="5193102"/>
            <wp:effectExtent l="0" t="0" r="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019" cy="521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3B1" w:rsidRPr="005E39A5">
        <w:br w:type="page"/>
      </w:r>
    </w:p>
    <w:p w14:paraId="652B0D99" w14:textId="40BBB4C8" w:rsidR="00194354" w:rsidRPr="005E39A5" w:rsidRDefault="000A46EA" w:rsidP="00FF2B38">
      <w:pPr>
        <w:pStyle w:val="Tabletitle"/>
      </w:pPr>
      <w:r w:rsidRPr="005E39A5">
        <w:lastRenderedPageBreak/>
        <w:t>Tableau 4 (</w:t>
      </w:r>
      <w:r w:rsidR="00AB038F" w:rsidRPr="005E39A5">
        <w:rPr>
          <w:i/>
          <w:iCs/>
        </w:rPr>
        <w:t>fin</w:t>
      </w:r>
      <w:r w:rsidRPr="005E39A5">
        <w:t>)</w:t>
      </w:r>
    </w:p>
    <w:p w14:paraId="6497C038" w14:textId="5BAB27BA" w:rsidR="000A46EA" w:rsidRPr="005E39A5" w:rsidRDefault="0078046C" w:rsidP="00FF2B38">
      <w:pPr>
        <w:pStyle w:val="Figure"/>
      </w:pPr>
      <w:r w:rsidRPr="005E39A5">
        <w:rPr>
          <w:noProof/>
        </w:rPr>
        <w:drawing>
          <wp:inline distT="0" distB="0" distL="0" distR="0" wp14:anchorId="5874CB76" wp14:editId="5CC4DBCA">
            <wp:extent cx="8945245" cy="5477774"/>
            <wp:effectExtent l="0" t="0" r="8255" b="889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861" cy="549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6EA" w:rsidRPr="005E39A5">
        <w:br w:type="page"/>
      </w:r>
    </w:p>
    <w:p w14:paraId="5FE4A037" w14:textId="1049A96B" w:rsidR="000A46EA" w:rsidRPr="005E39A5" w:rsidRDefault="00363229" w:rsidP="00FF2B38">
      <w:pPr>
        <w:pStyle w:val="Tabletitle"/>
        <w:spacing w:before="120"/>
      </w:pPr>
      <w:r w:rsidRPr="005E39A5">
        <w:lastRenderedPageBreak/>
        <w:t xml:space="preserve">2024 </w:t>
      </w:r>
      <w:r w:rsidR="00DD0649" w:rsidRPr="005E39A5">
        <w:t>–</w:t>
      </w:r>
      <w:r w:rsidRPr="005E39A5">
        <w:t xml:space="preserve"> Annexe 2 de la Décision 5 (Rév. Bucarest, 2022)</w:t>
      </w:r>
    </w:p>
    <w:p w14:paraId="542CC243" w14:textId="3FB59D92" w:rsidR="006743B1" w:rsidRPr="005E39A5" w:rsidRDefault="00194354" w:rsidP="00FF2B38">
      <w:pPr>
        <w:pStyle w:val="Tabletitle"/>
        <w:spacing w:before="120"/>
      </w:pPr>
      <w:r w:rsidRPr="005E39A5">
        <w:t>Tableau 5</w:t>
      </w:r>
    </w:p>
    <w:p w14:paraId="4D06FC96" w14:textId="757D5AB8" w:rsidR="00194354" w:rsidRPr="005E39A5" w:rsidRDefault="00C1194A" w:rsidP="00FF2B38">
      <w:pPr>
        <w:pStyle w:val="Figure"/>
      </w:pPr>
      <w:r w:rsidRPr="005E39A5">
        <w:rPr>
          <w:noProof/>
        </w:rPr>
        <w:drawing>
          <wp:inline distT="0" distB="0" distL="0" distR="0" wp14:anchorId="37A142EC" wp14:editId="5AE9CD00">
            <wp:extent cx="8928100" cy="5200015"/>
            <wp:effectExtent l="0" t="0" r="6350" b="63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327" cy="522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9A5">
        <w:t xml:space="preserve"> </w:t>
      </w:r>
      <w:r w:rsidR="00194354" w:rsidRPr="005E39A5">
        <w:br w:type="page"/>
      </w:r>
    </w:p>
    <w:p w14:paraId="76858D66" w14:textId="4B448934" w:rsidR="00135AE3" w:rsidRPr="005E39A5" w:rsidRDefault="00015356" w:rsidP="00FF2B38">
      <w:pPr>
        <w:pStyle w:val="Tabletitle"/>
      </w:pPr>
      <w:r w:rsidRPr="005E39A5">
        <w:lastRenderedPageBreak/>
        <w:t>Tableau 5 (</w:t>
      </w:r>
      <w:r w:rsidRPr="005E39A5">
        <w:rPr>
          <w:i/>
          <w:iCs/>
        </w:rPr>
        <w:t>suite</w:t>
      </w:r>
      <w:r w:rsidRPr="005E39A5">
        <w:t>)</w:t>
      </w:r>
    </w:p>
    <w:p w14:paraId="1CC45224" w14:textId="14C703C6" w:rsidR="00015356" w:rsidRPr="005E39A5" w:rsidRDefault="00EF4A75" w:rsidP="00FF2B38">
      <w:pPr>
        <w:pStyle w:val="Figure"/>
      </w:pPr>
      <w:r w:rsidRPr="005E39A5">
        <w:rPr>
          <w:noProof/>
        </w:rPr>
        <w:drawing>
          <wp:inline distT="0" distB="0" distL="0" distR="0" wp14:anchorId="18573454" wp14:editId="02C58E5C">
            <wp:extent cx="8968435" cy="5480611"/>
            <wp:effectExtent l="0" t="0" r="4445" b="63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82" cy="550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356" w:rsidRPr="005E39A5">
        <w:br w:type="page"/>
      </w:r>
    </w:p>
    <w:p w14:paraId="7324A73B" w14:textId="6101A5E7" w:rsidR="00015356" w:rsidRPr="005E39A5" w:rsidRDefault="00015356" w:rsidP="00FF2B38">
      <w:pPr>
        <w:pStyle w:val="Tabletitle"/>
      </w:pPr>
      <w:r w:rsidRPr="005E39A5">
        <w:lastRenderedPageBreak/>
        <w:t>Tableau 5 (</w:t>
      </w:r>
      <w:r w:rsidRPr="005E39A5">
        <w:rPr>
          <w:i/>
          <w:iCs/>
        </w:rPr>
        <w:t>fin</w:t>
      </w:r>
      <w:r w:rsidRPr="005E39A5">
        <w:t>)</w:t>
      </w:r>
    </w:p>
    <w:p w14:paraId="5F303F51" w14:textId="46EF272C" w:rsidR="00015356" w:rsidRPr="005E39A5" w:rsidRDefault="00EF4A75" w:rsidP="00FF2B38">
      <w:pPr>
        <w:pStyle w:val="Figure"/>
      </w:pPr>
      <w:r w:rsidRPr="005E39A5">
        <w:rPr>
          <w:noProof/>
        </w:rPr>
        <w:drawing>
          <wp:inline distT="0" distB="0" distL="0" distR="0" wp14:anchorId="657C6197" wp14:editId="5E5D36EB">
            <wp:extent cx="8997351" cy="38925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8035" cy="389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B7C47" w14:textId="554477E2" w:rsidR="00135AE3" w:rsidRPr="005E39A5" w:rsidRDefault="00135AE3" w:rsidP="00895226">
      <w:pPr>
        <w:jc w:val="center"/>
      </w:pPr>
      <w:r w:rsidRPr="005E39A5">
        <w:t>______________</w:t>
      </w:r>
    </w:p>
    <w:sectPr w:rsidR="00135AE3" w:rsidRPr="005E39A5" w:rsidSect="006743B1">
      <w:pgSz w:w="16840" w:h="11907" w:orient="landscape" w:code="9"/>
      <w:pgMar w:top="1418" w:right="1418" w:bottom="1418" w:left="1418" w:header="720" w:footer="720" w:gutter="0"/>
      <w:paperSrc w:first="286" w:other="28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98BC" w14:textId="77777777" w:rsidR="00EB12B7" w:rsidRDefault="00EB12B7">
      <w:r>
        <w:separator/>
      </w:r>
    </w:p>
  </w:endnote>
  <w:endnote w:type="continuationSeparator" w:id="0">
    <w:p w14:paraId="05517117" w14:textId="77777777" w:rsidR="00EB12B7" w:rsidRDefault="00EB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074F" w14:textId="2E8BA380" w:rsidR="00732045" w:rsidRDefault="00FF2B38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7513AE">
      <w:t>P:\FRA\SG\CONSEIL\C23\000\009F.docx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27.05.24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7513AE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36232164" w14:textId="77777777" w:rsidTr="00E31DCE">
      <w:trPr>
        <w:jc w:val="center"/>
      </w:trPr>
      <w:tc>
        <w:tcPr>
          <w:tcW w:w="1803" w:type="dxa"/>
          <w:vAlign w:val="center"/>
        </w:tcPr>
        <w:p w14:paraId="68BDA865" w14:textId="47392FFC" w:rsidR="00A51849" w:rsidRDefault="00A51849" w:rsidP="00A51849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4EF207D4" w14:textId="68AB165A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743B1">
            <w:rPr>
              <w:bCs/>
            </w:rPr>
            <w:t>4</w:t>
          </w:r>
          <w:r w:rsidRPr="00623AE3">
            <w:rPr>
              <w:bCs/>
            </w:rPr>
            <w:t>/</w:t>
          </w:r>
          <w:r w:rsidR="00016EAF">
            <w:rPr>
              <w:bCs/>
            </w:rPr>
            <w:t>9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CC4B6D7" w14:textId="77F2ABE3" w:rsidR="00732045" w:rsidRPr="00A51849" w:rsidRDefault="00732045" w:rsidP="00016E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607C8554" w14:textId="77777777" w:rsidTr="00E31DCE">
      <w:trPr>
        <w:jc w:val="center"/>
      </w:trPr>
      <w:tc>
        <w:tcPr>
          <w:tcW w:w="1803" w:type="dxa"/>
          <w:vAlign w:val="center"/>
        </w:tcPr>
        <w:p w14:paraId="796E8DEF" w14:textId="77777777" w:rsidR="00A51849" w:rsidRDefault="00FF2B38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2147F486" w14:textId="6C9BC744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7A39A0">
            <w:rPr>
              <w:bCs/>
            </w:rPr>
            <w:t>4</w:t>
          </w:r>
          <w:r w:rsidRPr="00623AE3">
            <w:rPr>
              <w:bCs/>
            </w:rPr>
            <w:t>/</w:t>
          </w:r>
          <w:r w:rsidR="00016EAF">
            <w:rPr>
              <w:bCs/>
            </w:rPr>
            <w:t>9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A1FB8B" w14:textId="633D71C8" w:rsidR="00F911C5" w:rsidRDefault="00F911C5" w:rsidP="00016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99B1" w14:textId="77777777" w:rsidR="00EB12B7" w:rsidRDefault="00EB12B7">
      <w:r>
        <w:t>____________________</w:t>
      </w:r>
    </w:p>
  </w:footnote>
  <w:footnote w:type="continuationSeparator" w:id="0">
    <w:p w14:paraId="586FB982" w14:textId="77777777" w:rsidR="00EB12B7" w:rsidRDefault="00EB1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827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6FEB064A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0351DD10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2C61BDF7" w14:textId="7DF2FC4F" w:rsidR="00A51849" w:rsidRPr="009621F8" w:rsidRDefault="00270DDE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6DC64FCB" wp14:editId="6BF00A91">
                <wp:extent cx="2102400" cy="558000"/>
                <wp:effectExtent l="0" t="0" r="0" b="0"/>
                <wp:docPr id="230141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CC186CB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75D0052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5E23D2D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69A7012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E4C0D" wp14:editId="2A186651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F1D69DA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60E6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EF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F61B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8EE1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FC9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E4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0EBE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CC7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644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765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8021239">
    <w:abstractNumId w:val="9"/>
  </w:num>
  <w:num w:numId="2" w16cid:durableId="1007171897">
    <w:abstractNumId w:val="7"/>
  </w:num>
  <w:num w:numId="3" w16cid:durableId="477960356">
    <w:abstractNumId w:val="6"/>
  </w:num>
  <w:num w:numId="4" w16cid:durableId="812604731">
    <w:abstractNumId w:val="5"/>
  </w:num>
  <w:num w:numId="5" w16cid:durableId="575171636">
    <w:abstractNumId w:val="4"/>
  </w:num>
  <w:num w:numId="6" w16cid:durableId="1705060379">
    <w:abstractNumId w:val="8"/>
  </w:num>
  <w:num w:numId="7" w16cid:durableId="209075720">
    <w:abstractNumId w:val="3"/>
  </w:num>
  <w:num w:numId="8" w16cid:durableId="2031713389">
    <w:abstractNumId w:val="2"/>
  </w:num>
  <w:num w:numId="9" w16cid:durableId="2053114375">
    <w:abstractNumId w:val="1"/>
  </w:num>
  <w:num w:numId="10" w16cid:durableId="147255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B7"/>
    <w:rsid w:val="00015356"/>
    <w:rsid w:val="00016EAF"/>
    <w:rsid w:val="00063B36"/>
    <w:rsid w:val="00076A2C"/>
    <w:rsid w:val="00084186"/>
    <w:rsid w:val="00084D86"/>
    <w:rsid w:val="00091272"/>
    <w:rsid w:val="000A0977"/>
    <w:rsid w:val="000A46EA"/>
    <w:rsid w:val="000C0F30"/>
    <w:rsid w:val="000D0D0A"/>
    <w:rsid w:val="000F7987"/>
    <w:rsid w:val="00103163"/>
    <w:rsid w:val="00106B19"/>
    <w:rsid w:val="00115D93"/>
    <w:rsid w:val="001247A8"/>
    <w:rsid w:val="00135AE3"/>
    <w:rsid w:val="001378C0"/>
    <w:rsid w:val="00146182"/>
    <w:rsid w:val="00181B9F"/>
    <w:rsid w:val="0018694A"/>
    <w:rsid w:val="00194354"/>
    <w:rsid w:val="00194AE3"/>
    <w:rsid w:val="00195421"/>
    <w:rsid w:val="001A3287"/>
    <w:rsid w:val="001A6508"/>
    <w:rsid w:val="001D2578"/>
    <w:rsid w:val="001D4C31"/>
    <w:rsid w:val="001E4D21"/>
    <w:rsid w:val="001E5E1F"/>
    <w:rsid w:val="001F0C2A"/>
    <w:rsid w:val="001F5BCB"/>
    <w:rsid w:val="00202079"/>
    <w:rsid w:val="00207CD1"/>
    <w:rsid w:val="00214B4B"/>
    <w:rsid w:val="00226657"/>
    <w:rsid w:val="00233499"/>
    <w:rsid w:val="00237C12"/>
    <w:rsid w:val="002477A2"/>
    <w:rsid w:val="00263A51"/>
    <w:rsid w:val="00267E02"/>
    <w:rsid w:val="00270DDE"/>
    <w:rsid w:val="002843A7"/>
    <w:rsid w:val="002A5D44"/>
    <w:rsid w:val="002C0D17"/>
    <w:rsid w:val="002E0BC4"/>
    <w:rsid w:val="002F1B76"/>
    <w:rsid w:val="00320FB6"/>
    <w:rsid w:val="0032319C"/>
    <w:rsid w:val="0033568E"/>
    <w:rsid w:val="00351809"/>
    <w:rsid w:val="00355FF5"/>
    <w:rsid w:val="00361350"/>
    <w:rsid w:val="00363229"/>
    <w:rsid w:val="00364759"/>
    <w:rsid w:val="003C3FAE"/>
    <w:rsid w:val="004038CB"/>
    <w:rsid w:val="0040546F"/>
    <w:rsid w:val="00413974"/>
    <w:rsid w:val="0042404A"/>
    <w:rsid w:val="0044618F"/>
    <w:rsid w:val="00457074"/>
    <w:rsid w:val="0046769A"/>
    <w:rsid w:val="00475B11"/>
    <w:rsid w:val="00475FB3"/>
    <w:rsid w:val="004B6669"/>
    <w:rsid w:val="004B7A4C"/>
    <w:rsid w:val="004C37A9"/>
    <w:rsid w:val="004D1D50"/>
    <w:rsid w:val="004E7954"/>
    <w:rsid w:val="004F259E"/>
    <w:rsid w:val="00511F1D"/>
    <w:rsid w:val="00520F36"/>
    <w:rsid w:val="00533E0A"/>
    <w:rsid w:val="00537C4D"/>
    <w:rsid w:val="00540615"/>
    <w:rsid w:val="00540A6D"/>
    <w:rsid w:val="00563FAF"/>
    <w:rsid w:val="00571A91"/>
    <w:rsid w:val="00571EEA"/>
    <w:rsid w:val="00572BFF"/>
    <w:rsid w:val="00575417"/>
    <w:rsid w:val="005768E1"/>
    <w:rsid w:val="00585DB7"/>
    <w:rsid w:val="00586CD1"/>
    <w:rsid w:val="005B1938"/>
    <w:rsid w:val="005C3890"/>
    <w:rsid w:val="005E39A5"/>
    <w:rsid w:val="005F7BFE"/>
    <w:rsid w:val="00600017"/>
    <w:rsid w:val="006235CA"/>
    <w:rsid w:val="006643AB"/>
    <w:rsid w:val="006661AD"/>
    <w:rsid w:val="006743B1"/>
    <w:rsid w:val="006A1D80"/>
    <w:rsid w:val="006E2714"/>
    <w:rsid w:val="006F0A53"/>
    <w:rsid w:val="00704453"/>
    <w:rsid w:val="007100E2"/>
    <w:rsid w:val="00711810"/>
    <w:rsid w:val="00717C25"/>
    <w:rsid w:val="007210CD"/>
    <w:rsid w:val="00732045"/>
    <w:rsid w:val="00732E2F"/>
    <w:rsid w:val="007369DB"/>
    <w:rsid w:val="007513AE"/>
    <w:rsid w:val="00762FE0"/>
    <w:rsid w:val="0078046C"/>
    <w:rsid w:val="00782067"/>
    <w:rsid w:val="007848A1"/>
    <w:rsid w:val="007956C2"/>
    <w:rsid w:val="007A10D9"/>
    <w:rsid w:val="007A187E"/>
    <w:rsid w:val="007A39A0"/>
    <w:rsid w:val="007A45F6"/>
    <w:rsid w:val="007B7840"/>
    <w:rsid w:val="007C72C2"/>
    <w:rsid w:val="007D2ACA"/>
    <w:rsid w:val="007D4436"/>
    <w:rsid w:val="007F257A"/>
    <w:rsid w:val="007F3665"/>
    <w:rsid w:val="00800037"/>
    <w:rsid w:val="008200A6"/>
    <w:rsid w:val="00820FE5"/>
    <w:rsid w:val="00827BB5"/>
    <w:rsid w:val="0083391C"/>
    <w:rsid w:val="0084581C"/>
    <w:rsid w:val="00860F2B"/>
    <w:rsid w:val="00861D73"/>
    <w:rsid w:val="00880D79"/>
    <w:rsid w:val="008919AC"/>
    <w:rsid w:val="00895226"/>
    <w:rsid w:val="00897553"/>
    <w:rsid w:val="008A4E87"/>
    <w:rsid w:val="008C32EF"/>
    <w:rsid w:val="008D5605"/>
    <w:rsid w:val="008D76E6"/>
    <w:rsid w:val="0092392D"/>
    <w:rsid w:val="00924E4E"/>
    <w:rsid w:val="0093234A"/>
    <w:rsid w:val="00956A78"/>
    <w:rsid w:val="0097363B"/>
    <w:rsid w:val="00973F53"/>
    <w:rsid w:val="009C136C"/>
    <w:rsid w:val="009C2E34"/>
    <w:rsid w:val="009C307F"/>
    <w:rsid w:val="009C353C"/>
    <w:rsid w:val="00A2113E"/>
    <w:rsid w:val="00A23A51"/>
    <w:rsid w:val="00A24607"/>
    <w:rsid w:val="00A24633"/>
    <w:rsid w:val="00A25CD3"/>
    <w:rsid w:val="00A33469"/>
    <w:rsid w:val="00A41497"/>
    <w:rsid w:val="00A51849"/>
    <w:rsid w:val="00A709FE"/>
    <w:rsid w:val="00A73C60"/>
    <w:rsid w:val="00A82767"/>
    <w:rsid w:val="00A978F0"/>
    <w:rsid w:val="00AA332F"/>
    <w:rsid w:val="00AA7BBB"/>
    <w:rsid w:val="00AB038F"/>
    <w:rsid w:val="00AB3287"/>
    <w:rsid w:val="00AB64A8"/>
    <w:rsid w:val="00AC0266"/>
    <w:rsid w:val="00AD24EC"/>
    <w:rsid w:val="00AD5922"/>
    <w:rsid w:val="00AF51FA"/>
    <w:rsid w:val="00B16345"/>
    <w:rsid w:val="00B309F9"/>
    <w:rsid w:val="00B32B60"/>
    <w:rsid w:val="00B61619"/>
    <w:rsid w:val="00B66C26"/>
    <w:rsid w:val="00BB4545"/>
    <w:rsid w:val="00BD5873"/>
    <w:rsid w:val="00BF560D"/>
    <w:rsid w:val="00C04BE3"/>
    <w:rsid w:val="00C1194A"/>
    <w:rsid w:val="00C134A7"/>
    <w:rsid w:val="00C16212"/>
    <w:rsid w:val="00C25D29"/>
    <w:rsid w:val="00C27A7C"/>
    <w:rsid w:val="00C627D9"/>
    <w:rsid w:val="00C922AC"/>
    <w:rsid w:val="00CA08ED"/>
    <w:rsid w:val="00CE0DDB"/>
    <w:rsid w:val="00CF183B"/>
    <w:rsid w:val="00D375CD"/>
    <w:rsid w:val="00D444B8"/>
    <w:rsid w:val="00D553A2"/>
    <w:rsid w:val="00D72F49"/>
    <w:rsid w:val="00D774D3"/>
    <w:rsid w:val="00D904E8"/>
    <w:rsid w:val="00DA08C3"/>
    <w:rsid w:val="00DB5A3E"/>
    <w:rsid w:val="00DC05D0"/>
    <w:rsid w:val="00DC22AA"/>
    <w:rsid w:val="00DD0649"/>
    <w:rsid w:val="00DF74DD"/>
    <w:rsid w:val="00E25AD0"/>
    <w:rsid w:val="00E57A2F"/>
    <w:rsid w:val="00E93668"/>
    <w:rsid w:val="00EB12B7"/>
    <w:rsid w:val="00EB6350"/>
    <w:rsid w:val="00ED46F7"/>
    <w:rsid w:val="00EF4A75"/>
    <w:rsid w:val="00F15B57"/>
    <w:rsid w:val="00F21161"/>
    <w:rsid w:val="00F35EF4"/>
    <w:rsid w:val="00F427DB"/>
    <w:rsid w:val="00F45D08"/>
    <w:rsid w:val="00F50C7B"/>
    <w:rsid w:val="00F659DB"/>
    <w:rsid w:val="00F70A9B"/>
    <w:rsid w:val="00F911C5"/>
    <w:rsid w:val="00F96774"/>
    <w:rsid w:val="00FA5EB1"/>
    <w:rsid w:val="00FA7439"/>
    <w:rsid w:val="00FB6FB3"/>
    <w:rsid w:val="00FC3D87"/>
    <w:rsid w:val="00FC4EC0"/>
    <w:rsid w:val="00FD2932"/>
    <w:rsid w:val="00FE5529"/>
    <w:rsid w:val="00FF0181"/>
    <w:rsid w:val="00FF2B38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F608D37"/>
  <w15:docId w15:val="{21925E53-F0E3-4AD6-93EE-DF35BB7F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FF2B38"/>
    <w:pPr>
      <w:spacing w:after="24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FF2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24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after="480"/>
    </w:pPr>
  </w:style>
  <w:style w:type="paragraph" w:customStyle="1" w:styleId="Figurewithouttitle">
    <w:name w:val="Figure_without_title"/>
    <w:basedOn w:val="Figure"/>
    <w:next w:val="Normalaftertitle"/>
    <w:rsid w:val="005C3890"/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6EAF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6EAF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320FB6"/>
    <w:rPr>
      <w:rFonts w:ascii="Calibri" w:hAnsi="Calibri"/>
      <w:i/>
      <w:sz w:val="24"/>
      <w:lang w:val="fr-FR" w:eastAsia="en-US"/>
    </w:rPr>
  </w:style>
  <w:style w:type="paragraph" w:customStyle="1" w:styleId="Chartt">
    <w:name w:val="Chart_t"/>
    <w:basedOn w:val="Normal"/>
    <w:rsid w:val="006743B1"/>
  </w:style>
  <w:style w:type="paragraph" w:customStyle="1" w:styleId="Chart">
    <w:name w:val="Chart"/>
    <w:basedOn w:val="Chartt"/>
    <w:rsid w:val="00674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DEC-005-F.pdf" TargetMode="Externa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5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10" Type="http://schemas.openxmlformats.org/officeDocument/2006/relationships/hyperlink" Target="https://www.itu.int/md/S23-CL-C-0115/fr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DEC-005-F.pdf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C6514-918D-487A-92D1-7A0C82D0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10</Pages>
  <Words>1005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Examen annuel des produits et des charges dans le cadre de la mise en œuvre du budget 2023</vt:lpstr>
    </vt:vector>
  </TitlesOfParts>
  <Manager>Secrétariat général - Pool</Manager>
  <Company>Union internationale des télécommunications (UIT)</Company>
  <LinksUpToDate>false</LinksUpToDate>
  <CharactersWithSpaces>6549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annuel des produits et des charges dans le cadre de la mise en œuvre du budget 2023</dc:title>
  <dc:subject>Conseil 2023</dc:subject>
  <dc:creator>FrenchVS</dc:creator>
  <cp:keywords>C2023, C23, Council-23</cp:keywords>
  <dc:description/>
  <cp:lastModifiedBy>LRT</cp:lastModifiedBy>
  <cp:revision>35</cp:revision>
  <cp:lastPrinted>2000-07-18T08:55:00Z</cp:lastPrinted>
  <dcterms:created xsi:type="dcterms:W3CDTF">2024-05-27T06:11:00Z</dcterms:created>
  <dcterms:modified xsi:type="dcterms:W3CDTF">2024-05-27T15:25:00Z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