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2"/>
        <w:gridCol w:w="3117"/>
      </w:tblGrid>
      <w:tr w:rsidR="007B0AA0" w14:paraId="0204CB46" w14:textId="77777777" w:rsidTr="00F363FE">
        <w:tc>
          <w:tcPr>
            <w:tcW w:w="6512" w:type="dxa"/>
          </w:tcPr>
          <w:p w14:paraId="1D8641AD" w14:textId="759353B8" w:rsidR="007B0AA0" w:rsidRPr="007B0AA0" w:rsidRDefault="007B0AA0" w:rsidP="00F363FE">
            <w:pPr>
              <w:spacing w:before="60" w:after="60" w:line="260" w:lineRule="exact"/>
              <w:rPr>
                <w:b/>
                <w:bCs/>
                <w:rtl/>
                <w:lang w:bidi="ar-EG"/>
              </w:rPr>
            </w:pPr>
            <w:r w:rsidRPr="007B0AA0">
              <w:rPr>
                <w:rFonts w:hint="cs"/>
                <w:b/>
                <w:bCs/>
                <w:rtl/>
                <w:lang w:bidi="ar-EG"/>
              </w:rPr>
              <w:t>بند جدول الأعمال:</w:t>
            </w:r>
            <w:r w:rsidR="00E82877">
              <w:rPr>
                <w:rFonts w:hint="cs"/>
                <w:b/>
                <w:bCs/>
                <w:rtl/>
                <w:lang w:bidi="ar-EG"/>
              </w:rPr>
              <w:t xml:space="preserve"> </w:t>
            </w:r>
            <w:r w:rsidR="00E82877" w:rsidRPr="00E82877">
              <w:rPr>
                <w:b/>
                <w:bCs/>
                <w:lang w:bidi="ar-EG"/>
              </w:rPr>
              <w:t>ADM 1</w:t>
            </w:r>
          </w:p>
        </w:tc>
        <w:tc>
          <w:tcPr>
            <w:tcW w:w="3117" w:type="dxa"/>
          </w:tcPr>
          <w:p w14:paraId="42924F9B" w14:textId="000CF60F"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B6080B">
              <w:rPr>
                <w:b/>
                <w:bCs/>
                <w:lang w:bidi="ar-EG"/>
              </w:rPr>
              <w:t>4</w:t>
            </w:r>
            <w:r w:rsidRPr="007B0AA0">
              <w:rPr>
                <w:b/>
                <w:bCs/>
                <w:lang w:bidi="ar-EG"/>
              </w:rPr>
              <w:t>/</w:t>
            </w:r>
            <w:r w:rsidR="00E82877">
              <w:rPr>
                <w:b/>
                <w:bCs/>
                <w:lang w:bidi="ar-EG"/>
              </w:rPr>
              <w:t>9</w:t>
            </w:r>
            <w:r w:rsidRPr="007B0AA0">
              <w:rPr>
                <w:b/>
                <w:bCs/>
                <w:lang w:bidi="ar-EG"/>
              </w:rPr>
              <w:t>-A</w:t>
            </w:r>
          </w:p>
        </w:tc>
      </w:tr>
      <w:tr w:rsidR="007B0AA0" w14:paraId="3D92217D" w14:textId="77777777" w:rsidTr="00F363FE">
        <w:tc>
          <w:tcPr>
            <w:tcW w:w="6512" w:type="dxa"/>
          </w:tcPr>
          <w:p w14:paraId="0CF6E75E" w14:textId="77777777" w:rsidR="007B0AA0" w:rsidRPr="007B0AA0" w:rsidRDefault="007B0AA0" w:rsidP="00F363FE">
            <w:pPr>
              <w:spacing w:before="60" w:after="60" w:line="260" w:lineRule="exact"/>
              <w:rPr>
                <w:b/>
                <w:bCs/>
                <w:rtl/>
                <w:lang w:bidi="ar-EG"/>
              </w:rPr>
            </w:pPr>
          </w:p>
        </w:tc>
        <w:tc>
          <w:tcPr>
            <w:tcW w:w="3117" w:type="dxa"/>
          </w:tcPr>
          <w:p w14:paraId="7716B7B2" w14:textId="231E5AED" w:rsidR="007B0AA0" w:rsidRPr="007B0AA0" w:rsidRDefault="00E82877" w:rsidP="00F363FE">
            <w:pPr>
              <w:spacing w:before="60" w:after="60" w:line="260" w:lineRule="exact"/>
              <w:rPr>
                <w:b/>
                <w:bCs/>
                <w:rtl/>
                <w:lang w:bidi="ar-EG"/>
              </w:rPr>
            </w:pPr>
            <w:r>
              <w:rPr>
                <w:b/>
                <w:bCs/>
                <w:lang w:bidi="ar-EG"/>
              </w:rPr>
              <w:t>6</w:t>
            </w:r>
            <w:r w:rsidR="007B0AA0" w:rsidRPr="007B0AA0">
              <w:rPr>
                <w:rFonts w:hint="cs"/>
                <w:b/>
                <w:bCs/>
                <w:rtl/>
                <w:lang w:bidi="ar-EG"/>
              </w:rPr>
              <w:t xml:space="preserve"> </w:t>
            </w:r>
            <w:r>
              <w:rPr>
                <w:rFonts w:hint="cs"/>
                <w:b/>
                <w:bCs/>
                <w:rtl/>
                <w:lang w:bidi="ar-EG"/>
              </w:rPr>
              <w:t>مايو</w:t>
            </w:r>
            <w:r w:rsidR="007B0AA0" w:rsidRPr="007B0AA0">
              <w:rPr>
                <w:rFonts w:hint="cs"/>
                <w:b/>
                <w:bCs/>
                <w:rtl/>
                <w:lang w:bidi="ar-EG"/>
              </w:rPr>
              <w:t xml:space="preserve"> </w:t>
            </w:r>
            <w:r w:rsidR="007B0AA0" w:rsidRPr="007B0AA0">
              <w:rPr>
                <w:b/>
                <w:bCs/>
                <w:lang w:bidi="ar-EG"/>
              </w:rPr>
              <w:t>202</w:t>
            </w:r>
            <w:r w:rsidR="00B6080B">
              <w:rPr>
                <w:b/>
                <w:bCs/>
                <w:lang w:bidi="ar-EG"/>
              </w:rPr>
              <w:t>4</w:t>
            </w:r>
          </w:p>
        </w:tc>
      </w:tr>
      <w:tr w:rsidR="007B0AA0" w14:paraId="4799B3BF" w14:textId="77777777" w:rsidTr="00F363FE">
        <w:tc>
          <w:tcPr>
            <w:tcW w:w="6512" w:type="dxa"/>
          </w:tcPr>
          <w:p w14:paraId="2A1B9074" w14:textId="77777777" w:rsidR="007B0AA0" w:rsidRPr="007B0AA0" w:rsidRDefault="007B0AA0" w:rsidP="00F363FE">
            <w:pPr>
              <w:spacing w:before="60" w:after="60" w:line="260" w:lineRule="exact"/>
              <w:rPr>
                <w:b/>
                <w:bCs/>
                <w:rtl/>
                <w:lang w:bidi="ar-EG"/>
              </w:rPr>
            </w:pPr>
          </w:p>
        </w:tc>
        <w:tc>
          <w:tcPr>
            <w:tcW w:w="3117" w:type="dxa"/>
          </w:tcPr>
          <w:p w14:paraId="7E817606" w14:textId="307725DA" w:rsidR="007B0AA0" w:rsidRPr="007B0AA0" w:rsidRDefault="007B0AA0" w:rsidP="00F363FE">
            <w:pPr>
              <w:spacing w:before="60" w:after="60" w:line="260" w:lineRule="exact"/>
              <w:rPr>
                <w:b/>
                <w:bCs/>
                <w:rtl/>
                <w:lang w:bidi="ar-EG"/>
              </w:rPr>
            </w:pPr>
            <w:r w:rsidRPr="007B0AA0">
              <w:rPr>
                <w:rFonts w:hint="cs"/>
                <w:b/>
                <w:bCs/>
                <w:rtl/>
                <w:lang w:bidi="ar-EG"/>
              </w:rPr>
              <w:t xml:space="preserve">الأصل: </w:t>
            </w:r>
            <w:r w:rsidR="00E82877" w:rsidRPr="00E82877">
              <w:rPr>
                <w:b/>
                <w:bCs/>
                <w:rtl/>
                <w:lang w:bidi="ar-EG"/>
              </w:rPr>
              <w:t>بالإنكليزية</w:t>
            </w:r>
          </w:p>
        </w:tc>
      </w:tr>
      <w:tr w:rsidR="007B0AA0" w14:paraId="64797E64" w14:textId="77777777" w:rsidTr="00F363FE">
        <w:tc>
          <w:tcPr>
            <w:tcW w:w="6512" w:type="dxa"/>
          </w:tcPr>
          <w:p w14:paraId="6E91920E" w14:textId="77777777" w:rsidR="007B0AA0" w:rsidRDefault="007B0AA0" w:rsidP="00F363FE">
            <w:pPr>
              <w:spacing w:before="60" w:after="60" w:line="260" w:lineRule="exact"/>
              <w:rPr>
                <w:lang w:bidi="ar-EG"/>
              </w:rPr>
            </w:pPr>
          </w:p>
        </w:tc>
        <w:tc>
          <w:tcPr>
            <w:tcW w:w="3117" w:type="dxa"/>
          </w:tcPr>
          <w:p w14:paraId="619D23F6" w14:textId="77777777" w:rsidR="007B0AA0" w:rsidRDefault="007B0AA0" w:rsidP="00F363FE">
            <w:pPr>
              <w:spacing w:before="60" w:after="60" w:line="260" w:lineRule="exact"/>
              <w:rPr>
                <w:rtl/>
                <w:lang w:bidi="ar-EG"/>
              </w:rPr>
            </w:pPr>
          </w:p>
        </w:tc>
      </w:tr>
      <w:tr w:rsidR="007B0AA0" w14:paraId="2D7D8DDF" w14:textId="77777777" w:rsidTr="00EE7446">
        <w:tc>
          <w:tcPr>
            <w:tcW w:w="9629" w:type="dxa"/>
            <w:gridSpan w:val="2"/>
          </w:tcPr>
          <w:p w14:paraId="23F29CFE" w14:textId="73729685" w:rsidR="007B0AA0" w:rsidRDefault="00E82877" w:rsidP="007B0AA0">
            <w:pPr>
              <w:pStyle w:val="Source"/>
              <w:jc w:val="left"/>
              <w:rPr>
                <w:rtl/>
                <w:lang w:bidi="ar-EG"/>
              </w:rPr>
            </w:pPr>
            <w:r w:rsidRPr="00E82877">
              <w:rPr>
                <w:rtl/>
                <w:lang w:bidi="ar-EG"/>
              </w:rPr>
              <w:t>تقرير من الأمينة العامة</w:t>
            </w:r>
          </w:p>
        </w:tc>
      </w:tr>
      <w:tr w:rsidR="007B0AA0" w14:paraId="73A452AB" w14:textId="77777777" w:rsidTr="007B0AA0">
        <w:tc>
          <w:tcPr>
            <w:tcW w:w="9629" w:type="dxa"/>
            <w:gridSpan w:val="2"/>
            <w:tcBorders>
              <w:bottom w:val="single" w:sz="4" w:space="0" w:color="auto"/>
            </w:tcBorders>
          </w:tcPr>
          <w:p w14:paraId="73EB12FA" w14:textId="77777777" w:rsidR="00E82877" w:rsidRDefault="00E82877" w:rsidP="00E82877">
            <w:pPr>
              <w:pStyle w:val="Subtitle0"/>
              <w:rPr>
                <w:rtl/>
              </w:rPr>
            </w:pPr>
            <w:r>
              <w:rPr>
                <w:rtl/>
              </w:rPr>
              <w:t>الاستعراض السنوي للإيرادات والنفقات لتنفيذ ميزانية 2024</w:t>
            </w:r>
          </w:p>
          <w:p w14:paraId="44B8766F" w14:textId="1C43F5C9" w:rsidR="007B0AA0" w:rsidRDefault="00E82877" w:rsidP="00E82877">
            <w:pPr>
              <w:pStyle w:val="Subtitle0"/>
            </w:pPr>
            <w:r>
              <w:rPr>
                <w:rtl/>
              </w:rPr>
              <w:t>النتائج الأولية لتنفيذ تدابير الكفاءة المدرجة في الملحق 2 بالمقرر 5</w:t>
            </w:r>
          </w:p>
        </w:tc>
      </w:tr>
      <w:tr w:rsidR="007B0AA0" w14:paraId="31C4134B" w14:textId="77777777" w:rsidTr="007B0AA0">
        <w:tc>
          <w:tcPr>
            <w:tcW w:w="9629" w:type="dxa"/>
            <w:gridSpan w:val="2"/>
            <w:tcBorders>
              <w:top w:val="single" w:sz="4" w:space="0" w:color="auto"/>
              <w:bottom w:val="single" w:sz="4" w:space="0" w:color="auto"/>
            </w:tcBorders>
          </w:tcPr>
          <w:p w14:paraId="02045BDE" w14:textId="77777777" w:rsidR="007B0AA0" w:rsidRPr="007B0AA0" w:rsidRDefault="007B0AA0" w:rsidP="007B0AA0">
            <w:pPr>
              <w:rPr>
                <w:b/>
                <w:bCs/>
                <w:rtl/>
              </w:rPr>
            </w:pPr>
            <w:r w:rsidRPr="007B0AA0">
              <w:rPr>
                <w:rFonts w:hint="cs"/>
                <w:b/>
                <w:bCs/>
                <w:rtl/>
              </w:rPr>
              <w:t xml:space="preserve">الغرض </w:t>
            </w:r>
          </w:p>
          <w:p w14:paraId="5B619746" w14:textId="77777777" w:rsidR="00E82877" w:rsidRDefault="00E82877" w:rsidP="00E82877">
            <w:pPr>
              <w:rPr>
                <w:rtl/>
              </w:rPr>
            </w:pPr>
            <w:r>
              <w:rPr>
                <w:rtl/>
              </w:rPr>
              <w:t>تعرض هذه الوثيقة العناصر الرئيسية لتنفيذ ميزانية 2024 عملاً بأحكام الرقم 73 من اتفاقية الاتحاد، الذي ينص على أن يجري المجلس استعراضاً سنوياً للإيرادات والنفقات.</w:t>
            </w:r>
          </w:p>
          <w:p w14:paraId="7C44FCEE" w14:textId="49F53A36" w:rsidR="007B0AA0" w:rsidRDefault="00E82877" w:rsidP="00E82877">
            <w:pPr>
              <w:rPr>
                <w:rtl/>
              </w:rPr>
            </w:pPr>
            <w:r>
              <w:rPr>
                <w:rtl/>
              </w:rPr>
              <w:t>وتقدم هذه الوثيقة أيضاً النتائج الأولية المتعلقة بتنفيذ تدابير الكفاءة المدرجة في الملحق 2 بالمقرر 5 (المراجَع في دبي، 2018) لعام 2023 وفي الملحق 2 بالمقرر 5 (المراجَع في بوخارست، 2022) لعام 2024.</w:t>
            </w:r>
          </w:p>
          <w:p w14:paraId="7DA839E2" w14:textId="77777777" w:rsidR="007B0AA0" w:rsidRPr="007B0AA0" w:rsidRDefault="007B0AA0" w:rsidP="007B0AA0">
            <w:pPr>
              <w:rPr>
                <w:b/>
                <w:bCs/>
                <w:rtl/>
              </w:rPr>
            </w:pPr>
            <w:r w:rsidRPr="007B0AA0">
              <w:rPr>
                <w:rFonts w:hint="cs"/>
                <w:b/>
                <w:bCs/>
                <w:rtl/>
              </w:rPr>
              <w:t>الإجراء المطلوب من المجلس</w:t>
            </w:r>
          </w:p>
          <w:p w14:paraId="39C19AF2" w14:textId="4E50C319" w:rsidR="007B0AA0" w:rsidRDefault="00E82877" w:rsidP="007B0AA0">
            <w:r w:rsidRPr="00E82877">
              <w:rPr>
                <w:rtl/>
              </w:rPr>
              <w:t xml:space="preserve">يُدعى المجلس إلى </w:t>
            </w:r>
            <w:r w:rsidRPr="00EB34AB">
              <w:rPr>
                <w:b/>
                <w:bCs/>
                <w:rtl/>
              </w:rPr>
              <w:t>العلم</w:t>
            </w:r>
            <w:r w:rsidRPr="00E82877">
              <w:rPr>
                <w:rtl/>
              </w:rPr>
              <w:t xml:space="preserve"> بهذه الوثيقة.</w:t>
            </w:r>
          </w:p>
          <w:p w14:paraId="284BD05F" w14:textId="77777777" w:rsidR="00E82877" w:rsidRPr="00E82877" w:rsidRDefault="00E82877" w:rsidP="00E82877">
            <w:pPr>
              <w:rPr>
                <w:b/>
                <w:bCs/>
                <w:rtl/>
              </w:rPr>
            </w:pPr>
            <w:r w:rsidRPr="00E82877">
              <w:rPr>
                <w:rFonts w:hint="cs"/>
                <w:b/>
                <w:bCs/>
                <w:rtl/>
              </w:rPr>
              <w:t>الصلة</w:t>
            </w:r>
            <w:r w:rsidRPr="00E82877">
              <w:rPr>
                <w:b/>
                <w:bCs/>
                <w:rtl/>
              </w:rPr>
              <w:t xml:space="preserve"> بالخطة ال</w:t>
            </w:r>
            <w:r w:rsidRPr="00E82877">
              <w:rPr>
                <w:rFonts w:hint="cs"/>
                <w:b/>
                <w:bCs/>
                <w:rtl/>
              </w:rPr>
              <w:t>ا</w:t>
            </w:r>
            <w:r w:rsidRPr="00E82877">
              <w:rPr>
                <w:b/>
                <w:bCs/>
                <w:rtl/>
              </w:rPr>
              <w:t>ستراتيجية</w:t>
            </w:r>
          </w:p>
          <w:p w14:paraId="7F85A4B3" w14:textId="77777777" w:rsidR="00E82877" w:rsidRPr="00E82877" w:rsidRDefault="00E82877" w:rsidP="00E82877">
            <w:pPr>
              <w:rPr>
                <w:rtl/>
              </w:rPr>
            </w:pPr>
            <w:r w:rsidRPr="00E82877">
              <w:rPr>
                <w:rtl/>
              </w:rPr>
              <w:t xml:space="preserve">توفر ميزانية الاتحاد التمويل </w:t>
            </w:r>
            <w:r w:rsidRPr="00E82877">
              <w:rPr>
                <w:rFonts w:hint="cs"/>
                <w:rtl/>
              </w:rPr>
              <w:t xml:space="preserve">اللازم لتحقيق غايتي الاتحاد وأولوياته </w:t>
            </w:r>
            <w:proofErr w:type="spellStart"/>
            <w:r w:rsidRPr="00E82877">
              <w:rPr>
                <w:rFonts w:hint="cs"/>
                <w:rtl/>
              </w:rPr>
              <w:t>المواضيعية</w:t>
            </w:r>
            <w:proofErr w:type="spellEnd"/>
            <w:r w:rsidRPr="00E82877">
              <w:rPr>
                <w:rFonts w:hint="cs"/>
                <w:rtl/>
              </w:rPr>
              <w:t>.</w:t>
            </w:r>
          </w:p>
          <w:p w14:paraId="450C5F36" w14:textId="5657CD7C" w:rsidR="00E82877" w:rsidRPr="00E82877" w:rsidRDefault="00E82877" w:rsidP="00E82877">
            <w:pPr>
              <w:rPr>
                <w:b/>
                <w:bCs/>
                <w:rtl/>
              </w:rPr>
            </w:pPr>
            <w:r w:rsidRPr="00E82877">
              <w:rPr>
                <w:rFonts w:hint="cs"/>
                <w:b/>
                <w:bCs/>
                <w:rtl/>
              </w:rPr>
              <w:t>الآثار المالية</w:t>
            </w:r>
          </w:p>
          <w:p w14:paraId="0B596BCE" w14:textId="62DDB5AB" w:rsidR="00E82877" w:rsidRDefault="00E82877" w:rsidP="00E82877">
            <w:pPr>
              <w:rPr>
                <w:rtl/>
              </w:rPr>
            </w:pPr>
            <w:r w:rsidRPr="00E82877">
              <w:rPr>
                <w:rtl/>
              </w:rPr>
              <w:t xml:space="preserve">ستتخذ إدارة الاتحاد جميع التدابير اللازمة </w:t>
            </w:r>
            <w:r w:rsidRPr="00E82877">
              <w:rPr>
                <w:rFonts w:hint="cs"/>
                <w:rtl/>
              </w:rPr>
              <w:t>لضمان</w:t>
            </w:r>
            <w:r w:rsidRPr="00E82877">
              <w:rPr>
                <w:rtl/>
              </w:rPr>
              <w:t xml:space="preserve"> </w:t>
            </w:r>
            <w:r w:rsidRPr="00E82877">
              <w:rPr>
                <w:rFonts w:hint="cs"/>
                <w:rtl/>
              </w:rPr>
              <w:t>ال</w:t>
            </w:r>
            <w:r w:rsidRPr="00E82877">
              <w:rPr>
                <w:rtl/>
              </w:rPr>
              <w:t xml:space="preserve">تنفيذ </w:t>
            </w:r>
            <w:r w:rsidRPr="00E82877">
              <w:rPr>
                <w:rFonts w:hint="cs"/>
                <w:rtl/>
              </w:rPr>
              <w:t>السليم والأمثل ل</w:t>
            </w:r>
            <w:r w:rsidRPr="00E82877">
              <w:rPr>
                <w:rtl/>
              </w:rPr>
              <w:t xml:space="preserve">ميزانية </w:t>
            </w:r>
            <w:r w:rsidRPr="00E82877">
              <w:rPr>
                <w:rFonts w:hint="cs"/>
                <w:rtl/>
              </w:rPr>
              <w:t>2024</w:t>
            </w:r>
            <w:r w:rsidRPr="00E82877">
              <w:rPr>
                <w:rtl/>
              </w:rPr>
              <w:t>.</w:t>
            </w:r>
          </w:p>
          <w:p w14:paraId="53621BE4"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75D4DBD5" w14:textId="77777777" w:rsidR="007B0AA0" w:rsidRPr="007B0AA0" w:rsidRDefault="007B0AA0" w:rsidP="007B0AA0">
            <w:pPr>
              <w:rPr>
                <w:b/>
                <w:bCs/>
                <w:rtl/>
              </w:rPr>
            </w:pPr>
            <w:r w:rsidRPr="007B0AA0">
              <w:rPr>
                <w:rFonts w:hint="cs"/>
                <w:b/>
                <w:bCs/>
                <w:rtl/>
              </w:rPr>
              <w:t>المراجع</w:t>
            </w:r>
          </w:p>
          <w:p w14:paraId="02026AB3" w14:textId="2624E3B1" w:rsidR="007B0AA0" w:rsidRPr="00E82877" w:rsidRDefault="00316488" w:rsidP="00FF21E1">
            <w:pPr>
              <w:spacing w:after="120"/>
              <w:rPr>
                <w:i/>
                <w:iCs/>
              </w:rPr>
            </w:pPr>
            <w:hyperlink r:id="rId8" w:history="1">
              <w:r w:rsidR="00E82877" w:rsidRPr="003B130F">
                <w:rPr>
                  <w:rStyle w:val="Hyperlink"/>
                  <w:i/>
                  <w:iCs/>
                  <w:rtl/>
                </w:rPr>
                <w:t>المقرر 5 (المراجَع في دبي، 2018)</w:t>
              </w:r>
            </w:hyperlink>
            <w:r w:rsidR="00E82877" w:rsidRPr="00E82877">
              <w:rPr>
                <w:i/>
                <w:iCs/>
                <w:rtl/>
              </w:rPr>
              <w:t xml:space="preserve"> و</w:t>
            </w:r>
            <w:hyperlink r:id="rId9" w:history="1">
              <w:r w:rsidR="00E82877" w:rsidRPr="003B130F">
                <w:rPr>
                  <w:rStyle w:val="Hyperlink"/>
                  <w:i/>
                  <w:iCs/>
                  <w:rtl/>
                </w:rPr>
                <w:t>المقرر 5 (المراجَع في بوخارست، 2022)</w:t>
              </w:r>
            </w:hyperlink>
            <w:r w:rsidR="00E82877" w:rsidRPr="00E82877">
              <w:rPr>
                <w:i/>
                <w:iCs/>
                <w:rtl/>
              </w:rPr>
              <w:t xml:space="preserve"> لمؤتمر المندوبين المفوضين؛ </w:t>
            </w:r>
            <w:hyperlink r:id="rId10" w:history="1">
              <w:r w:rsidR="00E82877" w:rsidRPr="003B130F">
                <w:rPr>
                  <w:rStyle w:val="Hyperlink"/>
                  <w:i/>
                  <w:iCs/>
                  <w:rtl/>
                </w:rPr>
                <w:t>قرار المجلس</w:t>
              </w:r>
              <w:r w:rsidR="00EB34AB">
                <w:rPr>
                  <w:rStyle w:val="Hyperlink"/>
                  <w:rFonts w:hint="cs"/>
                  <w:i/>
                  <w:iCs/>
                  <w:rtl/>
                </w:rPr>
                <w:t> </w:t>
              </w:r>
              <w:r w:rsidR="00E82877" w:rsidRPr="003B130F">
                <w:rPr>
                  <w:rStyle w:val="Hyperlink"/>
                  <w:i/>
                  <w:iCs/>
                  <w:rtl/>
                </w:rPr>
                <w:t>1417</w:t>
              </w:r>
            </w:hyperlink>
            <w:r w:rsidR="00E82877" w:rsidRPr="00E82877">
              <w:rPr>
                <w:i/>
                <w:iCs/>
                <w:rtl/>
              </w:rPr>
              <w:t xml:space="preserve"> – (ميزانية الاتحاد لفترة السنتين 2024-2025)</w:t>
            </w:r>
          </w:p>
        </w:tc>
      </w:tr>
    </w:tbl>
    <w:p w14:paraId="07E11E6C" w14:textId="77777777" w:rsidR="00F50E3F" w:rsidRDefault="00F50E3F" w:rsidP="00E82877">
      <w:pPr>
        <w:tabs>
          <w:tab w:val="clear" w:pos="794"/>
        </w:tabs>
        <w:spacing w:before="0" w:after="160" w:line="259" w:lineRule="auto"/>
        <w:jc w:val="left"/>
        <w:rPr>
          <w:rtl/>
          <w:lang w:bidi="ar-EG"/>
        </w:rPr>
      </w:pPr>
      <w:r>
        <w:rPr>
          <w:rtl/>
          <w:lang w:bidi="ar-EG"/>
        </w:rPr>
        <w:br w:type="page"/>
      </w:r>
    </w:p>
    <w:p w14:paraId="44C09D5B" w14:textId="77777777" w:rsidR="00A070EA" w:rsidRPr="00A070EA" w:rsidRDefault="00A070EA" w:rsidP="00605BD4">
      <w:pPr>
        <w:pStyle w:val="Heading1"/>
        <w:rPr>
          <w:lang w:bidi="ar-EG"/>
        </w:rPr>
      </w:pPr>
      <w:r w:rsidRPr="00A070EA">
        <w:rPr>
          <w:lang w:bidi="ar-EG"/>
        </w:rPr>
        <w:lastRenderedPageBreak/>
        <w:t>1</w:t>
      </w:r>
      <w:r w:rsidRPr="00A070EA">
        <w:rPr>
          <w:rtl/>
        </w:rPr>
        <w:tab/>
        <w:t>مقدمة</w:t>
      </w:r>
    </w:p>
    <w:p w14:paraId="2C617FE8" w14:textId="77777777" w:rsidR="00A070EA" w:rsidRPr="00A070EA" w:rsidRDefault="00A070EA" w:rsidP="00605BD4">
      <w:pPr>
        <w:rPr>
          <w:rtl/>
          <w:lang w:bidi="ar-EG"/>
        </w:rPr>
      </w:pPr>
      <w:r w:rsidRPr="00A070EA">
        <w:rPr>
          <w:lang w:val="en-GB" w:bidi="ar-EG"/>
        </w:rPr>
        <w:t>1.1</w:t>
      </w:r>
      <w:r w:rsidRPr="00A070EA">
        <w:rPr>
          <w:rtl/>
          <w:lang w:bidi="ar-EG"/>
        </w:rPr>
        <w:tab/>
        <w:t>ت</w:t>
      </w:r>
      <w:r w:rsidRPr="00A070EA">
        <w:rPr>
          <w:rFonts w:hint="cs"/>
          <w:rtl/>
          <w:lang w:bidi="ar-EG"/>
        </w:rPr>
        <w:t>عرض</w:t>
      </w:r>
      <w:r w:rsidRPr="00A070EA">
        <w:rPr>
          <w:rtl/>
          <w:lang w:bidi="ar-EG"/>
        </w:rPr>
        <w:t xml:space="preserve"> هذه الوثيقة العناصر الرئيسية لتنفيذ ميزانية </w:t>
      </w:r>
      <w:r w:rsidRPr="00A070EA">
        <w:rPr>
          <w:rFonts w:hint="cs"/>
          <w:rtl/>
          <w:lang w:bidi="ar-EG"/>
        </w:rPr>
        <w:t xml:space="preserve">2024 </w:t>
      </w:r>
      <w:r w:rsidRPr="00A070EA">
        <w:rPr>
          <w:rtl/>
          <w:lang w:bidi="ar-EG"/>
        </w:rPr>
        <w:t>عملاً بأحكام الرقم </w:t>
      </w:r>
      <w:r w:rsidRPr="00A070EA">
        <w:rPr>
          <w:lang w:bidi="ar-EG"/>
        </w:rPr>
        <w:t>73</w:t>
      </w:r>
      <w:r w:rsidRPr="00A070EA">
        <w:rPr>
          <w:rtl/>
          <w:lang w:bidi="ar-EG"/>
        </w:rPr>
        <w:t xml:space="preserve"> من اتفاقية الاتحاد، </w:t>
      </w:r>
      <w:r w:rsidRPr="00A070EA">
        <w:rPr>
          <w:rFonts w:hint="cs"/>
          <w:rtl/>
          <w:lang w:bidi="ar-EG"/>
        </w:rPr>
        <w:t>الذي ينص</w:t>
      </w:r>
      <w:r w:rsidRPr="00A070EA">
        <w:rPr>
          <w:rtl/>
          <w:lang w:bidi="ar-EG"/>
        </w:rPr>
        <w:t xml:space="preserve"> على أن يجري </w:t>
      </w:r>
      <w:r w:rsidRPr="00A070EA">
        <w:rPr>
          <w:rFonts w:hint="cs"/>
          <w:rtl/>
          <w:lang w:bidi="ar-EG"/>
        </w:rPr>
        <w:t>ال</w:t>
      </w:r>
      <w:r w:rsidRPr="00A070EA">
        <w:rPr>
          <w:rtl/>
          <w:lang w:bidi="ar-EG"/>
        </w:rPr>
        <w:t>مجلس استعراضاً سنوياً للإيرادات والنفقات.</w:t>
      </w:r>
    </w:p>
    <w:p w14:paraId="3374A493" w14:textId="77777777" w:rsidR="00A070EA" w:rsidRPr="00A070EA" w:rsidRDefault="00A070EA" w:rsidP="00605BD4">
      <w:pPr>
        <w:rPr>
          <w:lang w:bidi="ar-EG"/>
        </w:rPr>
      </w:pPr>
      <w:r w:rsidRPr="00A070EA">
        <w:rPr>
          <w:rFonts w:hint="cs"/>
          <w:rtl/>
          <w:lang w:bidi="ar-EG"/>
        </w:rPr>
        <w:t>2.1</w:t>
      </w:r>
      <w:r w:rsidRPr="00A070EA">
        <w:rPr>
          <w:rtl/>
          <w:lang w:bidi="ar-EG"/>
        </w:rPr>
        <w:tab/>
      </w:r>
      <w:r w:rsidRPr="00A070EA">
        <w:rPr>
          <w:rFonts w:hint="cs"/>
          <w:rtl/>
          <w:lang w:bidi="ar-EG"/>
        </w:rPr>
        <w:t>وتقدم الوثيقة أيضاً عرضاً أولياً لنتائج تنفيذ تدابير الكفاءة المدرجة في الملحق 2 بالمقرر 5 لعامي 2023 و2024.</w:t>
      </w:r>
    </w:p>
    <w:p w14:paraId="1CDA6536" w14:textId="77777777" w:rsidR="00A070EA" w:rsidRPr="00A070EA" w:rsidRDefault="00A070EA" w:rsidP="00605BD4">
      <w:pPr>
        <w:rPr>
          <w:rtl/>
        </w:rPr>
      </w:pPr>
      <w:r w:rsidRPr="00A070EA">
        <w:rPr>
          <w:rFonts w:hint="cs"/>
          <w:rtl/>
        </w:rPr>
        <w:t>وطبقاً لأحكام الفقرتين 1 و2 من "</w:t>
      </w:r>
      <w:r w:rsidRPr="00EB34AB">
        <w:rPr>
          <w:rFonts w:hint="cs"/>
          <w:i/>
          <w:iCs/>
          <w:rtl/>
        </w:rPr>
        <w:t>يكلف الأمين العام ومديري المكاتب</w:t>
      </w:r>
      <w:r w:rsidRPr="00A070EA">
        <w:rPr>
          <w:rFonts w:hint="cs"/>
          <w:rtl/>
        </w:rPr>
        <w:t>" في القرار 5 (المراجَع في بوخارست، 2022)، فإن الأمينة العامة ومديري المكاتب مكلفون بما يلي:</w:t>
      </w:r>
    </w:p>
    <w:p w14:paraId="016978E0" w14:textId="77777777" w:rsidR="00A070EA" w:rsidRPr="00EB34AB" w:rsidRDefault="00A070EA" w:rsidP="00605BD4">
      <w:pPr>
        <w:pStyle w:val="enumlev1"/>
        <w:rPr>
          <w:i/>
          <w:iCs/>
          <w:rtl/>
        </w:rPr>
      </w:pPr>
      <w:r w:rsidRPr="00EB34AB">
        <w:rPr>
          <w:rFonts w:hint="cs"/>
          <w:i/>
          <w:iCs/>
          <w:rtl/>
        </w:rPr>
        <w:t>"1</w:t>
      </w:r>
      <w:r w:rsidRPr="00EB34AB">
        <w:rPr>
          <w:i/>
          <w:iCs/>
          <w:rtl/>
        </w:rPr>
        <w:tab/>
      </w:r>
      <w:r w:rsidRPr="00EB34AB">
        <w:rPr>
          <w:i/>
          <w:iCs/>
          <w:spacing w:val="-4"/>
          <w:rtl/>
        </w:rPr>
        <w:t>بتقديم تقرير إلى المجلس على أساس سنوي بشأن تنفيذ ميزانية الاتحاد في السنة السابقة والتنفيذ المتوقع لميزانية الاتحاد في السنة الجارية، وتحديد الوفورات التي تحققت من خلال تنفيذ كل بند من البنود الواردة في الملحق 2 بهذا المقرر؛</w:t>
      </w:r>
    </w:p>
    <w:p w14:paraId="464EDBF4" w14:textId="0172E6D7" w:rsidR="00A070EA" w:rsidRPr="00EB34AB" w:rsidRDefault="00A070EA" w:rsidP="00605BD4">
      <w:pPr>
        <w:pStyle w:val="enumlev1"/>
        <w:rPr>
          <w:rtl/>
        </w:rPr>
      </w:pPr>
      <w:r w:rsidRPr="00EB34AB">
        <w:rPr>
          <w:rFonts w:hint="cs"/>
          <w:i/>
          <w:iCs/>
          <w:rtl/>
        </w:rPr>
        <w:t>2</w:t>
      </w:r>
      <w:r w:rsidRPr="00EB34AB">
        <w:rPr>
          <w:i/>
          <w:iCs/>
          <w:rtl/>
        </w:rPr>
        <w:tab/>
        <w:t>ببذل الجهود اللازمة لتحقيق تخفيضات عبر ثقافة الكفاءة والتوفير، وإدراج الوفورات المحققة فعلاً ضمن الميزانيات المعتمدة الإجمالية في التقرير المذكور أعلاه المرفوع إلى المجلس؛</w:t>
      </w:r>
      <w:r w:rsidRPr="00EB34AB">
        <w:rPr>
          <w:rFonts w:hint="cs"/>
          <w:i/>
          <w:iCs/>
          <w:rtl/>
        </w:rPr>
        <w:t>"</w:t>
      </w:r>
      <w:r w:rsidR="00EB34AB" w:rsidRPr="00EB34AB">
        <w:rPr>
          <w:rFonts w:hint="cs"/>
          <w:rtl/>
        </w:rPr>
        <w:t>.</w:t>
      </w:r>
    </w:p>
    <w:p w14:paraId="5A58EA6B" w14:textId="77777777" w:rsidR="00A070EA" w:rsidRPr="00A070EA" w:rsidRDefault="00A070EA" w:rsidP="00605BD4">
      <w:pPr>
        <w:pStyle w:val="Heading1"/>
        <w:rPr>
          <w:rtl/>
        </w:rPr>
      </w:pPr>
      <w:r w:rsidRPr="00A070EA">
        <w:rPr>
          <w:lang w:bidi="ar-EG"/>
        </w:rPr>
        <w:t>2</w:t>
      </w:r>
      <w:r w:rsidRPr="00A070EA">
        <w:rPr>
          <w:lang w:bidi="ar-EG"/>
        </w:rPr>
        <w:tab/>
      </w:r>
      <w:r w:rsidRPr="00A070EA">
        <w:rPr>
          <w:rFonts w:hint="cs"/>
          <w:rtl/>
        </w:rPr>
        <w:t xml:space="preserve">توقعات تنفيذ </w:t>
      </w:r>
      <w:r w:rsidRPr="00A070EA">
        <w:rPr>
          <w:rtl/>
        </w:rPr>
        <w:t xml:space="preserve">ميزانية </w:t>
      </w:r>
      <w:r w:rsidRPr="00A070EA">
        <w:rPr>
          <w:rFonts w:hint="cs"/>
          <w:rtl/>
        </w:rPr>
        <w:t>2024</w:t>
      </w:r>
    </w:p>
    <w:p w14:paraId="2025FAD1" w14:textId="6259B74C" w:rsidR="00A070EA" w:rsidRPr="00A070EA" w:rsidRDefault="00A070EA" w:rsidP="00EB34AB">
      <w:pPr>
        <w:rPr>
          <w:rtl/>
          <w:lang w:bidi="ar-EG"/>
        </w:rPr>
      </w:pPr>
      <w:r w:rsidRPr="00EB34AB">
        <w:rPr>
          <w:lang w:val="en-GB" w:bidi="ar-EG"/>
        </w:rPr>
        <w:t>1.2</w:t>
      </w:r>
      <w:r w:rsidRPr="00EB34AB">
        <w:rPr>
          <w:rtl/>
          <w:lang w:bidi="ar-EG"/>
        </w:rPr>
        <w:tab/>
        <w:t xml:space="preserve">اعتمد </w:t>
      </w:r>
      <w:r w:rsidRPr="00EB34AB">
        <w:rPr>
          <w:rFonts w:hint="cs"/>
          <w:rtl/>
          <w:lang w:bidi="ar-EG"/>
        </w:rPr>
        <w:t>ال</w:t>
      </w:r>
      <w:r w:rsidRPr="00EB34AB">
        <w:rPr>
          <w:rtl/>
          <w:lang w:bidi="ar-EG"/>
        </w:rPr>
        <w:t>مجلس</w:t>
      </w:r>
      <w:r w:rsidRPr="00EB34AB">
        <w:rPr>
          <w:rFonts w:hint="cs"/>
          <w:rtl/>
          <w:lang w:bidi="ar-EG"/>
        </w:rPr>
        <w:t xml:space="preserve"> </w:t>
      </w:r>
      <w:r w:rsidRPr="00EB34AB">
        <w:rPr>
          <w:rtl/>
          <w:lang w:bidi="ar-EG"/>
        </w:rPr>
        <w:t xml:space="preserve">في دورته </w:t>
      </w:r>
      <w:r w:rsidRPr="00EB34AB">
        <w:rPr>
          <w:rFonts w:hint="cs"/>
          <w:rtl/>
          <w:lang w:bidi="ar-EG"/>
        </w:rPr>
        <w:t xml:space="preserve">العادية </w:t>
      </w:r>
      <w:r w:rsidRPr="00EB34AB">
        <w:rPr>
          <w:rtl/>
          <w:lang w:bidi="ar-EG"/>
        </w:rPr>
        <w:t>لعام </w:t>
      </w:r>
      <w:r w:rsidRPr="00EB34AB">
        <w:rPr>
          <w:rFonts w:hint="cs"/>
          <w:rtl/>
          <w:lang w:bidi="ar-SY"/>
        </w:rPr>
        <w:t>2023</w:t>
      </w:r>
      <w:r w:rsidRPr="00EB34AB">
        <w:rPr>
          <w:rtl/>
          <w:lang w:bidi="ar-EG"/>
        </w:rPr>
        <w:t>،</w:t>
      </w:r>
      <w:r w:rsidRPr="00EB34AB">
        <w:rPr>
          <w:rFonts w:hint="cs"/>
          <w:rtl/>
          <w:lang w:bidi="ar-EG"/>
        </w:rPr>
        <w:t xml:space="preserve"> </w:t>
      </w:r>
      <w:r w:rsidRPr="00EB34AB">
        <w:rPr>
          <w:rtl/>
          <w:lang w:bidi="ar-EG"/>
        </w:rPr>
        <w:t>بموجب القرار </w:t>
      </w:r>
      <w:r w:rsidRPr="00EB34AB">
        <w:rPr>
          <w:rFonts w:hint="cs"/>
          <w:rtl/>
          <w:lang w:bidi="ar-SY"/>
        </w:rPr>
        <w:t>1417</w:t>
      </w:r>
      <w:r w:rsidRPr="00EB34AB">
        <w:rPr>
          <w:rtl/>
          <w:lang w:bidi="ar-EG"/>
        </w:rPr>
        <w:t>، ميزانية الاتحاد ل</w:t>
      </w:r>
      <w:r w:rsidRPr="00EB34AB">
        <w:rPr>
          <w:rFonts w:hint="cs"/>
          <w:rtl/>
          <w:lang w:bidi="ar-EG"/>
        </w:rPr>
        <w:t>ل</w:t>
      </w:r>
      <w:r w:rsidRPr="00EB34AB">
        <w:rPr>
          <w:rtl/>
          <w:lang w:bidi="ar-EG"/>
        </w:rPr>
        <w:t xml:space="preserve">فترة </w:t>
      </w:r>
      <w:r w:rsidRPr="00EB34AB">
        <w:rPr>
          <w:rFonts w:hint="cs"/>
          <w:rtl/>
          <w:lang w:bidi="ar-SY"/>
        </w:rPr>
        <w:t>2024-2025</w:t>
      </w:r>
      <w:r w:rsidRPr="00EB34AB">
        <w:rPr>
          <w:rtl/>
          <w:lang w:bidi="ar-EG"/>
        </w:rPr>
        <w:t xml:space="preserve">. وتبلغ ميزانية </w:t>
      </w:r>
      <w:r w:rsidRPr="00EB34AB">
        <w:rPr>
          <w:rFonts w:hint="cs"/>
          <w:rtl/>
          <w:lang w:bidi="ar-EG"/>
        </w:rPr>
        <w:t>فترة</w:t>
      </w:r>
      <w:r w:rsidRPr="00EB34AB">
        <w:rPr>
          <w:rFonts w:hint="eastAsia"/>
          <w:rtl/>
          <w:lang w:bidi="ar-EG"/>
        </w:rPr>
        <w:t> </w:t>
      </w:r>
      <w:r w:rsidRPr="00EB34AB">
        <w:rPr>
          <w:rtl/>
          <w:lang w:bidi="ar-EG"/>
        </w:rPr>
        <w:t>السنتين</w:t>
      </w:r>
      <w:r w:rsidRPr="00EB34AB">
        <w:rPr>
          <w:rFonts w:hint="eastAsia"/>
          <w:rtl/>
          <w:lang w:bidi="ar-EG"/>
        </w:rPr>
        <w:t> </w:t>
      </w:r>
      <w:r w:rsidRPr="00EB34AB">
        <w:rPr>
          <w:rFonts w:hint="cs"/>
          <w:rtl/>
          <w:lang w:bidi="ar-EG"/>
        </w:rPr>
        <w:t>المحدثة</w:t>
      </w:r>
      <w:r w:rsidRPr="00EB34AB">
        <w:rPr>
          <w:rtl/>
          <w:lang w:bidi="ar-EG"/>
        </w:rPr>
        <w:t> </w:t>
      </w:r>
      <w:r w:rsidRPr="00EB34AB">
        <w:rPr>
          <w:lang w:bidi="ar-EG"/>
        </w:rPr>
        <w:t>164</w:t>
      </w:r>
      <w:r w:rsidR="00EB34AB">
        <w:rPr>
          <w:lang w:bidi="ar-EG"/>
        </w:rPr>
        <w:t> </w:t>
      </w:r>
      <w:r w:rsidRPr="00EB34AB">
        <w:rPr>
          <w:lang w:bidi="ar-EG"/>
        </w:rPr>
        <w:t>933</w:t>
      </w:r>
      <w:r w:rsidR="00EB34AB">
        <w:rPr>
          <w:lang w:bidi="ar-EG"/>
        </w:rPr>
        <w:t> </w:t>
      </w:r>
      <w:r w:rsidRPr="00EB34AB">
        <w:rPr>
          <w:lang w:bidi="ar-EG"/>
        </w:rPr>
        <w:t>000</w:t>
      </w:r>
      <w:r w:rsidRPr="00EB34AB">
        <w:rPr>
          <w:rFonts w:hint="cs"/>
          <w:rtl/>
          <w:lang w:bidi="ar-EG"/>
        </w:rPr>
        <w:t xml:space="preserve"> </w:t>
      </w:r>
      <w:r w:rsidRPr="00EB34AB">
        <w:rPr>
          <w:rtl/>
          <w:lang w:bidi="ar-EG"/>
        </w:rPr>
        <w:t>فرنك سويسري</w:t>
      </w:r>
      <w:r w:rsidRPr="00EB34AB">
        <w:rPr>
          <w:rFonts w:hint="cs"/>
          <w:rtl/>
          <w:lang w:bidi="ar-EG"/>
        </w:rPr>
        <w:t xml:space="preserve"> لعام</w:t>
      </w:r>
      <w:r w:rsidR="00EB34AB">
        <w:rPr>
          <w:rFonts w:hint="cs"/>
          <w:rtl/>
          <w:lang w:bidi="ar-EG"/>
        </w:rPr>
        <w:t xml:space="preserve"> </w:t>
      </w:r>
      <w:r w:rsidRPr="00EB34AB">
        <w:rPr>
          <w:lang w:bidi="ar-EG"/>
        </w:rPr>
        <w:t>2024</w:t>
      </w:r>
      <w:r w:rsidRPr="00EB34AB">
        <w:rPr>
          <w:rFonts w:hint="cs"/>
          <w:rtl/>
          <w:lang w:bidi="ar-EG"/>
        </w:rPr>
        <w:t>، استناداً إلى</w:t>
      </w:r>
      <w:r w:rsidRPr="00EB34AB">
        <w:rPr>
          <w:rtl/>
          <w:lang w:bidi="ar-EG"/>
        </w:rPr>
        <w:t xml:space="preserve"> وحدة مساهمة سنوية للدول الأعضاء قيمتها </w:t>
      </w:r>
      <w:r w:rsidRPr="00EB34AB">
        <w:rPr>
          <w:lang w:bidi="ar-EG"/>
        </w:rPr>
        <w:t>318 000</w:t>
      </w:r>
      <w:r w:rsidRPr="00EB34AB">
        <w:rPr>
          <w:rtl/>
          <w:lang w:bidi="ar-EG"/>
        </w:rPr>
        <w:t xml:space="preserve"> فرنك سويسري، أي ما </w:t>
      </w:r>
      <w:r w:rsidRPr="00EB34AB">
        <w:rPr>
          <w:rFonts w:hint="cs"/>
          <w:rtl/>
          <w:lang w:bidi="ar-EG"/>
        </w:rPr>
        <w:t>يمثل</w:t>
      </w:r>
      <w:r w:rsidRPr="00EB34AB">
        <w:rPr>
          <w:rtl/>
          <w:lang w:bidi="ar-EG"/>
        </w:rPr>
        <w:t xml:space="preserve"> نمواً اسمياً صفرياً </w:t>
      </w:r>
      <w:r w:rsidRPr="00EB34AB">
        <w:rPr>
          <w:rFonts w:hint="cs"/>
          <w:rtl/>
          <w:lang w:bidi="ar-EG"/>
        </w:rPr>
        <w:t>منذ عام 2006</w:t>
      </w:r>
      <w:r w:rsidRPr="00EB34AB">
        <w:rPr>
          <w:rtl/>
          <w:lang w:bidi="ar-EG"/>
        </w:rPr>
        <w:t>.</w:t>
      </w:r>
    </w:p>
    <w:p w14:paraId="6C13E5A3" w14:textId="77777777" w:rsidR="00A070EA" w:rsidRPr="00A070EA" w:rsidRDefault="00A070EA" w:rsidP="00605BD4">
      <w:pPr>
        <w:rPr>
          <w:rtl/>
          <w:lang w:bidi="ar-EG"/>
        </w:rPr>
      </w:pPr>
      <w:r w:rsidRPr="00A070EA">
        <w:rPr>
          <w:lang w:val="en-GB" w:bidi="ar-EG"/>
        </w:rPr>
        <w:t>2.2</w:t>
      </w:r>
      <w:r w:rsidRPr="00A070EA">
        <w:rPr>
          <w:rtl/>
          <w:lang w:bidi="ar-EG"/>
        </w:rPr>
        <w:tab/>
      </w:r>
      <w:r w:rsidRPr="00A070EA">
        <w:rPr>
          <w:rFonts w:hint="cs"/>
          <w:rtl/>
          <w:lang w:bidi="ar-EG"/>
        </w:rPr>
        <w:t>والعاملان الرئيسيان المعروفان حالياً، اللذان يمثلان ما مجموعه</w:t>
      </w:r>
      <w:r w:rsidRPr="00A070EA">
        <w:rPr>
          <w:rFonts w:hint="cs"/>
          <w:rtl/>
        </w:rPr>
        <w:t xml:space="preserve"> </w:t>
      </w:r>
      <w:r w:rsidRPr="00605BD4">
        <w:rPr>
          <w:b/>
          <w:bCs/>
          <w:color w:val="0070C0"/>
          <w:lang w:bidi="ar-EG"/>
        </w:rPr>
        <w:t>6,7</w:t>
      </w:r>
      <w:r w:rsidRPr="00605BD4">
        <w:rPr>
          <w:rFonts w:hint="cs"/>
          <w:b/>
          <w:bCs/>
          <w:color w:val="0070C0"/>
          <w:rtl/>
        </w:rPr>
        <w:t xml:space="preserve"> مليون فرنك سويسري</w:t>
      </w:r>
      <w:r w:rsidRPr="00A070EA">
        <w:rPr>
          <w:rFonts w:hint="cs"/>
          <w:rtl/>
        </w:rPr>
        <w:t xml:space="preserve"> أو </w:t>
      </w:r>
      <w:r w:rsidRPr="00605BD4">
        <w:rPr>
          <w:b/>
          <w:bCs/>
          <w:color w:val="0070C0"/>
          <w:lang w:bidi="ar-EG"/>
        </w:rPr>
        <w:t>4,1</w:t>
      </w:r>
      <w:r w:rsidRPr="00605BD4">
        <w:rPr>
          <w:rFonts w:hint="cs"/>
          <w:b/>
          <w:bCs/>
          <w:color w:val="0070C0"/>
          <w:rtl/>
        </w:rPr>
        <w:t xml:space="preserve"> في المائة</w:t>
      </w:r>
      <w:r w:rsidRPr="00605BD4">
        <w:rPr>
          <w:rFonts w:hint="cs"/>
          <w:color w:val="0070C0"/>
          <w:rtl/>
        </w:rPr>
        <w:t xml:space="preserve"> </w:t>
      </w:r>
      <w:r w:rsidRPr="00A070EA">
        <w:rPr>
          <w:rFonts w:hint="cs"/>
          <w:rtl/>
        </w:rPr>
        <w:t>من ميزانية 2024</w:t>
      </w:r>
      <w:r w:rsidRPr="00A070EA">
        <w:rPr>
          <w:rFonts w:hint="cs"/>
          <w:rtl/>
          <w:lang w:bidi="ar-EG"/>
        </w:rPr>
        <w:t xml:space="preserve"> وسيؤثران على تنفيذ ميزانية 2024 هما:</w:t>
      </w:r>
    </w:p>
    <w:p w14:paraId="525D8384" w14:textId="0D82578B" w:rsidR="00A070EA" w:rsidRPr="00A070EA" w:rsidRDefault="00605BD4" w:rsidP="00605BD4">
      <w:pPr>
        <w:pStyle w:val="enumlev1"/>
      </w:pPr>
      <w:r>
        <w:rPr>
          <w:rFonts w:hint="cs"/>
        </w:rPr>
        <w:sym w:font="Wingdings 2" w:char="F097"/>
      </w:r>
      <w:r>
        <w:tab/>
      </w:r>
      <w:r w:rsidR="00A070EA" w:rsidRPr="00A070EA">
        <w:rPr>
          <w:rFonts w:hint="cs"/>
          <w:rtl/>
        </w:rPr>
        <w:t xml:space="preserve">انخفاض إيرادات استرداد التكاليف المتعلقة بمعالجة بطاقات التبليغ عن الشبكات الساتلية بمبلغ </w:t>
      </w:r>
      <w:r w:rsidR="00A070EA" w:rsidRPr="00605BD4">
        <w:rPr>
          <w:rFonts w:hint="cs"/>
          <w:b/>
          <w:bCs/>
          <w:color w:val="0070C0"/>
          <w:rtl/>
        </w:rPr>
        <w:t>4 ملايين فرنك سويسري</w:t>
      </w:r>
      <w:r w:rsidR="00A070EA" w:rsidRPr="00A070EA">
        <w:rPr>
          <w:rFonts w:hint="cs"/>
          <w:rtl/>
        </w:rPr>
        <w:t xml:space="preserve">. </w:t>
      </w:r>
      <w:r w:rsidR="00A070EA" w:rsidRPr="00A070EA">
        <w:rPr>
          <w:rtl/>
        </w:rPr>
        <w:t xml:space="preserve">ويمكن تعويض هذا العجز </w:t>
      </w:r>
      <w:r w:rsidR="00A070EA" w:rsidRPr="00A070EA">
        <w:rPr>
          <w:rFonts w:hint="cs"/>
          <w:rtl/>
        </w:rPr>
        <w:t>الأساسي</w:t>
      </w:r>
      <w:r w:rsidR="00A070EA" w:rsidRPr="00A070EA">
        <w:rPr>
          <w:rtl/>
        </w:rPr>
        <w:t xml:space="preserve"> في الإيرادات كليا</w:t>
      </w:r>
      <w:r w:rsidR="00A070EA" w:rsidRPr="00A070EA">
        <w:rPr>
          <w:rFonts w:hint="cs"/>
          <w:rtl/>
        </w:rPr>
        <w:t>ً</w:t>
      </w:r>
      <w:r w:rsidR="00A070EA" w:rsidRPr="00A070EA">
        <w:rPr>
          <w:rtl/>
        </w:rPr>
        <w:t xml:space="preserve"> أو جزئيا</w:t>
      </w:r>
      <w:r w:rsidR="00A070EA" w:rsidRPr="00A070EA">
        <w:rPr>
          <w:rFonts w:hint="cs"/>
          <w:rtl/>
        </w:rPr>
        <w:t>ً</w:t>
      </w:r>
      <w:r w:rsidR="00A070EA" w:rsidRPr="00A070EA">
        <w:rPr>
          <w:rtl/>
        </w:rPr>
        <w:t xml:space="preserve"> </w:t>
      </w:r>
      <w:r w:rsidR="00A070EA" w:rsidRPr="00A070EA">
        <w:rPr>
          <w:rFonts w:hint="cs"/>
          <w:rtl/>
        </w:rPr>
        <w:t>في ا</w:t>
      </w:r>
      <w:r w:rsidR="00A070EA" w:rsidRPr="00A070EA">
        <w:rPr>
          <w:rtl/>
        </w:rPr>
        <w:t>لفترات المقبلة التي سيراج</w:t>
      </w:r>
      <w:r w:rsidR="00A070EA" w:rsidRPr="00A070EA">
        <w:rPr>
          <w:rFonts w:hint="cs"/>
          <w:rtl/>
        </w:rPr>
        <w:t>َ</w:t>
      </w:r>
      <w:r w:rsidR="00A070EA" w:rsidRPr="00A070EA">
        <w:rPr>
          <w:rtl/>
        </w:rPr>
        <w:t xml:space="preserve">ع فيها جدول الرسوم المنصوص عليه في المقرر </w:t>
      </w:r>
      <w:r w:rsidR="00A070EA" w:rsidRPr="00A070EA">
        <w:rPr>
          <w:cs/>
        </w:rPr>
        <w:t>‎</w:t>
      </w:r>
      <w:r w:rsidR="00A070EA" w:rsidRPr="00A070EA">
        <w:t>482</w:t>
      </w:r>
      <w:r w:rsidR="00A070EA" w:rsidRPr="00A070EA">
        <w:rPr>
          <w:rtl/>
        </w:rPr>
        <w:t xml:space="preserve"> ‏</w:t>
      </w:r>
      <w:r w:rsidR="00A070EA" w:rsidRPr="00A070EA">
        <w:rPr>
          <w:rFonts w:hint="cs"/>
          <w:rtl/>
        </w:rPr>
        <w:t>لتضمينه</w:t>
      </w:r>
      <w:r w:rsidR="00A070EA" w:rsidRPr="00A070EA">
        <w:rPr>
          <w:rtl/>
        </w:rPr>
        <w:t xml:space="preserve"> التكاليف الفعلية لمعالجة بطاقات التبليغ عن </w:t>
      </w:r>
      <w:r w:rsidR="00A070EA" w:rsidRPr="00A070EA">
        <w:rPr>
          <w:rFonts w:hint="cs"/>
          <w:rtl/>
        </w:rPr>
        <w:t>الأنظمة</w:t>
      </w:r>
      <w:r w:rsidR="00A070EA" w:rsidRPr="00A070EA">
        <w:rPr>
          <w:rtl/>
        </w:rPr>
        <w:t xml:space="preserve"> الفضائية. ومع ذلك، فإننا لا نتوقع أن تدخل الرسوم المعد</w:t>
      </w:r>
      <w:r w:rsidR="00A070EA" w:rsidRPr="00A070EA">
        <w:rPr>
          <w:rFonts w:hint="cs"/>
          <w:rtl/>
        </w:rPr>
        <w:t>َّ</w:t>
      </w:r>
      <w:r w:rsidR="00A070EA" w:rsidRPr="00A070EA">
        <w:rPr>
          <w:rtl/>
        </w:rPr>
        <w:t xml:space="preserve">لة حيز النفاذ في عام </w:t>
      </w:r>
      <w:r w:rsidR="00A070EA" w:rsidRPr="00A070EA">
        <w:rPr>
          <w:cs/>
        </w:rPr>
        <w:t>‎</w:t>
      </w:r>
      <w:r w:rsidR="00A070EA" w:rsidRPr="00A070EA">
        <w:t>2024</w:t>
      </w:r>
      <w:r w:rsidR="00A070EA" w:rsidRPr="00A070EA">
        <w:rPr>
          <w:rFonts w:hint="cs"/>
          <w:rtl/>
        </w:rPr>
        <w:t>، ل</w:t>
      </w:r>
      <w:r w:rsidR="00A070EA" w:rsidRPr="00A070EA">
        <w:rPr>
          <w:rtl/>
        </w:rPr>
        <w:t xml:space="preserve">أن فريق الخبراء المعني بالمقرر </w:t>
      </w:r>
      <w:r w:rsidR="00A070EA" w:rsidRPr="00A070EA">
        <w:rPr>
          <w:cs/>
        </w:rPr>
        <w:t>‎</w:t>
      </w:r>
      <w:r w:rsidR="00A070EA" w:rsidRPr="00A070EA">
        <w:t>482</w:t>
      </w:r>
      <w:r w:rsidR="00A070EA" w:rsidRPr="00A070EA">
        <w:rPr>
          <w:rtl/>
        </w:rPr>
        <w:t xml:space="preserve"> ‏لم</w:t>
      </w:r>
      <w:r w:rsidR="00EB34AB">
        <w:rPr>
          <w:rFonts w:hint="cs"/>
          <w:rtl/>
        </w:rPr>
        <w:t> </w:t>
      </w:r>
      <w:r w:rsidR="00A070EA" w:rsidRPr="00A070EA">
        <w:rPr>
          <w:rFonts w:hint="cs"/>
          <w:rtl/>
        </w:rPr>
        <w:t>ي</w:t>
      </w:r>
      <w:r w:rsidR="00A070EA" w:rsidRPr="00A070EA">
        <w:rPr>
          <w:rtl/>
        </w:rPr>
        <w:t>كمل أعماله بعد</w:t>
      </w:r>
      <w:r w:rsidR="00A070EA" w:rsidRPr="00A070EA">
        <w:rPr>
          <w:rFonts w:hint="cs"/>
          <w:rtl/>
        </w:rPr>
        <w:t>.</w:t>
      </w:r>
    </w:p>
    <w:p w14:paraId="688B4EF8" w14:textId="539A311C" w:rsidR="00A070EA" w:rsidRPr="00A070EA" w:rsidRDefault="00605BD4" w:rsidP="00605BD4">
      <w:pPr>
        <w:pStyle w:val="enumlev1"/>
        <w:rPr>
          <w:rtl/>
        </w:rPr>
      </w:pPr>
      <w:r>
        <w:rPr>
          <w:rFonts w:hint="cs"/>
        </w:rPr>
        <w:sym w:font="Wingdings 2" w:char="F097"/>
      </w:r>
      <w:r>
        <w:tab/>
      </w:r>
      <w:r w:rsidR="00A070EA" w:rsidRPr="00A070EA">
        <w:rPr>
          <w:rFonts w:hint="cs"/>
          <w:rtl/>
        </w:rPr>
        <w:t xml:space="preserve">زيادة مرتبات الموظفين من فئة الخدمات العامة والفئة الفنية، بما في ذلك أجور المعاش التقاعدي للفئة الفنية، المقدرة بمبلغ </w:t>
      </w:r>
      <w:r w:rsidR="00A070EA" w:rsidRPr="00605BD4">
        <w:rPr>
          <w:b/>
          <w:bCs/>
          <w:color w:val="0070C0"/>
        </w:rPr>
        <w:t>2,7</w:t>
      </w:r>
      <w:r w:rsidR="00A070EA" w:rsidRPr="00605BD4">
        <w:rPr>
          <w:rFonts w:hint="cs"/>
          <w:b/>
          <w:bCs/>
          <w:color w:val="0070C0"/>
          <w:rtl/>
          <w:lang w:bidi="ar-SA"/>
        </w:rPr>
        <w:t xml:space="preserve"> مليون فرنك سويسري</w:t>
      </w:r>
      <w:r w:rsidR="00A070EA" w:rsidRPr="00605BD4">
        <w:rPr>
          <w:rFonts w:hint="cs"/>
          <w:color w:val="0070C0"/>
          <w:rtl/>
          <w:lang w:bidi="ar-SA"/>
        </w:rPr>
        <w:t xml:space="preserve"> </w:t>
      </w:r>
      <w:r w:rsidR="00A070EA" w:rsidRPr="00A070EA">
        <w:rPr>
          <w:rFonts w:hint="cs"/>
          <w:rtl/>
          <w:lang w:bidi="ar-SA"/>
        </w:rPr>
        <w:t>لعام 2024.</w:t>
      </w:r>
    </w:p>
    <w:p w14:paraId="43616F23" w14:textId="77777777" w:rsidR="00A070EA" w:rsidRPr="00A070EA" w:rsidRDefault="00A070EA" w:rsidP="00605BD4">
      <w:pPr>
        <w:rPr>
          <w:rtl/>
          <w:lang w:bidi="ar-EG"/>
        </w:rPr>
      </w:pPr>
      <w:r w:rsidRPr="00A070EA">
        <w:rPr>
          <w:lang w:bidi="ar-EG"/>
        </w:rPr>
        <w:t>3.2</w:t>
      </w:r>
      <w:r w:rsidRPr="00A070EA">
        <w:rPr>
          <w:rtl/>
          <w:lang w:bidi="ar-EG"/>
        </w:rPr>
        <w:tab/>
        <w:t xml:space="preserve">‏وفي </w:t>
      </w:r>
      <w:r w:rsidRPr="00A070EA">
        <w:rPr>
          <w:cs/>
          <w:lang w:bidi="ar-EG"/>
        </w:rPr>
        <w:t>‎</w:t>
      </w:r>
      <w:r w:rsidRPr="00A070EA">
        <w:rPr>
          <w:lang w:bidi="ar-EG"/>
        </w:rPr>
        <w:t>22</w:t>
      </w:r>
      <w:r w:rsidRPr="00A070EA">
        <w:rPr>
          <w:rtl/>
          <w:lang w:bidi="ar-EG"/>
        </w:rPr>
        <w:t xml:space="preserve"> ‏مارس </w:t>
      </w:r>
      <w:r w:rsidRPr="00A070EA">
        <w:rPr>
          <w:cs/>
          <w:lang w:bidi="ar-EG"/>
        </w:rPr>
        <w:t>‎</w:t>
      </w:r>
      <w:r w:rsidRPr="00A070EA">
        <w:rPr>
          <w:lang w:bidi="ar-EG"/>
        </w:rPr>
        <w:t>2024</w:t>
      </w:r>
      <w:r w:rsidRPr="00A070EA">
        <w:rPr>
          <w:rtl/>
          <w:lang w:bidi="ar-EG"/>
        </w:rPr>
        <w:t xml:space="preserve">‏، كانت النتيجة المتوقعة لتنفيذ ميزانية </w:t>
      </w:r>
      <w:r w:rsidRPr="00A070EA">
        <w:rPr>
          <w:cs/>
          <w:lang w:bidi="ar-EG"/>
        </w:rPr>
        <w:t>‎</w:t>
      </w:r>
      <w:r w:rsidRPr="00A070EA">
        <w:rPr>
          <w:lang w:bidi="ar-EG"/>
        </w:rPr>
        <w:t>2024</w:t>
      </w:r>
      <w:r w:rsidRPr="00A070EA">
        <w:rPr>
          <w:rtl/>
          <w:lang w:bidi="ar-EG"/>
        </w:rPr>
        <w:t xml:space="preserve"> ‏</w:t>
      </w:r>
      <w:r w:rsidRPr="00A070EA">
        <w:rPr>
          <w:b/>
          <w:bCs/>
          <w:rtl/>
          <w:lang w:bidi="ar-EG"/>
        </w:rPr>
        <w:t>متوازنة</w:t>
      </w:r>
      <w:r w:rsidRPr="00A070EA">
        <w:rPr>
          <w:rFonts w:hint="cs"/>
          <w:rtl/>
          <w:lang w:bidi="ar-EG"/>
        </w:rPr>
        <w:t xml:space="preserve">، </w:t>
      </w:r>
      <w:r w:rsidRPr="00A070EA">
        <w:rPr>
          <w:rtl/>
          <w:lang w:bidi="ar-EG"/>
        </w:rPr>
        <w:t xml:space="preserve">على الرغم من العاملين الرئيسيين المذكورين أعلاه. ومن المتوقع دفع مبلغ إضافي قدره </w:t>
      </w:r>
      <w:r w:rsidRPr="00A070EA">
        <w:rPr>
          <w:cs/>
          <w:lang w:bidi="ar-EG"/>
        </w:rPr>
        <w:t>‎</w:t>
      </w:r>
      <w:r w:rsidRPr="00A070EA">
        <w:rPr>
          <w:lang w:bidi="ar-EG"/>
        </w:rPr>
        <w:t>700 000</w:t>
      </w:r>
      <w:r w:rsidRPr="00A070EA">
        <w:rPr>
          <w:rtl/>
          <w:lang w:bidi="ar-EG"/>
        </w:rPr>
        <w:t xml:space="preserve"> ‏فرنك سويسري، </w:t>
      </w:r>
      <w:r w:rsidRPr="00A070EA">
        <w:rPr>
          <w:rFonts w:hint="cs"/>
          <w:rtl/>
          <w:lang w:bidi="ar-EG"/>
        </w:rPr>
        <w:t>زيادةً على</w:t>
      </w:r>
      <w:r w:rsidRPr="00A070EA">
        <w:rPr>
          <w:rtl/>
          <w:lang w:bidi="ar-EG"/>
        </w:rPr>
        <w:t xml:space="preserve"> مبلغ </w:t>
      </w:r>
      <w:r w:rsidRPr="00A070EA">
        <w:rPr>
          <w:cs/>
          <w:lang w:bidi="ar-EG"/>
        </w:rPr>
        <w:t>‎</w:t>
      </w:r>
      <w:r w:rsidRPr="00A070EA">
        <w:rPr>
          <w:lang w:bidi="ar-EG"/>
        </w:rPr>
        <w:t>750 000</w:t>
      </w:r>
      <w:r w:rsidRPr="00A070EA">
        <w:rPr>
          <w:rtl/>
          <w:lang w:bidi="ar-EG"/>
        </w:rPr>
        <w:t xml:space="preserve"> فرنك سويسري المدرج فعلا</w:t>
      </w:r>
      <w:r w:rsidRPr="00A070EA">
        <w:rPr>
          <w:rFonts w:hint="cs"/>
          <w:rtl/>
          <w:lang w:bidi="ar-EG"/>
        </w:rPr>
        <w:t>ً</w:t>
      </w:r>
      <w:r w:rsidRPr="00A070EA">
        <w:rPr>
          <w:rtl/>
          <w:lang w:bidi="ar-EG"/>
        </w:rPr>
        <w:t xml:space="preserve"> في الميزانية، إلى صندوق صيانة المباني (انظر الجدول </w:t>
      </w:r>
      <w:r w:rsidRPr="00A070EA">
        <w:rPr>
          <w:cs/>
          <w:lang w:bidi="ar-EG"/>
        </w:rPr>
        <w:t>‎</w:t>
      </w:r>
      <w:r w:rsidRPr="00A070EA">
        <w:rPr>
          <w:lang w:bidi="ar-EG"/>
        </w:rPr>
        <w:t>2</w:t>
      </w:r>
      <w:r w:rsidRPr="00A070EA">
        <w:rPr>
          <w:rtl/>
          <w:lang w:bidi="ar-EG"/>
        </w:rPr>
        <w:t xml:space="preserve">) ‏لضمان توفير أموال كافية لصيانة مباني الاتحاد، خاصة أن صيانة مبنى </w:t>
      </w:r>
      <w:proofErr w:type="spellStart"/>
      <w:r w:rsidRPr="00A070EA">
        <w:rPr>
          <w:rtl/>
          <w:lang w:bidi="ar-EG"/>
        </w:rPr>
        <w:t>فارامبيه</w:t>
      </w:r>
      <w:proofErr w:type="spellEnd"/>
      <w:r w:rsidRPr="00A070EA">
        <w:rPr>
          <w:rtl/>
          <w:lang w:bidi="ar-EG"/>
        </w:rPr>
        <w:t xml:space="preserve"> لم تدرج عموما</w:t>
      </w:r>
      <w:r w:rsidRPr="00A070EA">
        <w:rPr>
          <w:rFonts w:hint="cs"/>
          <w:rtl/>
          <w:lang w:bidi="ar-EG"/>
        </w:rPr>
        <w:t>ً</w:t>
      </w:r>
      <w:r w:rsidRPr="00A070EA">
        <w:rPr>
          <w:rtl/>
          <w:lang w:bidi="ar-EG"/>
        </w:rPr>
        <w:t xml:space="preserve"> في ميزانية </w:t>
      </w:r>
      <w:r w:rsidRPr="00A070EA">
        <w:rPr>
          <w:cs/>
          <w:lang w:bidi="ar-EG"/>
        </w:rPr>
        <w:t>‎</w:t>
      </w:r>
      <w:r w:rsidRPr="00A070EA">
        <w:rPr>
          <w:lang w:bidi="ar-EG"/>
        </w:rPr>
        <w:t>2025-2024</w:t>
      </w:r>
      <w:r w:rsidRPr="00A070EA">
        <w:rPr>
          <w:rtl/>
          <w:lang w:bidi="ar-EG"/>
        </w:rPr>
        <w:t>. ‏ويعزى هذا التنفيذ المتوازن أساسا</w:t>
      </w:r>
      <w:r w:rsidRPr="00A070EA">
        <w:rPr>
          <w:rFonts w:hint="cs"/>
          <w:rtl/>
          <w:lang w:bidi="ar-EG"/>
        </w:rPr>
        <w:t>ً</w:t>
      </w:r>
      <w:r w:rsidRPr="00A070EA">
        <w:rPr>
          <w:rtl/>
          <w:lang w:bidi="ar-EG"/>
        </w:rPr>
        <w:t xml:space="preserve"> إلى الزيادة المتوقعة في استرداد تكاليف المنشورات، وزيادة مكاسب أسعار الفائدة على الأموال النقدية وما يعادلها، والوفورات في النفقات التشغيلية، وتأخر التعيين. وترد تفاصيل أخرى في الجداول من </w:t>
      </w:r>
      <w:r w:rsidRPr="00A070EA">
        <w:rPr>
          <w:cs/>
          <w:lang w:bidi="ar-EG"/>
        </w:rPr>
        <w:t>‎</w:t>
      </w:r>
      <w:r w:rsidRPr="00A070EA">
        <w:rPr>
          <w:lang w:bidi="ar-EG"/>
        </w:rPr>
        <w:t>1</w:t>
      </w:r>
      <w:r w:rsidRPr="00A070EA">
        <w:rPr>
          <w:rtl/>
          <w:lang w:bidi="ar-EG"/>
        </w:rPr>
        <w:t xml:space="preserve"> ‏إلى </w:t>
      </w:r>
      <w:r w:rsidRPr="00A070EA">
        <w:rPr>
          <w:cs/>
          <w:lang w:bidi="ar-EG"/>
        </w:rPr>
        <w:t>‎</w:t>
      </w:r>
      <w:r w:rsidRPr="00A070EA">
        <w:rPr>
          <w:lang w:bidi="ar-EG"/>
        </w:rPr>
        <w:t>3</w:t>
      </w:r>
      <w:r w:rsidRPr="00A070EA">
        <w:rPr>
          <w:rFonts w:hint="cs"/>
          <w:rtl/>
          <w:lang w:bidi="ar-EG"/>
        </w:rPr>
        <w:t>.</w:t>
      </w:r>
    </w:p>
    <w:p w14:paraId="0BF172E6" w14:textId="77777777" w:rsidR="00A070EA" w:rsidRPr="00A070EA" w:rsidRDefault="00A070EA" w:rsidP="00605BD4">
      <w:pPr>
        <w:pStyle w:val="TableNo"/>
      </w:pPr>
      <w:r w:rsidRPr="00A070EA">
        <w:rPr>
          <w:rFonts w:hint="cs"/>
          <w:rtl/>
        </w:rPr>
        <w:lastRenderedPageBreak/>
        <w:t>الجدول 1</w:t>
      </w:r>
    </w:p>
    <w:p w14:paraId="48D1AB95" w14:textId="7AADC671" w:rsidR="00A070EA" w:rsidRPr="00A070EA" w:rsidRDefault="007874F3" w:rsidP="00BD05FD">
      <w:pPr>
        <w:pStyle w:val="Figure"/>
        <w:rPr>
          <w:rtl/>
        </w:rPr>
      </w:pPr>
      <w:r w:rsidRPr="007874F3">
        <w:rPr>
          <w:noProof/>
          <w:rtl/>
        </w:rPr>
        <w:drawing>
          <wp:inline distT="0" distB="0" distL="0" distR="0" wp14:anchorId="046E528F" wp14:editId="5CB44021">
            <wp:extent cx="4653280" cy="17386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8785"/>
                    <a:stretch/>
                  </pic:blipFill>
                  <pic:spPr bwMode="auto">
                    <a:xfrm>
                      <a:off x="0" y="0"/>
                      <a:ext cx="4653280" cy="1738630"/>
                    </a:xfrm>
                    <a:prstGeom prst="rect">
                      <a:avLst/>
                    </a:prstGeom>
                    <a:noFill/>
                    <a:ln>
                      <a:noFill/>
                    </a:ln>
                    <a:extLst>
                      <a:ext uri="{53640926-AAD7-44D8-BBD7-CCE9431645EC}">
                        <a14:shadowObscured xmlns:a14="http://schemas.microsoft.com/office/drawing/2010/main"/>
                      </a:ext>
                    </a:extLst>
                  </pic:spPr>
                </pic:pic>
              </a:graphicData>
            </a:graphic>
          </wp:inline>
        </w:drawing>
      </w:r>
    </w:p>
    <w:p w14:paraId="2EB05EA7" w14:textId="77777777" w:rsidR="00A070EA" w:rsidRPr="00A070EA" w:rsidRDefault="00A070EA" w:rsidP="007874F3">
      <w:pPr>
        <w:keepNext/>
        <w:rPr>
          <w:rtl/>
          <w:lang w:bidi="ar-EG"/>
        </w:rPr>
      </w:pPr>
      <w:r w:rsidRPr="00A070EA">
        <w:rPr>
          <w:rFonts w:hint="cs"/>
          <w:rtl/>
          <w:lang w:bidi="ar-EG"/>
        </w:rPr>
        <w:t>ويقدم الجدول 2 والشكل 1 توزيع النفقات بحسب القطاع:</w:t>
      </w:r>
    </w:p>
    <w:p w14:paraId="3F2BF93F" w14:textId="77777777" w:rsidR="00A070EA" w:rsidRPr="00A070EA" w:rsidRDefault="00A070EA" w:rsidP="00605BD4">
      <w:pPr>
        <w:pStyle w:val="TableNo"/>
        <w:rPr>
          <w:rtl/>
          <w:lang w:bidi="ar-EG"/>
        </w:rPr>
      </w:pPr>
      <w:r w:rsidRPr="00A070EA">
        <w:rPr>
          <w:rFonts w:hint="cs"/>
          <w:rtl/>
        </w:rPr>
        <w:t>الجدول</w:t>
      </w:r>
      <w:r w:rsidRPr="00A070EA">
        <w:rPr>
          <w:rFonts w:hint="cs"/>
          <w:rtl/>
          <w:lang w:bidi="ar-EG"/>
        </w:rPr>
        <w:t xml:space="preserve"> 2</w:t>
      </w:r>
    </w:p>
    <w:p w14:paraId="0F5BCCFD" w14:textId="2C81DD85" w:rsidR="00F8005A" w:rsidRDefault="00F8005A" w:rsidP="00F8005A">
      <w:pPr>
        <w:jc w:val="center"/>
      </w:pPr>
      <w:r w:rsidRPr="00F8005A">
        <w:rPr>
          <w:noProof/>
          <w:rtl/>
        </w:rPr>
        <w:drawing>
          <wp:inline distT="0" distB="0" distL="0" distR="0" wp14:anchorId="0D214A0E" wp14:editId="2DEB0740">
            <wp:extent cx="5729605" cy="203835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29605" cy="2038350"/>
                    </a:xfrm>
                    <a:prstGeom prst="rect">
                      <a:avLst/>
                    </a:prstGeom>
                    <a:noFill/>
                    <a:ln>
                      <a:noFill/>
                    </a:ln>
                  </pic:spPr>
                </pic:pic>
              </a:graphicData>
            </a:graphic>
          </wp:inline>
        </w:drawing>
      </w:r>
    </w:p>
    <w:p w14:paraId="16826C4D" w14:textId="11A8AF5A" w:rsidR="00A070EA" w:rsidRPr="00A070EA" w:rsidRDefault="00A070EA" w:rsidP="007874F3">
      <w:pPr>
        <w:pStyle w:val="FigureNo"/>
        <w:spacing w:before="480"/>
        <w:rPr>
          <w:rtl/>
        </w:rPr>
      </w:pPr>
      <w:r w:rsidRPr="00A070EA">
        <w:rPr>
          <w:rFonts w:hint="cs"/>
          <w:rtl/>
        </w:rPr>
        <w:t>الشكل 1</w:t>
      </w:r>
    </w:p>
    <w:p w14:paraId="6C0B5104" w14:textId="7CE8EAC5" w:rsidR="007874F3" w:rsidRDefault="00A070EA" w:rsidP="00501593">
      <w:pPr>
        <w:pStyle w:val="Figure"/>
        <w:rPr>
          <w:rtl/>
        </w:rPr>
      </w:pPr>
      <w:r w:rsidRPr="00605BD4">
        <w:rPr>
          <w:noProof/>
        </w:rPr>
        <w:drawing>
          <wp:inline distT="0" distB="0" distL="0" distR="0" wp14:anchorId="40CF54AA" wp14:editId="6CEFC84F">
            <wp:extent cx="5971429" cy="2874847"/>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1918" cy="2884711"/>
                    </a:xfrm>
                    <a:prstGeom prst="rect">
                      <a:avLst/>
                    </a:prstGeom>
                    <a:noFill/>
                  </pic:spPr>
                </pic:pic>
              </a:graphicData>
            </a:graphic>
          </wp:inline>
        </w:drawing>
      </w:r>
      <w:r w:rsidR="007874F3">
        <w:rPr>
          <w:rtl/>
        </w:rPr>
        <w:br w:type="page"/>
      </w:r>
    </w:p>
    <w:p w14:paraId="15EF0485" w14:textId="1F005D63" w:rsidR="00A070EA" w:rsidRPr="00A070EA" w:rsidRDefault="00A070EA" w:rsidP="00A070EA">
      <w:pPr>
        <w:rPr>
          <w:rtl/>
          <w:lang w:bidi="ar-EG"/>
        </w:rPr>
      </w:pPr>
      <w:r w:rsidRPr="00A070EA">
        <w:rPr>
          <w:rFonts w:hint="cs"/>
          <w:rtl/>
          <w:lang w:bidi="ar-EG"/>
        </w:rPr>
        <w:lastRenderedPageBreak/>
        <w:t>ويقدم الجدول 3 والشكل 2 توزيع الإيرادات بحسب المصدر:</w:t>
      </w:r>
    </w:p>
    <w:p w14:paraId="0D8D30EB" w14:textId="77777777" w:rsidR="00A070EA" w:rsidRPr="00A070EA" w:rsidRDefault="00A070EA" w:rsidP="000A621D">
      <w:pPr>
        <w:pStyle w:val="TableNo"/>
        <w:rPr>
          <w:rtl/>
        </w:rPr>
      </w:pPr>
      <w:r w:rsidRPr="00A070EA">
        <w:rPr>
          <w:rFonts w:hint="cs"/>
          <w:rtl/>
        </w:rPr>
        <w:t>الجدول 3</w:t>
      </w:r>
    </w:p>
    <w:p w14:paraId="41D16AAB" w14:textId="147025A4" w:rsidR="00F8005A" w:rsidRDefault="00F8005A" w:rsidP="00F8005A">
      <w:pPr>
        <w:jc w:val="center"/>
      </w:pPr>
      <w:r w:rsidRPr="00F8005A">
        <w:rPr>
          <w:noProof/>
          <w:rtl/>
        </w:rPr>
        <w:drawing>
          <wp:inline distT="0" distB="0" distL="0" distR="0" wp14:anchorId="34CDF53A" wp14:editId="520E94D2">
            <wp:extent cx="5729605" cy="272923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29605" cy="2729230"/>
                    </a:xfrm>
                    <a:prstGeom prst="rect">
                      <a:avLst/>
                    </a:prstGeom>
                    <a:noFill/>
                    <a:ln>
                      <a:noFill/>
                    </a:ln>
                  </pic:spPr>
                </pic:pic>
              </a:graphicData>
            </a:graphic>
          </wp:inline>
        </w:drawing>
      </w:r>
    </w:p>
    <w:p w14:paraId="4BB844AE" w14:textId="47707F53" w:rsidR="00A070EA" w:rsidRPr="00A070EA" w:rsidRDefault="00A070EA" w:rsidP="000A621D">
      <w:pPr>
        <w:pStyle w:val="FigureNo"/>
        <w:rPr>
          <w:rtl/>
        </w:rPr>
      </w:pPr>
      <w:r w:rsidRPr="00A070EA">
        <w:rPr>
          <w:rFonts w:hint="cs"/>
          <w:rtl/>
        </w:rPr>
        <w:t>الشكل 2</w:t>
      </w:r>
    </w:p>
    <w:p w14:paraId="772FAA0A" w14:textId="4334D310" w:rsidR="00A070EA" w:rsidRPr="00A070EA" w:rsidRDefault="00F8005A" w:rsidP="00BD05FD">
      <w:pPr>
        <w:pStyle w:val="Figure"/>
      </w:pPr>
      <w:r>
        <w:rPr>
          <w:noProof/>
        </w:rPr>
        <w:drawing>
          <wp:inline distT="0" distB="0" distL="0" distR="0" wp14:anchorId="36E95BAB" wp14:editId="2E17B506">
            <wp:extent cx="5571172" cy="374967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l="9793" t="13984"/>
                    <a:stretch/>
                  </pic:blipFill>
                  <pic:spPr bwMode="auto">
                    <a:xfrm>
                      <a:off x="0" y="0"/>
                      <a:ext cx="5571172" cy="3749675"/>
                    </a:xfrm>
                    <a:prstGeom prst="rect">
                      <a:avLst/>
                    </a:prstGeom>
                    <a:noFill/>
                    <a:ln>
                      <a:noFill/>
                    </a:ln>
                    <a:extLst>
                      <a:ext uri="{53640926-AAD7-44D8-BBD7-CCE9431645EC}">
                        <a14:shadowObscured xmlns:a14="http://schemas.microsoft.com/office/drawing/2010/main"/>
                      </a:ext>
                    </a:extLst>
                  </pic:spPr>
                </pic:pic>
              </a:graphicData>
            </a:graphic>
          </wp:inline>
        </w:drawing>
      </w:r>
    </w:p>
    <w:p w14:paraId="7A9B31DF" w14:textId="77777777" w:rsidR="00A070EA" w:rsidRPr="00A070EA" w:rsidRDefault="00A070EA" w:rsidP="000A621D">
      <w:pPr>
        <w:pStyle w:val="Heading1"/>
        <w:rPr>
          <w:lang w:bidi="ar-EG"/>
        </w:rPr>
      </w:pPr>
      <w:r w:rsidRPr="00A070EA">
        <w:rPr>
          <w:lang w:bidi="ar-EG"/>
        </w:rPr>
        <w:lastRenderedPageBreak/>
        <w:t>3</w:t>
      </w:r>
      <w:r w:rsidRPr="00A070EA">
        <w:rPr>
          <w:lang w:bidi="ar-EG"/>
        </w:rPr>
        <w:tab/>
      </w:r>
      <w:r w:rsidRPr="00A070EA">
        <w:rPr>
          <w:rFonts w:hint="cs"/>
          <w:rtl/>
        </w:rPr>
        <w:t>تدابير الكفاءة (الملحق 2 بالمقرر 5 لمؤتمر المندوبين المفوضين)</w:t>
      </w:r>
    </w:p>
    <w:p w14:paraId="026748A8" w14:textId="027A3EAC" w:rsidR="00A070EA" w:rsidRPr="00A070EA" w:rsidRDefault="00A070EA" w:rsidP="00316488">
      <w:pPr>
        <w:keepNext/>
        <w:rPr>
          <w:rtl/>
          <w:lang w:bidi="ar-EG"/>
        </w:rPr>
      </w:pPr>
      <w:r w:rsidRPr="00A070EA">
        <w:rPr>
          <w:lang w:bidi="ar-EG"/>
        </w:rPr>
        <w:t>1.3</w:t>
      </w:r>
      <w:r w:rsidRPr="00A070EA">
        <w:rPr>
          <w:rtl/>
          <w:lang w:bidi="ar-SY"/>
        </w:rPr>
        <w:tab/>
      </w:r>
      <w:r w:rsidRPr="00A070EA">
        <w:rPr>
          <w:rFonts w:hint="cs"/>
          <w:rtl/>
          <w:lang w:bidi="ar-SY"/>
        </w:rPr>
        <w:t xml:space="preserve">يعرض الجدول 4 الوارد في الصفحتين 6 و7 الإجراءات المتخذة والوفورات الممكنة في إطار كل تدبير من تدابير الكفاءة السبعة والعشرين </w:t>
      </w:r>
      <w:r w:rsidRPr="00A070EA">
        <w:rPr>
          <w:lang w:bidi="ar-EG"/>
        </w:rPr>
        <w:t>(27)</w:t>
      </w:r>
      <w:r w:rsidRPr="00A070EA">
        <w:rPr>
          <w:rFonts w:hint="cs"/>
          <w:rtl/>
        </w:rPr>
        <w:t xml:space="preserve"> المحددة في الملحق</w:t>
      </w:r>
      <w:r w:rsidR="00955EFE">
        <w:rPr>
          <w:rFonts w:hint="cs"/>
          <w:rtl/>
          <w:lang w:bidi="ar-EG"/>
        </w:rPr>
        <w:t xml:space="preserve"> 2 بالمقرر</w:t>
      </w:r>
      <w:r w:rsidRPr="00A070EA">
        <w:rPr>
          <w:rFonts w:hint="cs"/>
          <w:rtl/>
        </w:rPr>
        <w:t xml:space="preserve"> 5 (المراجَع في دبي، 2018) لعام 2023، وذلك حتى 22 مارس 2024</w:t>
      </w:r>
      <w:r w:rsidRPr="00A070EA">
        <w:rPr>
          <w:rFonts w:hint="cs"/>
          <w:rtl/>
          <w:lang w:bidi="ar-EG"/>
        </w:rPr>
        <w:t>.</w:t>
      </w:r>
    </w:p>
    <w:p w14:paraId="456FE101" w14:textId="518FB440" w:rsidR="00A070EA" w:rsidRPr="00A070EA" w:rsidRDefault="00A070EA" w:rsidP="000A621D">
      <w:pPr>
        <w:rPr>
          <w:rtl/>
          <w:lang w:bidi="ar-SY"/>
        </w:rPr>
      </w:pPr>
      <w:r w:rsidRPr="00A070EA">
        <w:rPr>
          <w:lang w:bidi="ar-EG"/>
        </w:rPr>
        <w:t>2.3</w:t>
      </w:r>
      <w:r w:rsidRPr="00A070EA">
        <w:rPr>
          <w:rtl/>
          <w:lang w:bidi="ar-SY"/>
        </w:rPr>
        <w:tab/>
      </w:r>
      <w:r w:rsidRPr="00A070EA">
        <w:rPr>
          <w:rtl/>
          <w:lang w:bidi="ar-EG"/>
        </w:rPr>
        <w:t>و</w:t>
      </w:r>
      <w:r w:rsidRPr="00A070EA">
        <w:rPr>
          <w:rFonts w:hint="cs"/>
          <w:rtl/>
          <w:lang w:bidi="ar-EG"/>
        </w:rPr>
        <w:t>يعرض</w:t>
      </w:r>
      <w:r w:rsidRPr="00A070EA">
        <w:rPr>
          <w:rtl/>
          <w:lang w:bidi="ar-EG"/>
        </w:rPr>
        <w:t xml:space="preserve"> الجدول </w:t>
      </w:r>
      <w:r w:rsidRPr="00A070EA">
        <w:rPr>
          <w:rFonts w:hint="cs"/>
          <w:rtl/>
          <w:lang w:bidi="ar-SY"/>
        </w:rPr>
        <w:t xml:space="preserve">5 الوارد في الصفحات من 8 إلى 10 الإجراءات الاستباقية والوفورات الممكنة في إطار كل تدبير من تدابير الكفاءة السبعة والعشرين </w:t>
      </w:r>
      <w:r w:rsidRPr="00A070EA">
        <w:rPr>
          <w:lang w:bidi="ar-EG"/>
        </w:rPr>
        <w:t>(27)</w:t>
      </w:r>
      <w:r w:rsidRPr="00A070EA">
        <w:rPr>
          <w:rFonts w:hint="cs"/>
          <w:rtl/>
        </w:rPr>
        <w:t xml:space="preserve"> المحددة في الملحق</w:t>
      </w:r>
      <w:r w:rsidR="00955EFE">
        <w:rPr>
          <w:rFonts w:hint="cs"/>
          <w:rtl/>
        </w:rPr>
        <w:t xml:space="preserve"> </w:t>
      </w:r>
      <w:r w:rsidR="00955EFE">
        <w:rPr>
          <w:rFonts w:hint="cs"/>
          <w:rtl/>
          <w:lang w:bidi="ar-EG"/>
        </w:rPr>
        <w:t>2 بالمقرر</w:t>
      </w:r>
      <w:r w:rsidRPr="00A070EA">
        <w:rPr>
          <w:rFonts w:hint="cs"/>
          <w:rtl/>
        </w:rPr>
        <w:t xml:space="preserve"> 5 (المراجَع في بوخارست، 2022) لعام 2024</w:t>
      </w:r>
      <w:r w:rsidRPr="00A070EA">
        <w:rPr>
          <w:rtl/>
          <w:lang w:bidi="ar-SY"/>
        </w:rPr>
        <w:t>.</w:t>
      </w:r>
    </w:p>
    <w:p w14:paraId="7017AD3D" w14:textId="77777777" w:rsidR="00A070EA" w:rsidRPr="00A070EA" w:rsidRDefault="00A070EA" w:rsidP="000A621D">
      <w:pPr>
        <w:rPr>
          <w:rtl/>
          <w:lang w:bidi="ar-SY"/>
        </w:rPr>
      </w:pPr>
      <w:r w:rsidRPr="00A070EA">
        <w:rPr>
          <w:rFonts w:hint="cs"/>
          <w:rtl/>
          <w:lang w:bidi="ar-SY"/>
        </w:rPr>
        <w:t>وستجري الأمينة العامة ونائب الأمينة العامة ومديرو المكاتب مزيداً من التحليل لتدابير الكفاءة هذه من أجل تقديم تقديرات أدق للوفورات المحققة أثناء تنفيذ ميزانية 2024.</w:t>
      </w:r>
    </w:p>
    <w:p w14:paraId="415B456F" w14:textId="77777777" w:rsidR="000A621D" w:rsidRDefault="000A621D" w:rsidP="00A070EA">
      <w:pPr>
        <w:rPr>
          <w:rtl/>
          <w:lang w:bidi="ar-SY"/>
        </w:rPr>
        <w:sectPr w:rsidR="000A621D" w:rsidSect="006C3242">
          <w:footerReference w:type="default" r:id="rId16"/>
          <w:headerReference w:type="first" r:id="rId17"/>
          <w:footerReference w:type="first" r:id="rId18"/>
          <w:type w:val="oddPage"/>
          <w:pgSz w:w="11907" w:h="16840" w:code="9"/>
          <w:pgMar w:top="1418" w:right="1134" w:bottom="1134" w:left="1134" w:header="709" w:footer="709" w:gutter="0"/>
          <w:cols w:space="708"/>
          <w:titlePg/>
          <w:docGrid w:linePitch="360"/>
        </w:sectPr>
      </w:pPr>
    </w:p>
    <w:p w14:paraId="4C5D6411" w14:textId="77777777" w:rsidR="00A070EA" w:rsidRPr="0076267C" w:rsidRDefault="00A070EA" w:rsidP="0076267C">
      <w:pPr>
        <w:pStyle w:val="Headingb"/>
        <w:rPr>
          <w:color w:val="0070C0"/>
          <w:u w:val="single"/>
          <w:rtl/>
          <w:lang w:bidi="ar-SY"/>
        </w:rPr>
      </w:pPr>
      <w:r w:rsidRPr="0076267C">
        <w:rPr>
          <w:rFonts w:hint="cs"/>
          <w:color w:val="0070C0"/>
          <w:u w:val="single"/>
          <w:rtl/>
          <w:lang w:bidi="ar-SY"/>
        </w:rPr>
        <w:lastRenderedPageBreak/>
        <w:t xml:space="preserve">2023 </w:t>
      </w:r>
      <w:r w:rsidRPr="0076267C">
        <w:rPr>
          <w:color w:val="0070C0"/>
          <w:u w:val="single"/>
          <w:rtl/>
          <w:lang w:bidi="ar-SY"/>
        </w:rPr>
        <w:t>–</w:t>
      </w:r>
      <w:r w:rsidRPr="0076267C">
        <w:rPr>
          <w:rFonts w:hint="cs"/>
          <w:color w:val="0070C0"/>
          <w:u w:val="single"/>
          <w:rtl/>
          <w:lang w:bidi="ar-SY"/>
        </w:rPr>
        <w:t xml:space="preserve"> الملحق 2 بالمقرر 5 (المراجَع في دبي، 2018)</w:t>
      </w:r>
    </w:p>
    <w:p w14:paraId="35D4B24C" w14:textId="531D2D91" w:rsidR="00A070EA" w:rsidRDefault="00A070EA" w:rsidP="0076267C">
      <w:pPr>
        <w:pStyle w:val="TableNo"/>
      </w:pPr>
      <w:r w:rsidRPr="0076267C">
        <w:rPr>
          <w:rFonts w:hint="cs"/>
          <w:rtl/>
        </w:rPr>
        <w:t>الجدول 4</w:t>
      </w:r>
    </w:p>
    <w:p w14:paraId="4A149A54" w14:textId="118A1F03" w:rsidR="00501593" w:rsidRDefault="00501593" w:rsidP="00955EFE">
      <w:pPr>
        <w:rPr>
          <w:lang w:bidi="ar-SY"/>
        </w:rPr>
      </w:pPr>
      <w:r>
        <w:rPr>
          <w:noProof/>
          <w:lang w:bidi="ar-SY"/>
        </w:rPr>
        <w:drawing>
          <wp:inline distT="0" distB="0" distL="0" distR="0" wp14:anchorId="7AD47CD2" wp14:editId="550BA766">
            <wp:extent cx="9972040" cy="4041775"/>
            <wp:effectExtent l="0" t="0" r="0" b="0"/>
            <wp:docPr id="3" name="Picture 3"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 scree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972040" cy="4041775"/>
                    </a:xfrm>
                    <a:prstGeom prst="rect">
                      <a:avLst/>
                    </a:prstGeom>
                  </pic:spPr>
                </pic:pic>
              </a:graphicData>
            </a:graphic>
          </wp:inline>
        </w:drawing>
      </w:r>
    </w:p>
    <w:p w14:paraId="2A3A5C17" w14:textId="67192105" w:rsidR="00955EFE" w:rsidRDefault="00955EFE" w:rsidP="00955EFE">
      <w:pPr>
        <w:rPr>
          <w:rtl/>
          <w:lang w:bidi="ar-SY"/>
        </w:rPr>
      </w:pPr>
      <w:r>
        <w:rPr>
          <w:rtl/>
          <w:lang w:bidi="ar-SY"/>
        </w:rPr>
        <w:br w:type="page"/>
      </w:r>
    </w:p>
    <w:p w14:paraId="05AD684F" w14:textId="0E4D2FF9" w:rsidR="00C15E62" w:rsidRPr="007126F0" w:rsidRDefault="007126F0" w:rsidP="00476D43">
      <w:pPr>
        <w:spacing w:after="120"/>
        <w:jc w:val="center"/>
        <w:rPr>
          <w:lang w:bidi="ar-SY"/>
        </w:rPr>
      </w:pPr>
      <w:r>
        <w:rPr>
          <w:rFonts w:hint="cs"/>
          <w:rtl/>
          <w:lang w:bidi="ar-SY"/>
        </w:rPr>
        <w:lastRenderedPageBreak/>
        <w:t>الجدول 4 (تابع)</w:t>
      </w:r>
    </w:p>
    <w:p w14:paraId="139EF7F7" w14:textId="1E937172" w:rsidR="00865C75" w:rsidRDefault="00501593" w:rsidP="00865C75">
      <w:pPr>
        <w:rPr>
          <w:rtl/>
          <w:lang w:bidi="ar-SY"/>
        </w:rPr>
      </w:pPr>
      <w:r>
        <w:rPr>
          <w:noProof/>
          <w:rtl/>
          <w:lang w:val="ar-SY" w:bidi="ar-SY"/>
        </w:rPr>
        <w:drawing>
          <wp:inline distT="0" distB="0" distL="0" distR="0" wp14:anchorId="1973F2D1" wp14:editId="6DD54AF7">
            <wp:extent cx="9972040" cy="4045585"/>
            <wp:effectExtent l="0" t="0" r="0" b="0"/>
            <wp:docPr id="4" name="Picture 4"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 screen&#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972040" cy="4045585"/>
                    </a:xfrm>
                    <a:prstGeom prst="rect">
                      <a:avLst/>
                    </a:prstGeom>
                  </pic:spPr>
                </pic:pic>
              </a:graphicData>
            </a:graphic>
          </wp:inline>
        </w:drawing>
      </w:r>
    </w:p>
    <w:p w14:paraId="6981F80C" w14:textId="77777777" w:rsidR="00865C75" w:rsidRDefault="00865C75" w:rsidP="00865C75">
      <w:pPr>
        <w:rPr>
          <w:sz w:val="24"/>
          <w:szCs w:val="24"/>
          <w:rtl/>
          <w:lang w:bidi="ar-SY"/>
        </w:rPr>
      </w:pPr>
      <w:r>
        <w:rPr>
          <w:rtl/>
          <w:lang w:bidi="ar-SY"/>
        </w:rPr>
        <w:br w:type="page"/>
      </w:r>
    </w:p>
    <w:p w14:paraId="423FB8CB" w14:textId="549B6BC3" w:rsidR="00A070EA" w:rsidRPr="00A070EA" w:rsidRDefault="00A070EA" w:rsidP="0076267C">
      <w:pPr>
        <w:pStyle w:val="Headingb"/>
        <w:rPr>
          <w:color w:val="0070C0"/>
          <w:u w:val="single"/>
          <w:rtl/>
          <w:lang w:bidi="ar-SY"/>
        </w:rPr>
      </w:pPr>
      <w:r w:rsidRPr="00A070EA">
        <w:rPr>
          <w:rFonts w:hint="cs"/>
          <w:color w:val="0070C0"/>
          <w:u w:val="single"/>
          <w:rtl/>
          <w:lang w:bidi="ar-SY"/>
        </w:rPr>
        <w:lastRenderedPageBreak/>
        <w:t xml:space="preserve">2024 </w:t>
      </w:r>
      <w:r w:rsidRPr="00A070EA">
        <w:rPr>
          <w:color w:val="0070C0"/>
          <w:u w:val="single"/>
          <w:rtl/>
          <w:lang w:bidi="ar-SY"/>
        </w:rPr>
        <w:t>–</w:t>
      </w:r>
      <w:r w:rsidRPr="00A070EA">
        <w:rPr>
          <w:rFonts w:hint="cs"/>
          <w:color w:val="0070C0"/>
          <w:u w:val="single"/>
          <w:rtl/>
          <w:lang w:bidi="ar-SY"/>
        </w:rPr>
        <w:t xml:space="preserve"> الملحق 2 بالمقرر 5 (المراجَع في بوخارست، 2022)</w:t>
      </w:r>
    </w:p>
    <w:p w14:paraId="21A120F6" w14:textId="194FB8A9" w:rsidR="00A070EA" w:rsidRPr="00A070EA" w:rsidRDefault="00A070EA" w:rsidP="00EC0BDD">
      <w:pPr>
        <w:pStyle w:val="TableNo"/>
        <w:spacing w:beforeLines="40" w:before="96" w:afterLines="40" w:after="96" w:line="240" w:lineRule="exact"/>
        <w:rPr>
          <w:rtl/>
        </w:rPr>
      </w:pPr>
      <w:r w:rsidRPr="00A070EA">
        <w:rPr>
          <w:rFonts w:hint="cs"/>
          <w:rtl/>
        </w:rPr>
        <w:t>الجدول 5</w:t>
      </w:r>
    </w:p>
    <w:p w14:paraId="549C26A9" w14:textId="5314D180" w:rsidR="00EA5E63" w:rsidRDefault="00501593" w:rsidP="00501593">
      <w:pPr>
        <w:rPr>
          <w:lang w:val="en-GB"/>
        </w:rPr>
      </w:pPr>
      <w:r>
        <w:rPr>
          <w:noProof/>
          <w:lang w:val="en-GB"/>
        </w:rPr>
        <w:drawing>
          <wp:inline distT="0" distB="0" distL="0" distR="0" wp14:anchorId="60B606A5" wp14:editId="4EDB116C">
            <wp:extent cx="9972040" cy="4090035"/>
            <wp:effectExtent l="0" t="0" r="0" b="5715"/>
            <wp:docPr id="6" name="Picture 6"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 screen&#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972040" cy="4090035"/>
                    </a:xfrm>
                    <a:prstGeom prst="rect">
                      <a:avLst/>
                    </a:prstGeom>
                  </pic:spPr>
                </pic:pic>
              </a:graphicData>
            </a:graphic>
          </wp:inline>
        </w:drawing>
      </w:r>
    </w:p>
    <w:p w14:paraId="23E7767C" w14:textId="77777777" w:rsidR="00EA5E63" w:rsidRDefault="00EA5E63" w:rsidP="00EA5E63">
      <w:pPr>
        <w:rPr>
          <w:lang w:val="en-GB" w:bidi="ar-EG"/>
        </w:rPr>
      </w:pPr>
      <w:r>
        <w:rPr>
          <w:lang w:val="en-GB"/>
        </w:rPr>
        <w:br w:type="page"/>
      </w:r>
    </w:p>
    <w:p w14:paraId="302403FD" w14:textId="25106DA2" w:rsidR="008D6C3D" w:rsidRDefault="00EA5E63" w:rsidP="00BD05FD">
      <w:pPr>
        <w:pStyle w:val="Figure"/>
        <w:rPr>
          <w:lang w:val="en-GB"/>
        </w:rPr>
      </w:pPr>
      <w:r w:rsidRPr="00673CC7">
        <w:rPr>
          <w:rFonts w:hint="cs"/>
          <w:rtl/>
          <w:lang w:val="en-GB"/>
        </w:rPr>
        <w:lastRenderedPageBreak/>
        <w:t>الجدول 5 (تابع)</w:t>
      </w:r>
    </w:p>
    <w:p w14:paraId="2FD3336F" w14:textId="178DD371" w:rsidR="008C7524" w:rsidRDefault="00501593" w:rsidP="008C7524">
      <w:pPr>
        <w:rPr>
          <w:rtl/>
          <w:lang w:val="en-GB"/>
        </w:rPr>
      </w:pPr>
      <w:r>
        <w:rPr>
          <w:noProof/>
          <w:rtl/>
          <w:lang w:val="ar-SA"/>
        </w:rPr>
        <w:drawing>
          <wp:inline distT="0" distB="0" distL="0" distR="0" wp14:anchorId="36F549FA" wp14:editId="41DE2651">
            <wp:extent cx="9972040" cy="3505200"/>
            <wp:effectExtent l="0" t="0" r="0" b="0"/>
            <wp:docPr id="13" name="Picture 1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screenshot of a cell phone&#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972040" cy="3505200"/>
                    </a:xfrm>
                    <a:prstGeom prst="rect">
                      <a:avLst/>
                    </a:prstGeom>
                  </pic:spPr>
                </pic:pic>
              </a:graphicData>
            </a:graphic>
          </wp:inline>
        </w:drawing>
      </w:r>
    </w:p>
    <w:p w14:paraId="3C798F1B" w14:textId="77777777" w:rsidR="008C7524" w:rsidRDefault="008C7524">
      <w:pPr>
        <w:tabs>
          <w:tab w:val="clear" w:pos="794"/>
        </w:tabs>
        <w:bidi w:val="0"/>
        <w:spacing w:before="0" w:after="160" w:line="259" w:lineRule="auto"/>
        <w:jc w:val="left"/>
        <w:rPr>
          <w:rtl/>
          <w:lang w:val="en-GB"/>
        </w:rPr>
      </w:pPr>
      <w:r>
        <w:rPr>
          <w:rtl/>
          <w:lang w:val="en-GB"/>
        </w:rPr>
        <w:br w:type="page"/>
      </w:r>
    </w:p>
    <w:p w14:paraId="2734F137" w14:textId="07408637" w:rsidR="00C15E62" w:rsidRDefault="008C7524" w:rsidP="00BD05FD">
      <w:pPr>
        <w:pStyle w:val="Figure"/>
        <w:rPr>
          <w:lang w:val="en-GB"/>
        </w:rPr>
      </w:pPr>
      <w:r w:rsidRPr="00673CC7">
        <w:rPr>
          <w:rFonts w:hint="cs"/>
          <w:rtl/>
          <w:lang w:val="en-GB"/>
        </w:rPr>
        <w:lastRenderedPageBreak/>
        <w:t>الجدول 5 (تابع)</w:t>
      </w:r>
    </w:p>
    <w:p w14:paraId="7E0B236B" w14:textId="3941A342" w:rsidR="00501593" w:rsidRDefault="00501593" w:rsidP="00501593">
      <w:pPr>
        <w:rPr>
          <w:lang w:val="en-GB"/>
        </w:rPr>
      </w:pPr>
      <w:r>
        <w:rPr>
          <w:noProof/>
          <w:lang w:val="en-GB"/>
        </w:rPr>
        <w:drawing>
          <wp:inline distT="0" distB="0" distL="0" distR="0" wp14:anchorId="2620F9EA" wp14:editId="5599A7AB">
            <wp:extent cx="9972040" cy="1973580"/>
            <wp:effectExtent l="0" t="0" r="0" b="7620"/>
            <wp:docPr id="14" name="Picture 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shot of a computer&#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972040" cy="1973580"/>
                    </a:xfrm>
                    <a:prstGeom prst="rect">
                      <a:avLst/>
                    </a:prstGeom>
                  </pic:spPr>
                </pic:pic>
              </a:graphicData>
            </a:graphic>
          </wp:inline>
        </w:drawing>
      </w:r>
    </w:p>
    <w:p w14:paraId="1F2DB7CF" w14:textId="1371565F" w:rsidR="00DC3053" w:rsidRDefault="00DC3053" w:rsidP="00BD05FD">
      <w:pPr>
        <w:pStyle w:val="Figure"/>
        <w:rPr>
          <w:rtl/>
          <w:lang w:val="en-GB"/>
        </w:rPr>
      </w:pPr>
      <w:r w:rsidRPr="00F91E47">
        <w:rPr>
          <w:rFonts w:hint="cs"/>
          <w:rtl/>
          <w:lang w:val="en-GB"/>
        </w:rPr>
        <w:t>ــــــــــــــــــــــــــــــــــــــــــــــــــــــــــــــــــــــــــــــــــــــــــــــــ</w:t>
      </w:r>
    </w:p>
    <w:sectPr w:rsidR="00DC3053" w:rsidSect="00501593">
      <w:footerReference w:type="default" r:id="rId24"/>
      <w:headerReference w:type="first" r:id="rId25"/>
      <w:footerReference w:type="first" r:id="rId26"/>
      <w:pgSz w:w="16838" w:h="11906" w:orient="landscape" w:code="9"/>
      <w:pgMar w:top="851"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E73F3" w14:textId="77777777" w:rsidR="00100E42" w:rsidRDefault="00100E42" w:rsidP="006C3242">
      <w:pPr>
        <w:spacing w:before="0" w:line="240" w:lineRule="auto"/>
      </w:pPr>
      <w:r>
        <w:separator/>
      </w:r>
    </w:p>
  </w:endnote>
  <w:endnote w:type="continuationSeparator" w:id="0">
    <w:p w14:paraId="7CB5CAE9" w14:textId="77777777" w:rsidR="00100E42" w:rsidRDefault="00100E42"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7542"/>
      <w:gridCol w:w="424"/>
    </w:tblGrid>
    <w:tr w:rsidR="00F50E3F" w:rsidRPr="007B0AA0" w14:paraId="1874D3F1" w14:textId="77777777" w:rsidTr="00357086">
      <w:trPr>
        <w:jc w:val="center"/>
      </w:trPr>
      <w:tc>
        <w:tcPr>
          <w:tcW w:w="868" w:type="pct"/>
          <w:vAlign w:val="center"/>
        </w:tcPr>
        <w:p w14:paraId="6FE12A8F" w14:textId="10A2B61E" w:rsidR="00F50E3F" w:rsidRPr="007B0AA0" w:rsidRDefault="00F50E3F" w:rsidP="00B95654">
          <w:pPr>
            <w:tabs>
              <w:tab w:val="clear" w:pos="794"/>
            </w:tabs>
            <w:overflowPunct w:val="0"/>
            <w:autoSpaceDE w:val="0"/>
            <w:autoSpaceDN w:val="0"/>
            <w:bidi w:val="0"/>
            <w:adjustRightInd w:val="0"/>
            <w:spacing w:line="240" w:lineRule="auto"/>
            <w:jc w:val="right"/>
            <w:textAlignment w:val="baseline"/>
            <w:rPr>
              <w:rFonts w:ascii="Calibri" w:hAnsi="Calibri" w:cs="Arial"/>
              <w:noProof/>
              <w:sz w:val="18"/>
            </w:rPr>
          </w:pPr>
        </w:p>
      </w:tc>
      <w:tc>
        <w:tcPr>
          <w:tcW w:w="3912" w:type="pct"/>
        </w:tcPr>
        <w:p w14:paraId="2C2A9D59" w14:textId="17B8F715" w:rsidR="00F50E3F" w:rsidRPr="007B0AA0" w:rsidRDefault="00F50E3F" w:rsidP="00B95654">
          <w:pPr>
            <w:tabs>
              <w:tab w:val="clear" w:pos="794"/>
              <w:tab w:val="left" w:pos="862"/>
              <w:tab w:val="right" w:pos="8505"/>
              <w:tab w:val="right" w:pos="9639"/>
            </w:tabs>
            <w:overflowPunct w:val="0"/>
            <w:autoSpaceDE w:val="0"/>
            <w:autoSpaceDN w:val="0"/>
            <w:adjustRightInd w:val="0"/>
            <w:spacing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B6080B">
            <w:rPr>
              <w:rFonts w:ascii="Calibri" w:hAnsi="Calibri" w:cs="Arial"/>
              <w:bCs/>
              <w:color w:val="7F7F7F"/>
              <w:sz w:val="18"/>
            </w:rPr>
            <w:t>4</w:t>
          </w:r>
          <w:r w:rsidRPr="007B0AA0">
            <w:rPr>
              <w:rFonts w:ascii="Calibri" w:hAnsi="Calibri" w:cs="Arial"/>
              <w:bCs/>
              <w:color w:val="7F7F7F"/>
              <w:sz w:val="18"/>
            </w:rPr>
            <w:t>/</w:t>
          </w:r>
          <w:r w:rsidR="00A070EA">
            <w:rPr>
              <w:rFonts w:ascii="Calibri" w:hAnsi="Calibri" w:cs="Arial"/>
              <w:bCs/>
              <w:color w:val="7F7F7F"/>
              <w:sz w:val="18"/>
            </w:rPr>
            <w:t>9</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9E31A4C" w14:textId="77777777" w:rsidR="00F50E3F" w:rsidRPr="007B0AA0" w:rsidRDefault="00F50E3F" w:rsidP="00B95654">
          <w:pPr>
            <w:tabs>
              <w:tab w:val="clear" w:pos="794"/>
              <w:tab w:val="left" w:pos="862"/>
              <w:tab w:val="right" w:pos="8505"/>
              <w:tab w:val="right" w:pos="9639"/>
            </w:tabs>
            <w:overflowPunct w:val="0"/>
            <w:autoSpaceDE w:val="0"/>
            <w:autoSpaceDN w:val="0"/>
            <w:adjustRightInd w:val="0"/>
            <w:spacing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54F3819E" w14:textId="6F126F8D" w:rsidR="00387876" w:rsidRPr="0026373E" w:rsidRDefault="00387876" w:rsidP="00A070EA">
    <w:pPr>
      <w:pStyle w:val="Footer"/>
      <w:tabs>
        <w:tab w:val="clear" w:pos="4153"/>
        <w:tab w:val="clear" w:pos="8306"/>
        <w:tab w:val="center" w:pos="5103"/>
        <w:tab w:val="right" w:pos="9639"/>
      </w:tabs>
      <w:spacing w:before="120"/>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4"/>
      <w:gridCol w:w="7541"/>
      <w:gridCol w:w="424"/>
    </w:tblGrid>
    <w:tr w:rsidR="007B0AA0" w:rsidRPr="007B0AA0" w14:paraId="1E4F64E2" w14:textId="77777777" w:rsidTr="00F50E3F">
      <w:trPr>
        <w:jc w:val="center"/>
      </w:trPr>
      <w:tc>
        <w:tcPr>
          <w:tcW w:w="868" w:type="pct"/>
          <w:vAlign w:val="center"/>
        </w:tcPr>
        <w:p w14:paraId="6D2FCCA4" w14:textId="77777777" w:rsidR="007B0AA0" w:rsidRPr="007B0AA0" w:rsidRDefault="00316488" w:rsidP="00B95654">
          <w:pPr>
            <w:tabs>
              <w:tab w:val="clear" w:pos="794"/>
            </w:tabs>
            <w:overflowPunct w:val="0"/>
            <w:autoSpaceDE w:val="0"/>
            <w:autoSpaceDN w:val="0"/>
            <w:bidi w:val="0"/>
            <w:adjustRightInd w:val="0"/>
            <w:spacing w:line="240" w:lineRule="auto"/>
            <w:jc w:val="left"/>
            <w:textAlignment w:val="baseline"/>
            <w:rPr>
              <w:rFonts w:ascii="Calibri" w:hAnsi="Calibri" w:cs="Arial"/>
              <w:noProof/>
              <w:color w:val="7F7F7F"/>
              <w:sz w:val="18"/>
            </w:rPr>
          </w:pPr>
          <w:hyperlink r:id="rId1" w:history="1">
            <w:r w:rsidR="007B0AA0" w:rsidRPr="007B0AA0">
              <w:rPr>
                <w:rFonts w:ascii="Calibri" w:hAnsi="Calibri" w:cs="Arial"/>
                <w:color w:val="0563C1"/>
                <w:sz w:val="18"/>
                <w:szCs w:val="14"/>
              </w:rPr>
              <w:t>www.itu.int/council</w:t>
            </w:r>
          </w:hyperlink>
        </w:p>
      </w:tc>
      <w:tc>
        <w:tcPr>
          <w:tcW w:w="3912" w:type="pct"/>
        </w:tcPr>
        <w:p w14:paraId="5DCAAB82" w14:textId="2A5E8C7A" w:rsidR="007B0AA0" w:rsidRPr="007B0AA0" w:rsidRDefault="007B0AA0" w:rsidP="00B95654">
          <w:pPr>
            <w:tabs>
              <w:tab w:val="clear" w:pos="794"/>
              <w:tab w:val="left" w:pos="862"/>
              <w:tab w:val="right" w:pos="8505"/>
              <w:tab w:val="right" w:pos="9639"/>
            </w:tabs>
            <w:overflowPunct w:val="0"/>
            <w:autoSpaceDE w:val="0"/>
            <w:autoSpaceDN w:val="0"/>
            <w:adjustRightInd w:val="0"/>
            <w:spacing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B6080B">
            <w:rPr>
              <w:rFonts w:ascii="Calibri" w:hAnsi="Calibri" w:cs="Arial"/>
              <w:bCs/>
              <w:color w:val="7F7F7F"/>
              <w:sz w:val="18"/>
            </w:rPr>
            <w:t>4</w:t>
          </w:r>
          <w:r w:rsidRPr="007B0AA0">
            <w:rPr>
              <w:rFonts w:ascii="Calibri" w:hAnsi="Calibri" w:cs="Arial"/>
              <w:bCs/>
              <w:color w:val="7F7F7F"/>
              <w:sz w:val="18"/>
            </w:rPr>
            <w:t>/</w:t>
          </w:r>
          <w:r w:rsidR="00A070EA">
            <w:rPr>
              <w:rFonts w:ascii="Calibri" w:hAnsi="Calibri" w:cs="Arial"/>
              <w:bCs/>
              <w:color w:val="7F7F7F"/>
              <w:sz w:val="18"/>
            </w:rPr>
            <w:t>9</w:t>
          </w:r>
          <w:r w:rsidRPr="007B0AA0">
            <w:rPr>
              <w:rFonts w:ascii="Calibri" w:hAnsi="Calibri" w:cs="Arial"/>
              <w:bCs/>
              <w:color w:val="7F7F7F"/>
              <w:sz w:val="18"/>
            </w:rPr>
            <w:t>-</w:t>
          </w:r>
          <w:r>
            <w:rPr>
              <w:rFonts w:ascii="Calibri" w:hAnsi="Calibri" w:cs="Arial"/>
              <w:bCs/>
              <w:color w:val="7F7F7F"/>
              <w:sz w:val="18"/>
            </w:rPr>
            <w:t>A</w:t>
          </w:r>
        </w:p>
      </w:tc>
      <w:tc>
        <w:tcPr>
          <w:tcW w:w="220" w:type="pct"/>
        </w:tcPr>
        <w:p w14:paraId="432284DA" w14:textId="77777777" w:rsidR="007B0AA0" w:rsidRPr="007B0AA0" w:rsidRDefault="00F50E3F" w:rsidP="00B95654">
          <w:pPr>
            <w:tabs>
              <w:tab w:val="clear" w:pos="794"/>
              <w:tab w:val="left" w:pos="862"/>
              <w:tab w:val="right" w:pos="8505"/>
              <w:tab w:val="right" w:pos="9639"/>
            </w:tabs>
            <w:overflowPunct w:val="0"/>
            <w:autoSpaceDE w:val="0"/>
            <w:autoSpaceDN w:val="0"/>
            <w:adjustRightInd w:val="0"/>
            <w:spacing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66DDE2BA" w14:textId="31DE8809" w:rsidR="00387876" w:rsidRPr="0026373E" w:rsidRDefault="00387876" w:rsidP="00A070EA">
    <w:pPr>
      <w:pStyle w:val="Footer"/>
      <w:tabs>
        <w:tab w:val="clear" w:pos="4153"/>
        <w:tab w:val="clear" w:pos="8306"/>
        <w:tab w:val="center" w:pos="5103"/>
        <w:tab w:val="right" w:pos="9639"/>
      </w:tabs>
      <w:spacing w:before="120"/>
      <w:rPr>
        <w:sz w:val="16"/>
        <w:szCs w:val="16"/>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6"/>
      <w:gridCol w:w="12287"/>
      <w:gridCol w:w="691"/>
    </w:tblGrid>
    <w:tr w:rsidR="00052ACF" w:rsidRPr="007B0AA0" w14:paraId="5FA36E33" w14:textId="77777777" w:rsidTr="00357086">
      <w:trPr>
        <w:jc w:val="center"/>
      </w:trPr>
      <w:tc>
        <w:tcPr>
          <w:tcW w:w="868" w:type="pct"/>
          <w:vAlign w:val="center"/>
        </w:tcPr>
        <w:p w14:paraId="3CDB1EB3" w14:textId="77777777" w:rsidR="00052ACF" w:rsidRPr="007B0AA0" w:rsidRDefault="00052ACF" w:rsidP="00B95654">
          <w:pPr>
            <w:tabs>
              <w:tab w:val="clear" w:pos="794"/>
            </w:tabs>
            <w:overflowPunct w:val="0"/>
            <w:autoSpaceDE w:val="0"/>
            <w:autoSpaceDN w:val="0"/>
            <w:bidi w:val="0"/>
            <w:adjustRightInd w:val="0"/>
            <w:spacing w:line="240" w:lineRule="auto"/>
            <w:jc w:val="right"/>
            <w:textAlignment w:val="baseline"/>
            <w:rPr>
              <w:rFonts w:ascii="Calibri" w:hAnsi="Calibri" w:cs="Arial"/>
              <w:noProof/>
              <w:sz w:val="18"/>
            </w:rPr>
          </w:pPr>
        </w:p>
      </w:tc>
      <w:tc>
        <w:tcPr>
          <w:tcW w:w="3912" w:type="pct"/>
        </w:tcPr>
        <w:p w14:paraId="3D359D22" w14:textId="77777777" w:rsidR="00052ACF" w:rsidRPr="007B0AA0" w:rsidRDefault="00052ACF" w:rsidP="00B95654">
          <w:pPr>
            <w:tabs>
              <w:tab w:val="clear" w:pos="794"/>
              <w:tab w:val="left" w:pos="862"/>
              <w:tab w:val="right" w:pos="8505"/>
              <w:tab w:val="right" w:pos="9639"/>
            </w:tabs>
            <w:overflowPunct w:val="0"/>
            <w:autoSpaceDE w:val="0"/>
            <w:autoSpaceDN w:val="0"/>
            <w:adjustRightInd w:val="0"/>
            <w:spacing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Pr>
              <w:rFonts w:ascii="Calibri" w:hAnsi="Calibri" w:cs="Arial"/>
              <w:bCs/>
              <w:color w:val="7F7F7F"/>
              <w:sz w:val="18"/>
            </w:rPr>
            <w:t>4</w:t>
          </w:r>
          <w:r w:rsidRPr="007B0AA0">
            <w:rPr>
              <w:rFonts w:ascii="Calibri" w:hAnsi="Calibri" w:cs="Arial"/>
              <w:bCs/>
              <w:color w:val="7F7F7F"/>
              <w:sz w:val="18"/>
            </w:rPr>
            <w:t>/</w:t>
          </w:r>
          <w:r>
            <w:rPr>
              <w:rFonts w:ascii="Calibri" w:hAnsi="Calibri" w:cs="Arial"/>
              <w:bCs/>
              <w:color w:val="7F7F7F"/>
              <w:sz w:val="18"/>
            </w:rPr>
            <w:t>9</w:t>
          </w:r>
          <w:r w:rsidRPr="007B0AA0">
            <w:rPr>
              <w:rFonts w:ascii="Calibri" w:hAnsi="Calibri" w:cs="Arial"/>
              <w:bCs/>
              <w:color w:val="7F7F7F"/>
              <w:sz w:val="18"/>
            </w:rPr>
            <w:t>-</w:t>
          </w:r>
          <w:r>
            <w:rPr>
              <w:rFonts w:ascii="Calibri" w:hAnsi="Calibri" w:cs="Arial"/>
              <w:bCs/>
              <w:color w:val="7F7F7F"/>
              <w:sz w:val="18"/>
            </w:rPr>
            <w:t>A</w:t>
          </w:r>
        </w:p>
      </w:tc>
      <w:tc>
        <w:tcPr>
          <w:tcW w:w="220" w:type="pct"/>
        </w:tcPr>
        <w:p w14:paraId="4CD9EE9A" w14:textId="77777777" w:rsidR="00052ACF" w:rsidRPr="007B0AA0" w:rsidRDefault="00052ACF" w:rsidP="00B95654">
          <w:pPr>
            <w:tabs>
              <w:tab w:val="clear" w:pos="794"/>
              <w:tab w:val="left" w:pos="862"/>
              <w:tab w:val="right" w:pos="8505"/>
              <w:tab w:val="right" w:pos="9639"/>
            </w:tabs>
            <w:overflowPunct w:val="0"/>
            <w:autoSpaceDE w:val="0"/>
            <w:autoSpaceDN w:val="0"/>
            <w:adjustRightInd w:val="0"/>
            <w:spacing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BC775B8" w14:textId="77777777" w:rsidR="00052ACF" w:rsidRPr="0026373E" w:rsidRDefault="00052ACF" w:rsidP="00A070EA">
    <w:pPr>
      <w:pStyle w:val="Footer"/>
      <w:tabs>
        <w:tab w:val="clear" w:pos="4153"/>
        <w:tab w:val="clear" w:pos="8306"/>
        <w:tab w:val="center" w:pos="5103"/>
        <w:tab w:val="right" w:pos="9639"/>
      </w:tabs>
      <w:spacing w:before="120"/>
      <w:rPr>
        <w:sz w:val="16"/>
        <w:szCs w:val="16"/>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6"/>
      <w:gridCol w:w="12287"/>
      <w:gridCol w:w="691"/>
    </w:tblGrid>
    <w:tr w:rsidR="000A621D" w:rsidRPr="007B0AA0" w14:paraId="51435AB8" w14:textId="77777777" w:rsidTr="00B44723">
      <w:trPr>
        <w:jc w:val="center"/>
      </w:trPr>
      <w:tc>
        <w:tcPr>
          <w:tcW w:w="868" w:type="pct"/>
          <w:vAlign w:val="center"/>
        </w:tcPr>
        <w:p w14:paraId="012DB422" w14:textId="77777777" w:rsidR="000A621D" w:rsidRPr="007B0AA0" w:rsidRDefault="000A621D" w:rsidP="000A621D">
          <w:pPr>
            <w:tabs>
              <w:tab w:val="clear" w:pos="794"/>
            </w:tabs>
            <w:overflowPunct w:val="0"/>
            <w:autoSpaceDE w:val="0"/>
            <w:autoSpaceDN w:val="0"/>
            <w:bidi w:val="0"/>
            <w:adjustRightInd w:val="0"/>
            <w:spacing w:line="240" w:lineRule="auto"/>
            <w:jc w:val="right"/>
            <w:textAlignment w:val="baseline"/>
            <w:rPr>
              <w:rFonts w:ascii="Calibri" w:hAnsi="Calibri" w:cs="Arial"/>
              <w:noProof/>
              <w:sz w:val="18"/>
            </w:rPr>
          </w:pPr>
        </w:p>
      </w:tc>
      <w:tc>
        <w:tcPr>
          <w:tcW w:w="3912" w:type="pct"/>
        </w:tcPr>
        <w:p w14:paraId="51641EBE" w14:textId="77777777" w:rsidR="000A621D" w:rsidRPr="007B0AA0" w:rsidRDefault="000A621D" w:rsidP="000A621D">
          <w:pPr>
            <w:tabs>
              <w:tab w:val="clear" w:pos="794"/>
              <w:tab w:val="left" w:pos="862"/>
              <w:tab w:val="right" w:pos="8505"/>
              <w:tab w:val="right" w:pos="9639"/>
            </w:tabs>
            <w:overflowPunct w:val="0"/>
            <w:autoSpaceDE w:val="0"/>
            <w:autoSpaceDN w:val="0"/>
            <w:adjustRightInd w:val="0"/>
            <w:spacing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Pr>
              <w:rFonts w:ascii="Calibri" w:hAnsi="Calibri" w:cs="Arial"/>
              <w:bCs/>
              <w:color w:val="7F7F7F"/>
              <w:sz w:val="18"/>
            </w:rPr>
            <w:t>4</w:t>
          </w:r>
          <w:r w:rsidRPr="007B0AA0">
            <w:rPr>
              <w:rFonts w:ascii="Calibri" w:hAnsi="Calibri" w:cs="Arial"/>
              <w:bCs/>
              <w:color w:val="7F7F7F"/>
              <w:sz w:val="18"/>
            </w:rPr>
            <w:t>/</w:t>
          </w:r>
          <w:r>
            <w:rPr>
              <w:rFonts w:ascii="Calibri" w:hAnsi="Calibri" w:cs="Arial"/>
              <w:bCs/>
              <w:color w:val="7F7F7F"/>
              <w:sz w:val="18"/>
            </w:rPr>
            <w:t>9</w:t>
          </w:r>
          <w:r w:rsidRPr="007B0AA0">
            <w:rPr>
              <w:rFonts w:ascii="Calibri" w:hAnsi="Calibri" w:cs="Arial"/>
              <w:bCs/>
              <w:color w:val="7F7F7F"/>
              <w:sz w:val="18"/>
            </w:rPr>
            <w:t>-</w:t>
          </w:r>
          <w:r>
            <w:rPr>
              <w:rFonts w:ascii="Calibri" w:hAnsi="Calibri" w:cs="Arial"/>
              <w:bCs/>
              <w:color w:val="7F7F7F"/>
              <w:sz w:val="18"/>
            </w:rPr>
            <w:t>A</w:t>
          </w:r>
        </w:p>
      </w:tc>
      <w:tc>
        <w:tcPr>
          <w:tcW w:w="220" w:type="pct"/>
        </w:tcPr>
        <w:p w14:paraId="08FC472E" w14:textId="77777777" w:rsidR="000A621D" w:rsidRPr="007B0AA0" w:rsidRDefault="000A621D" w:rsidP="000A621D">
          <w:pPr>
            <w:tabs>
              <w:tab w:val="clear" w:pos="794"/>
              <w:tab w:val="left" w:pos="862"/>
              <w:tab w:val="right" w:pos="8505"/>
              <w:tab w:val="right" w:pos="9639"/>
            </w:tabs>
            <w:overflowPunct w:val="0"/>
            <w:autoSpaceDE w:val="0"/>
            <w:autoSpaceDN w:val="0"/>
            <w:adjustRightInd w:val="0"/>
            <w:spacing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ascii="Calibri" w:hAnsi="Calibri" w:cs="Arial"/>
              <w:color w:val="7F7F7F"/>
              <w:sz w:val="18"/>
            </w:rPr>
            <w:t>5</w:t>
          </w:r>
          <w:r w:rsidRPr="007B0AA0">
            <w:rPr>
              <w:rFonts w:ascii="Calibri" w:hAnsi="Calibri" w:cs="Arial"/>
              <w:noProof/>
              <w:color w:val="7F7F7F"/>
              <w:sz w:val="18"/>
            </w:rPr>
            <w:fldChar w:fldCharType="end"/>
          </w:r>
        </w:p>
      </w:tc>
    </w:tr>
  </w:tbl>
  <w:p w14:paraId="7743DACC" w14:textId="77777777" w:rsidR="000A621D" w:rsidRPr="000A621D" w:rsidRDefault="000A621D" w:rsidP="000A6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E6136" w14:textId="77777777" w:rsidR="00100E42" w:rsidRDefault="00100E42" w:rsidP="006C3242">
      <w:pPr>
        <w:spacing w:before="0" w:line="240" w:lineRule="auto"/>
      </w:pPr>
      <w:r>
        <w:separator/>
      </w:r>
    </w:p>
  </w:footnote>
  <w:footnote w:type="continuationSeparator" w:id="0">
    <w:p w14:paraId="62984731" w14:textId="77777777" w:rsidR="00100E42" w:rsidRDefault="00100E42"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8E761" w14:textId="77777777" w:rsidR="007B0AA0" w:rsidRDefault="0009186A" w:rsidP="007B0AA0">
    <w:pPr>
      <w:pStyle w:val="Header"/>
      <w:spacing w:before="120" w:after="24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F866FC9" wp14:editId="437B5081">
              <wp:simplePos x="0" y="0"/>
              <wp:positionH relativeFrom="page">
                <wp:posOffset>7450455</wp:posOffset>
              </wp:positionH>
              <wp:positionV relativeFrom="topMargin">
                <wp:posOffset>596949</wp:posOffset>
              </wp:positionV>
              <wp:extent cx="93600" cy="396000"/>
              <wp:effectExtent l="0" t="0" r="1905"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600" cy="3960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4A37E" id="Rectangle 5" o:spid="_x0000_s1026" style="position:absolute;margin-left:586.65pt;margin-top:47pt;width:7.35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" fillcolor="#009cd5" stroked="f">
              <w10:wrap anchorx="page" anchory="margin"/>
            </v:rect>
          </w:pict>
        </mc:Fallback>
      </mc:AlternateContent>
    </w:r>
    <w:r w:rsidR="00B6080B">
      <w:rPr>
        <w:noProof/>
      </w:rPr>
      <w:drawing>
        <wp:inline distT="0" distB="0" distL="0" distR="0" wp14:anchorId="6CCC4093" wp14:editId="72D62DD4">
          <wp:extent cx="1956396" cy="525101"/>
          <wp:effectExtent l="0" t="0" r="0" b="8890"/>
          <wp:docPr id="1" name="Picture 1"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5352" cy="53555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56541" w14:textId="1E667A14" w:rsidR="000A621D" w:rsidRPr="000A621D" w:rsidRDefault="000A621D" w:rsidP="000A6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1D62CA"/>
    <w:multiLevelType w:val="hybridMultilevel"/>
    <w:tmpl w:val="345AF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1"/>
  </w:num>
  <w:num w:numId="12" w16cid:durableId="19830747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E42"/>
    <w:rsid w:val="000309FF"/>
    <w:rsid w:val="00052ACF"/>
    <w:rsid w:val="0006468A"/>
    <w:rsid w:val="0007526D"/>
    <w:rsid w:val="00090574"/>
    <w:rsid w:val="0009186A"/>
    <w:rsid w:val="000A621D"/>
    <w:rsid w:val="000C1C0E"/>
    <w:rsid w:val="000C548A"/>
    <w:rsid w:val="00100E42"/>
    <w:rsid w:val="00195B5F"/>
    <w:rsid w:val="001C0169"/>
    <w:rsid w:val="001D1D50"/>
    <w:rsid w:val="001D6745"/>
    <w:rsid w:val="001E446E"/>
    <w:rsid w:val="002154EE"/>
    <w:rsid w:val="002276D2"/>
    <w:rsid w:val="0023283D"/>
    <w:rsid w:val="0026373E"/>
    <w:rsid w:val="00271C43"/>
    <w:rsid w:val="00290728"/>
    <w:rsid w:val="002978F4"/>
    <w:rsid w:val="002B028D"/>
    <w:rsid w:val="002B49FA"/>
    <w:rsid w:val="002E6541"/>
    <w:rsid w:val="00316488"/>
    <w:rsid w:val="00317EFC"/>
    <w:rsid w:val="00334924"/>
    <w:rsid w:val="003409BC"/>
    <w:rsid w:val="00357185"/>
    <w:rsid w:val="00363645"/>
    <w:rsid w:val="00383829"/>
    <w:rsid w:val="00387876"/>
    <w:rsid w:val="003B130F"/>
    <w:rsid w:val="003F4B29"/>
    <w:rsid w:val="0042686F"/>
    <w:rsid w:val="004317D8"/>
    <w:rsid w:val="00434183"/>
    <w:rsid w:val="00443869"/>
    <w:rsid w:val="00447F32"/>
    <w:rsid w:val="004600E0"/>
    <w:rsid w:val="00464101"/>
    <w:rsid w:val="00476D43"/>
    <w:rsid w:val="004B7334"/>
    <w:rsid w:val="004E11DC"/>
    <w:rsid w:val="00501593"/>
    <w:rsid w:val="00525DDD"/>
    <w:rsid w:val="005409AC"/>
    <w:rsid w:val="0055516A"/>
    <w:rsid w:val="00562A38"/>
    <w:rsid w:val="0058491B"/>
    <w:rsid w:val="00592EA5"/>
    <w:rsid w:val="005A3170"/>
    <w:rsid w:val="00605BD4"/>
    <w:rsid w:val="00673CC7"/>
    <w:rsid w:val="00677396"/>
    <w:rsid w:val="0069103B"/>
    <w:rsid w:val="0069200F"/>
    <w:rsid w:val="006A032A"/>
    <w:rsid w:val="006A65CB"/>
    <w:rsid w:val="006C3242"/>
    <w:rsid w:val="006C7CC0"/>
    <w:rsid w:val="006F63F7"/>
    <w:rsid w:val="007025C7"/>
    <w:rsid w:val="00704881"/>
    <w:rsid w:val="00706D7A"/>
    <w:rsid w:val="007126F0"/>
    <w:rsid w:val="00722F0D"/>
    <w:rsid w:val="0074420E"/>
    <w:rsid w:val="0076267C"/>
    <w:rsid w:val="00783E26"/>
    <w:rsid w:val="007874F3"/>
    <w:rsid w:val="007B0AA0"/>
    <w:rsid w:val="007C3BC7"/>
    <w:rsid w:val="007C3BCD"/>
    <w:rsid w:val="007D4ACF"/>
    <w:rsid w:val="007F0787"/>
    <w:rsid w:val="00804633"/>
    <w:rsid w:val="00810B7B"/>
    <w:rsid w:val="0082358A"/>
    <w:rsid w:val="008235CD"/>
    <w:rsid w:val="008247DE"/>
    <w:rsid w:val="008339C0"/>
    <w:rsid w:val="00840B10"/>
    <w:rsid w:val="008513CB"/>
    <w:rsid w:val="00865C75"/>
    <w:rsid w:val="008A7F84"/>
    <w:rsid w:val="008C7524"/>
    <w:rsid w:val="008D6C3D"/>
    <w:rsid w:val="0091702E"/>
    <w:rsid w:val="00923B0C"/>
    <w:rsid w:val="0094021C"/>
    <w:rsid w:val="00952F86"/>
    <w:rsid w:val="00955EFE"/>
    <w:rsid w:val="00974B51"/>
    <w:rsid w:val="00982B28"/>
    <w:rsid w:val="009D313F"/>
    <w:rsid w:val="00A070EA"/>
    <w:rsid w:val="00A47A5A"/>
    <w:rsid w:val="00A57BE6"/>
    <w:rsid w:val="00A6683B"/>
    <w:rsid w:val="00A77034"/>
    <w:rsid w:val="00A97F94"/>
    <w:rsid w:val="00AA7EA2"/>
    <w:rsid w:val="00B03099"/>
    <w:rsid w:val="00B05BC8"/>
    <w:rsid w:val="00B44E82"/>
    <w:rsid w:val="00B6080B"/>
    <w:rsid w:val="00B64B47"/>
    <w:rsid w:val="00B91B14"/>
    <w:rsid w:val="00B95654"/>
    <w:rsid w:val="00BD05FD"/>
    <w:rsid w:val="00C002DE"/>
    <w:rsid w:val="00C15E62"/>
    <w:rsid w:val="00C53BF8"/>
    <w:rsid w:val="00C66157"/>
    <w:rsid w:val="00C674FE"/>
    <w:rsid w:val="00C67501"/>
    <w:rsid w:val="00C75633"/>
    <w:rsid w:val="00CE262D"/>
    <w:rsid w:val="00CE2EE1"/>
    <w:rsid w:val="00CE3349"/>
    <w:rsid w:val="00CE36E5"/>
    <w:rsid w:val="00CF27F5"/>
    <w:rsid w:val="00CF3FFD"/>
    <w:rsid w:val="00D10CCF"/>
    <w:rsid w:val="00D13941"/>
    <w:rsid w:val="00D63735"/>
    <w:rsid w:val="00D77D0F"/>
    <w:rsid w:val="00D8148B"/>
    <w:rsid w:val="00DA1CF0"/>
    <w:rsid w:val="00DC1E02"/>
    <w:rsid w:val="00DC24B4"/>
    <w:rsid w:val="00DC3053"/>
    <w:rsid w:val="00DC5FB0"/>
    <w:rsid w:val="00DF16DC"/>
    <w:rsid w:val="00E45211"/>
    <w:rsid w:val="00E473C5"/>
    <w:rsid w:val="00E61BE8"/>
    <w:rsid w:val="00E82877"/>
    <w:rsid w:val="00E8520B"/>
    <w:rsid w:val="00E92863"/>
    <w:rsid w:val="00E95327"/>
    <w:rsid w:val="00EA5E63"/>
    <w:rsid w:val="00EB34AB"/>
    <w:rsid w:val="00EB796D"/>
    <w:rsid w:val="00EC0BDD"/>
    <w:rsid w:val="00ED6B04"/>
    <w:rsid w:val="00F058DC"/>
    <w:rsid w:val="00F24FC4"/>
    <w:rsid w:val="00F2676C"/>
    <w:rsid w:val="00F363FE"/>
    <w:rsid w:val="00F50E3F"/>
    <w:rsid w:val="00F8005A"/>
    <w:rsid w:val="00F84366"/>
    <w:rsid w:val="00F85089"/>
    <w:rsid w:val="00F974C5"/>
    <w:rsid w:val="00FA6F46"/>
    <w:rsid w:val="00FC4592"/>
    <w:rsid w:val="00FD4770"/>
    <w:rsid w:val="00FD527F"/>
    <w:rsid w:val="00FE5872"/>
    <w:rsid w:val="00FE7FCA"/>
    <w:rsid w:val="00FF0EBF"/>
    <w:rsid w:val="00FF21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9CA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pPr>
      <w:spacing w:after="120"/>
    </w:pPr>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4B51"/>
    <w:pPr>
      <w:spacing w:after="0" w:line="240" w:lineRule="auto"/>
    </w:pPr>
    <w:rPr>
      <w:rFonts w:ascii="Dubai" w:hAnsi="Dubai" w:cs="Dubai"/>
    </w:rPr>
  </w:style>
  <w:style w:type="paragraph" w:customStyle="1" w:styleId="Figure">
    <w:name w:val="Figure"/>
    <w:basedOn w:val="Normal"/>
    <w:autoRedefine/>
    <w:qFormat/>
    <w:rsid w:val="00BD05FD"/>
    <w:pPr>
      <w:spacing w:before="600" w:line="240" w:lineRule="auto"/>
      <w:jc w:val="center"/>
    </w:pPr>
    <w:rPr>
      <w:lang w:bidi="ar-EG"/>
    </w:rPr>
  </w:style>
  <w:style w:type="character" w:styleId="UnresolvedMention">
    <w:name w:val="Unresolved Mention"/>
    <w:basedOn w:val="DefaultParagraphFont"/>
    <w:uiPriority w:val="99"/>
    <w:semiHidden/>
    <w:unhideWhenUsed/>
    <w:rsid w:val="003B130F"/>
    <w:rPr>
      <w:color w:val="605E5C"/>
      <w:shd w:val="clear" w:color="auto" w:fill="E1DFDD"/>
    </w:rPr>
  </w:style>
  <w:style w:type="character" w:styleId="FollowedHyperlink">
    <w:name w:val="FollowedHyperlink"/>
    <w:basedOn w:val="DefaultParagraphFont"/>
    <w:uiPriority w:val="99"/>
    <w:semiHidden/>
    <w:unhideWhenUsed/>
    <w:rsid w:val="00EB34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879700">
      <w:bodyDiv w:val="1"/>
      <w:marLeft w:val="0"/>
      <w:marRight w:val="0"/>
      <w:marTop w:val="0"/>
      <w:marBottom w:val="0"/>
      <w:divBdr>
        <w:top w:val="none" w:sz="0" w:space="0" w:color="auto"/>
        <w:left w:val="none" w:sz="0" w:space="0" w:color="auto"/>
        <w:bottom w:val="none" w:sz="0" w:space="0" w:color="auto"/>
        <w:right w:val="none" w:sz="0" w:space="0" w:color="auto"/>
      </w:divBdr>
    </w:div>
    <w:div w:id="376274585">
      <w:bodyDiv w:val="1"/>
      <w:marLeft w:val="0"/>
      <w:marRight w:val="0"/>
      <w:marTop w:val="0"/>
      <w:marBottom w:val="0"/>
      <w:divBdr>
        <w:top w:val="none" w:sz="0" w:space="0" w:color="auto"/>
        <w:left w:val="none" w:sz="0" w:space="0" w:color="auto"/>
        <w:bottom w:val="none" w:sz="0" w:space="0" w:color="auto"/>
        <w:right w:val="none" w:sz="0" w:space="0" w:color="auto"/>
      </w:divBdr>
    </w:div>
    <w:div w:id="776412735">
      <w:bodyDiv w:val="1"/>
      <w:marLeft w:val="0"/>
      <w:marRight w:val="0"/>
      <w:marTop w:val="0"/>
      <w:marBottom w:val="0"/>
      <w:divBdr>
        <w:top w:val="none" w:sz="0" w:space="0" w:color="auto"/>
        <w:left w:val="none" w:sz="0" w:space="0" w:color="auto"/>
        <w:bottom w:val="none" w:sz="0" w:space="0" w:color="auto"/>
        <w:right w:val="none" w:sz="0" w:space="0" w:color="auto"/>
      </w:divBdr>
    </w:div>
    <w:div w:id="801383252">
      <w:bodyDiv w:val="1"/>
      <w:marLeft w:val="0"/>
      <w:marRight w:val="0"/>
      <w:marTop w:val="0"/>
      <w:marBottom w:val="0"/>
      <w:divBdr>
        <w:top w:val="none" w:sz="0" w:space="0" w:color="auto"/>
        <w:left w:val="none" w:sz="0" w:space="0" w:color="auto"/>
        <w:bottom w:val="none" w:sz="0" w:space="0" w:color="auto"/>
        <w:right w:val="none" w:sz="0" w:space="0" w:color="auto"/>
      </w:divBdr>
    </w:div>
    <w:div w:id="1059859461">
      <w:bodyDiv w:val="1"/>
      <w:marLeft w:val="0"/>
      <w:marRight w:val="0"/>
      <w:marTop w:val="0"/>
      <w:marBottom w:val="0"/>
      <w:divBdr>
        <w:top w:val="none" w:sz="0" w:space="0" w:color="auto"/>
        <w:left w:val="none" w:sz="0" w:space="0" w:color="auto"/>
        <w:bottom w:val="none" w:sz="0" w:space="0" w:color="auto"/>
        <w:right w:val="none" w:sz="0" w:space="0" w:color="auto"/>
      </w:divBdr>
    </w:div>
    <w:div w:id="1277831118">
      <w:bodyDiv w:val="1"/>
      <w:marLeft w:val="0"/>
      <w:marRight w:val="0"/>
      <w:marTop w:val="0"/>
      <w:marBottom w:val="0"/>
      <w:divBdr>
        <w:top w:val="none" w:sz="0" w:space="0" w:color="auto"/>
        <w:left w:val="none" w:sz="0" w:space="0" w:color="auto"/>
        <w:bottom w:val="none" w:sz="0" w:space="0" w:color="auto"/>
        <w:right w:val="none" w:sz="0" w:space="0" w:color="auto"/>
      </w:divBdr>
    </w:div>
    <w:div w:id="1572615287">
      <w:bodyDiv w:val="1"/>
      <w:marLeft w:val="0"/>
      <w:marRight w:val="0"/>
      <w:marTop w:val="0"/>
      <w:marBottom w:val="0"/>
      <w:divBdr>
        <w:top w:val="none" w:sz="0" w:space="0" w:color="auto"/>
        <w:left w:val="none" w:sz="0" w:space="0" w:color="auto"/>
        <w:bottom w:val="none" w:sz="0" w:space="0" w:color="auto"/>
        <w:right w:val="none" w:sz="0" w:space="0" w:color="auto"/>
      </w:divBdr>
    </w:div>
    <w:div w:id="182439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DEC-005-A.pdf" TargetMode="Externa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hyperlink" Target="https://www.itu.int/md/S23-CL-C-0115/en"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www.itu.int/en/council/Documents/basic-texts-2023/DEC-005-A.pdf" TargetMode="External"/><Relationship Id="rId14" Type="http://schemas.openxmlformats.org/officeDocument/2006/relationships/image" Target="media/image4.emf"/><Relationship Id="rId22" Type="http://schemas.openxmlformats.org/officeDocument/2006/relationships/image" Target="media/image10.png"/><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4\SG\PA_Council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PA_Council24.dotx</Template>
  <TotalTime>0</TotalTime>
  <Pages>10</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Additional session of Council 2023</dc:subject>
  <dc:creator/>
  <cp:keywords>C23-ADD, C2023, C23, Council-23</cp:keywords>
  <dc:description/>
  <cp:lastModifiedBy/>
  <cp:revision>1</cp:revision>
  <dcterms:created xsi:type="dcterms:W3CDTF">2024-05-16T08:26:00Z</dcterms:created>
  <dcterms:modified xsi:type="dcterms:W3CDTF">2024-05-31T13:31:00Z</dcterms:modified>
  <cp:category>Conference document</cp:category>
</cp:coreProperties>
</file>