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848F7" w14:paraId="16C8DD02" w14:textId="77777777" w:rsidTr="00C538FC">
        <w:trPr>
          <w:cantSplit/>
          <w:trHeight w:val="23"/>
        </w:trPr>
        <w:tc>
          <w:tcPr>
            <w:tcW w:w="3969" w:type="dxa"/>
            <w:vMerge w:val="restart"/>
            <w:tcMar>
              <w:left w:w="0" w:type="dxa"/>
            </w:tcMar>
          </w:tcPr>
          <w:p w14:paraId="380780FF" w14:textId="1A823D28" w:rsidR="00FE57F6" w:rsidRPr="004848F7" w:rsidRDefault="00D43B85" w:rsidP="00D43B85">
            <w:pPr>
              <w:tabs>
                <w:tab w:val="left" w:pos="851"/>
              </w:tabs>
              <w:spacing w:before="0" w:line="240" w:lineRule="atLeast"/>
              <w:rPr>
                <w:b/>
              </w:rPr>
            </w:pPr>
            <w:bookmarkStart w:id="0" w:name="_Hlk133421839"/>
            <w:r w:rsidRPr="004848F7">
              <w:rPr>
                <w:b/>
              </w:rPr>
              <w:t xml:space="preserve">Punto del orden del día: </w:t>
            </w:r>
            <w:r w:rsidR="00EE76D1" w:rsidRPr="004848F7">
              <w:rPr>
                <w:b/>
              </w:rPr>
              <w:t>PL 2</w:t>
            </w:r>
          </w:p>
        </w:tc>
        <w:tc>
          <w:tcPr>
            <w:tcW w:w="5245" w:type="dxa"/>
          </w:tcPr>
          <w:p w14:paraId="12EC8577" w14:textId="56C01D7E" w:rsidR="00FE57F6" w:rsidRPr="004848F7" w:rsidRDefault="00FE57F6" w:rsidP="00C538FC">
            <w:pPr>
              <w:tabs>
                <w:tab w:val="left" w:pos="851"/>
              </w:tabs>
              <w:spacing w:before="0" w:line="240" w:lineRule="atLeast"/>
              <w:jc w:val="right"/>
              <w:rPr>
                <w:b/>
              </w:rPr>
            </w:pPr>
            <w:r w:rsidRPr="004848F7">
              <w:rPr>
                <w:b/>
              </w:rPr>
              <w:t>Document</w:t>
            </w:r>
            <w:r w:rsidR="00F24B71" w:rsidRPr="004848F7">
              <w:rPr>
                <w:b/>
              </w:rPr>
              <w:t>o</w:t>
            </w:r>
            <w:r w:rsidRPr="004848F7">
              <w:rPr>
                <w:b/>
              </w:rPr>
              <w:t xml:space="preserve"> C2</w:t>
            </w:r>
            <w:r w:rsidR="0064481D" w:rsidRPr="004848F7">
              <w:rPr>
                <w:b/>
              </w:rPr>
              <w:t>4</w:t>
            </w:r>
            <w:r w:rsidRPr="004848F7">
              <w:rPr>
                <w:b/>
              </w:rPr>
              <w:t>/</w:t>
            </w:r>
            <w:r w:rsidR="00EE76D1" w:rsidRPr="004848F7">
              <w:rPr>
                <w:b/>
              </w:rPr>
              <w:t>6</w:t>
            </w:r>
            <w:r w:rsidRPr="004848F7">
              <w:rPr>
                <w:b/>
              </w:rPr>
              <w:t>-</w:t>
            </w:r>
            <w:r w:rsidR="00F24B71" w:rsidRPr="004848F7">
              <w:rPr>
                <w:b/>
              </w:rPr>
              <w:t>S</w:t>
            </w:r>
          </w:p>
        </w:tc>
      </w:tr>
      <w:tr w:rsidR="00FE57F6" w:rsidRPr="004848F7" w14:paraId="2F7BAD0F" w14:textId="77777777" w:rsidTr="00C538FC">
        <w:trPr>
          <w:cantSplit/>
        </w:trPr>
        <w:tc>
          <w:tcPr>
            <w:tcW w:w="3969" w:type="dxa"/>
            <w:vMerge/>
          </w:tcPr>
          <w:p w14:paraId="32D340BD" w14:textId="77777777" w:rsidR="00FE57F6" w:rsidRPr="004848F7" w:rsidRDefault="00FE57F6" w:rsidP="00C538FC">
            <w:pPr>
              <w:tabs>
                <w:tab w:val="left" w:pos="851"/>
              </w:tabs>
              <w:spacing w:line="240" w:lineRule="atLeast"/>
              <w:rPr>
                <w:b/>
              </w:rPr>
            </w:pPr>
          </w:p>
        </w:tc>
        <w:tc>
          <w:tcPr>
            <w:tcW w:w="5245" w:type="dxa"/>
          </w:tcPr>
          <w:p w14:paraId="6D67502D" w14:textId="61279FEF" w:rsidR="00FE57F6" w:rsidRPr="004848F7" w:rsidRDefault="00EE76D1" w:rsidP="00C538FC">
            <w:pPr>
              <w:tabs>
                <w:tab w:val="left" w:pos="851"/>
              </w:tabs>
              <w:spacing w:before="0"/>
              <w:jc w:val="right"/>
              <w:rPr>
                <w:b/>
              </w:rPr>
            </w:pPr>
            <w:r w:rsidRPr="004848F7">
              <w:rPr>
                <w:b/>
              </w:rPr>
              <w:t>3 de mayo de</w:t>
            </w:r>
            <w:r w:rsidR="00FE57F6" w:rsidRPr="004848F7">
              <w:rPr>
                <w:b/>
              </w:rPr>
              <w:t xml:space="preserve"> 202</w:t>
            </w:r>
            <w:r w:rsidR="0064481D" w:rsidRPr="004848F7">
              <w:rPr>
                <w:b/>
              </w:rPr>
              <w:t>4</w:t>
            </w:r>
          </w:p>
        </w:tc>
      </w:tr>
      <w:tr w:rsidR="00FE57F6" w:rsidRPr="004848F7" w14:paraId="14ED61B8" w14:textId="77777777" w:rsidTr="00C538FC">
        <w:trPr>
          <w:cantSplit/>
          <w:trHeight w:val="23"/>
        </w:trPr>
        <w:tc>
          <w:tcPr>
            <w:tcW w:w="3969" w:type="dxa"/>
            <w:vMerge/>
          </w:tcPr>
          <w:p w14:paraId="36AAE2B4" w14:textId="77777777" w:rsidR="00FE57F6" w:rsidRPr="004848F7" w:rsidRDefault="00FE57F6" w:rsidP="00C538FC">
            <w:pPr>
              <w:tabs>
                <w:tab w:val="left" w:pos="851"/>
              </w:tabs>
              <w:spacing w:line="240" w:lineRule="atLeast"/>
              <w:rPr>
                <w:b/>
              </w:rPr>
            </w:pPr>
          </w:p>
        </w:tc>
        <w:tc>
          <w:tcPr>
            <w:tcW w:w="5245" w:type="dxa"/>
          </w:tcPr>
          <w:p w14:paraId="54C7ED74" w14:textId="77777777" w:rsidR="00FE57F6" w:rsidRPr="004848F7" w:rsidRDefault="00F24B71" w:rsidP="00C538FC">
            <w:pPr>
              <w:tabs>
                <w:tab w:val="left" w:pos="851"/>
              </w:tabs>
              <w:spacing w:before="0" w:line="240" w:lineRule="atLeast"/>
              <w:jc w:val="right"/>
              <w:rPr>
                <w:b/>
                <w:bCs/>
              </w:rPr>
            </w:pPr>
            <w:r w:rsidRPr="004848F7">
              <w:rPr>
                <w:rFonts w:cstheme="minorHAnsi"/>
                <w:b/>
                <w:bCs/>
              </w:rPr>
              <w:t>Original: inglés</w:t>
            </w:r>
          </w:p>
        </w:tc>
      </w:tr>
      <w:tr w:rsidR="00FE57F6" w:rsidRPr="004848F7" w14:paraId="28C23F0D" w14:textId="77777777" w:rsidTr="00C538FC">
        <w:trPr>
          <w:cantSplit/>
          <w:trHeight w:val="23"/>
        </w:trPr>
        <w:tc>
          <w:tcPr>
            <w:tcW w:w="3969" w:type="dxa"/>
          </w:tcPr>
          <w:p w14:paraId="71CA9CDE" w14:textId="77777777" w:rsidR="00FE57F6" w:rsidRPr="004848F7" w:rsidRDefault="00FE57F6" w:rsidP="00C538FC">
            <w:pPr>
              <w:tabs>
                <w:tab w:val="left" w:pos="851"/>
              </w:tabs>
              <w:spacing w:line="240" w:lineRule="atLeast"/>
              <w:rPr>
                <w:b/>
              </w:rPr>
            </w:pPr>
          </w:p>
        </w:tc>
        <w:tc>
          <w:tcPr>
            <w:tcW w:w="5245" w:type="dxa"/>
          </w:tcPr>
          <w:p w14:paraId="04F0E65D" w14:textId="77777777" w:rsidR="00FE57F6" w:rsidRPr="004848F7" w:rsidRDefault="00FE57F6" w:rsidP="00C538FC">
            <w:pPr>
              <w:tabs>
                <w:tab w:val="left" w:pos="851"/>
              </w:tabs>
              <w:spacing w:before="0" w:line="240" w:lineRule="atLeast"/>
              <w:jc w:val="right"/>
              <w:rPr>
                <w:b/>
              </w:rPr>
            </w:pPr>
          </w:p>
        </w:tc>
      </w:tr>
      <w:tr w:rsidR="00FE57F6" w:rsidRPr="004848F7" w14:paraId="0744CD5D" w14:textId="77777777" w:rsidTr="00C538FC">
        <w:trPr>
          <w:cantSplit/>
        </w:trPr>
        <w:tc>
          <w:tcPr>
            <w:tcW w:w="9214" w:type="dxa"/>
            <w:gridSpan w:val="2"/>
            <w:tcMar>
              <w:left w:w="0" w:type="dxa"/>
            </w:tcMar>
          </w:tcPr>
          <w:p w14:paraId="3EF99137" w14:textId="77777777" w:rsidR="00FE57F6" w:rsidRPr="004848F7" w:rsidRDefault="00F24B71" w:rsidP="00C538FC">
            <w:pPr>
              <w:pStyle w:val="Source"/>
              <w:jc w:val="left"/>
              <w:rPr>
                <w:sz w:val="34"/>
                <w:szCs w:val="34"/>
              </w:rPr>
            </w:pPr>
            <w:r w:rsidRPr="004848F7">
              <w:rPr>
                <w:rFonts w:cstheme="minorHAnsi"/>
                <w:sz w:val="34"/>
                <w:szCs w:val="34"/>
              </w:rPr>
              <w:t>Informe de</w:t>
            </w:r>
            <w:r w:rsidR="004B5D49" w:rsidRPr="004848F7">
              <w:rPr>
                <w:rFonts w:cstheme="minorHAnsi"/>
                <w:sz w:val="34"/>
                <w:szCs w:val="34"/>
              </w:rPr>
              <w:t xml:space="preserve"> </w:t>
            </w:r>
            <w:r w:rsidRPr="004848F7">
              <w:rPr>
                <w:rFonts w:cstheme="minorHAnsi"/>
                <w:sz w:val="34"/>
                <w:szCs w:val="34"/>
              </w:rPr>
              <w:t>l</w:t>
            </w:r>
            <w:r w:rsidR="004B5D49" w:rsidRPr="004848F7">
              <w:rPr>
                <w:rFonts w:cstheme="minorHAnsi"/>
                <w:sz w:val="34"/>
                <w:szCs w:val="34"/>
              </w:rPr>
              <w:t>a</w:t>
            </w:r>
            <w:r w:rsidRPr="004848F7">
              <w:rPr>
                <w:rFonts w:cstheme="minorHAnsi"/>
                <w:sz w:val="34"/>
                <w:szCs w:val="34"/>
              </w:rPr>
              <w:t xml:space="preserve"> Secretari</w:t>
            </w:r>
            <w:r w:rsidR="004B5D49" w:rsidRPr="004848F7">
              <w:rPr>
                <w:rFonts w:cstheme="minorHAnsi"/>
                <w:sz w:val="34"/>
                <w:szCs w:val="34"/>
              </w:rPr>
              <w:t>a</w:t>
            </w:r>
            <w:r w:rsidRPr="004848F7">
              <w:rPr>
                <w:rFonts w:cstheme="minorHAnsi"/>
                <w:sz w:val="34"/>
                <w:szCs w:val="34"/>
              </w:rPr>
              <w:t xml:space="preserve"> General</w:t>
            </w:r>
          </w:p>
        </w:tc>
      </w:tr>
      <w:tr w:rsidR="00FE57F6" w:rsidRPr="004848F7" w14:paraId="5E2B474A" w14:textId="77777777" w:rsidTr="00C538FC">
        <w:trPr>
          <w:cantSplit/>
        </w:trPr>
        <w:tc>
          <w:tcPr>
            <w:tcW w:w="9214" w:type="dxa"/>
            <w:gridSpan w:val="2"/>
            <w:tcMar>
              <w:left w:w="0" w:type="dxa"/>
            </w:tcMar>
          </w:tcPr>
          <w:p w14:paraId="75872F37" w14:textId="7FF11B0E" w:rsidR="00FE57F6" w:rsidRPr="004848F7" w:rsidRDefault="00EE76D1" w:rsidP="00C538FC">
            <w:pPr>
              <w:pStyle w:val="Subtitle"/>
              <w:framePr w:hSpace="0" w:wrap="auto" w:hAnchor="text" w:xAlign="left" w:yAlign="inline"/>
              <w:rPr>
                <w:lang w:val="es-ES_tradnl"/>
              </w:rPr>
            </w:pPr>
            <w:r w:rsidRPr="004848F7">
              <w:rPr>
                <w:rFonts w:cstheme="minorHAnsi"/>
                <w:lang w:val="es-ES_tradnl"/>
              </w:rPr>
              <w:t>INFORME SOBRE EL PROGRAMA DE LA UIT EN MATERIA DE IGUALDAD DE GÉNERO, INCLUIDA INFORMACIÓN ACTUALIZADA SOBRE LOS ACUERDOS DEL CONSEJO-23</w:t>
            </w:r>
          </w:p>
        </w:tc>
      </w:tr>
      <w:tr w:rsidR="00FE57F6" w:rsidRPr="004848F7"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D4C9B2B" w:rsidR="00FE57F6" w:rsidRPr="004848F7" w:rsidRDefault="00F24B71" w:rsidP="00C538FC">
            <w:pPr>
              <w:spacing w:before="160"/>
              <w:rPr>
                <w:b/>
                <w:bCs/>
                <w:sz w:val="26"/>
                <w:szCs w:val="26"/>
              </w:rPr>
            </w:pPr>
            <w:r w:rsidRPr="004848F7">
              <w:rPr>
                <w:b/>
                <w:bCs/>
                <w:sz w:val="26"/>
                <w:szCs w:val="26"/>
              </w:rPr>
              <w:t>Finalidad</w:t>
            </w:r>
          </w:p>
          <w:p w14:paraId="618C4414" w14:textId="5BDDAAFB" w:rsidR="00FE57F6" w:rsidRPr="004848F7" w:rsidRDefault="00EE76D1" w:rsidP="00C538FC">
            <w:r w:rsidRPr="004848F7">
              <w:t>Además de los informes anuales solicitados en virtud de la Resolución 70 (Rev.</w:t>
            </w:r>
            <w:r w:rsidR="004A2EDD" w:rsidRPr="004848F7">
              <w:t> </w:t>
            </w:r>
            <w:r w:rsidRPr="004848F7">
              <w:t>Bucarest,</w:t>
            </w:r>
            <w:r w:rsidR="004A2EDD" w:rsidRPr="004848F7">
              <w:t> </w:t>
            </w:r>
            <w:r w:rsidRPr="004848F7">
              <w:t xml:space="preserve">2022) de la Conferencia de Plenipotenciarios, el Consejo de 2023 concluyó con directrices adicionales (véase el </w:t>
            </w:r>
            <w:hyperlink r:id="rId8" w:history="1">
              <w:r w:rsidRPr="004848F7">
                <w:rPr>
                  <w:rStyle w:val="Hyperlink"/>
                </w:rPr>
                <w:t>Acuerdo 631</w:t>
              </w:r>
            </w:hyperlink>
            <w:r w:rsidRPr="004848F7">
              <w:t xml:space="preserve"> del Consejo, y el documento </w:t>
            </w:r>
            <w:hyperlink r:id="rId9" w:history="1">
              <w:r w:rsidRPr="004848F7">
                <w:rPr>
                  <w:rStyle w:val="Hyperlink"/>
                </w:rPr>
                <w:t>C23/76</w:t>
              </w:r>
            </w:hyperlink>
            <w:r w:rsidRPr="004848F7">
              <w:t xml:space="preserve">) para establecer una unidad funcional sobre cuestiones de género, un nuevo plan de acción sobre género y un mecanismo de coordinación para iniciativas de la Red de Mujeres en todos los sectores. En este documento se proporciona un informe de situación sobre iniciativas específicas para abordar la brecha digital de género y la integración de los aspectos de género a nivel institucional. El Plan IIG figura en el </w:t>
            </w:r>
            <w:hyperlink w:anchor="Annex" w:history="1">
              <w:r w:rsidRPr="004848F7">
                <w:rPr>
                  <w:rStyle w:val="Hyperlink"/>
                </w:rPr>
                <w:t>anexo</w:t>
              </w:r>
            </w:hyperlink>
            <w:r w:rsidRPr="004848F7">
              <w:t>.</w:t>
            </w:r>
          </w:p>
          <w:p w14:paraId="5D1C98A4" w14:textId="77777777" w:rsidR="00FE57F6" w:rsidRPr="004848F7" w:rsidRDefault="00F24B71" w:rsidP="00C538FC">
            <w:pPr>
              <w:spacing w:before="160"/>
              <w:rPr>
                <w:b/>
                <w:bCs/>
                <w:sz w:val="26"/>
                <w:szCs w:val="26"/>
              </w:rPr>
            </w:pPr>
            <w:r w:rsidRPr="004848F7">
              <w:rPr>
                <w:b/>
                <w:bCs/>
                <w:sz w:val="26"/>
                <w:szCs w:val="26"/>
              </w:rPr>
              <w:t xml:space="preserve">Acción solicitada </w:t>
            </w:r>
            <w:r w:rsidR="00677A97" w:rsidRPr="004848F7">
              <w:rPr>
                <w:b/>
                <w:bCs/>
                <w:sz w:val="26"/>
                <w:szCs w:val="26"/>
              </w:rPr>
              <w:t>al</w:t>
            </w:r>
            <w:r w:rsidRPr="004848F7">
              <w:rPr>
                <w:b/>
                <w:bCs/>
                <w:sz w:val="26"/>
                <w:szCs w:val="26"/>
              </w:rPr>
              <w:t xml:space="preserve"> Consejo</w:t>
            </w:r>
          </w:p>
          <w:p w14:paraId="2FDDD05B" w14:textId="77777777" w:rsidR="00EE76D1" w:rsidRPr="004848F7" w:rsidRDefault="00EE76D1" w:rsidP="00EE76D1">
            <w:pPr>
              <w:jc w:val="both"/>
            </w:pPr>
            <w:r w:rsidRPr="004848F7">
              <w:t xml:space="preserve">Se invita al Consejo de la UIT a </w:t>
            </w:r>
            <w:r w:rsidRPr="004848F7">
              <w:rPr>
                <w:b/>
                <w:bCs/>
              </w:rPr>
              <w:t>tomar nota</w:t>
            </w:r>
            <w:r w:rsidRPr="004848F7">
              <w:t xml:space="preserve"> del informe y a </w:t>
            </w:r>
            <w:r w:rsidRPr="004848F7">
              <w:rPr>
                <w:b/>
                <w:bCs/>
              </w:rPr>
              <w:t>proporcionar las orientaciones</w:t>
            </w:r>
            <w:r w:rsidRPr="004848F7">
              <w:t xml:space="preserve"> que considere oportunas sobre medidas futuras.</w:t>
            </w:r>
          </w:p>
          <w:p w14:paraId="29ECF93D" w14:textId="77777777" w:rsidR="00FE57F6" w:rsidRPr="004848F7" w:rsidRDefault="00F24B71" w:rsidP="00C538FC">
            <w:pPr>
              <w:spacing w:before="160"/>
              <w:rPr>
                <w:b/>
                <w:bCs/>
                <w:sz w:val="26"/>
                <w:szCs w:val="26"/>
              </w:rPr>
            </w:pPr>
            <w:r w:rsidRPr="004848F7">
              <w:rPr>
                <w:b/>
                <w:bCs/>
                <w:sz w:val="26"/>
                <w:szCs w:val="26"/>
              </w:rPr>
              <w:t>Vínculos pertinentes con el Plan Estratégico</w:t>
            </w:r>
          </w:p>
          <w:p w14:paraId="1282F49B" w14:textId="23060117" w:rsidR="00EE76D1" w:rsidRPr="004848F7" w:rsidRDefault="00EE76D1" w:rsidP="00EE76D1">
            <w:pPr>
              <w:jc w:val="both"/>
            </w:pPr>
            <w:r w:rsidRPr="004848F7">
              <w:t>Reducir la brecha digital entre hombres y mujeres; integración de los aspectos de género e igualdad de representación como elementos facilitadores.</w:t>
            </w:r>
          </w:p>
          <w:p w14:paraId="5948AA98" w14:textId="77777777" w:rsidR="00FE57F6" w:rsidRPr="004848F7" w:rsidRDefault="00FE57F6" w:rsidP="00C538FC">
            <w:pPr>
              <w:spacing w:before="160"/>
              <w:rPr>
                <w:caps/>
                <w:sz w:val="22"/>
              </w:rPr>
            </w:pPr>
            <w:r w:rsidRPr="004848F7">
              <w:rPr>
                <w:sz w:val="22"/>
              </w:rPr>
              <w:t>__________________</w:t>
            </w:r>
          </w:p>
          <w:p w14:paraId="53C56EAC" w14:textId="77777777" w:rsidR="00FE57F6" w:rsidRPr="004848F7" w:rsidRDefault="00F24B71" w:rsidP="00C538FC">
            <w:pPr>
              <w:spacing w:before="160"/>
              <w:rPr>
                <w:b/>
                <w:bCs/>
                <w:sz w:val="26"/>
                <w:szCs w:val="26"/>
              </w:rPr>
            </w:pPr>
            <w:r w:rsidRPr="004848F7">
              <w:rPr>
                <w:b/>
                <w:bCs/>
                <w:sz w:val="26"/>
                <w:szCs w:val="26"/>
              </w:rPr>
              <w:t>Referencia</w:t>
            </w:r>
          </w:p>
          <w:p w14:paraId="58339413" w14:textId="0983003E" w:rsidR="00FE57F6" w:rsidRPr="004848F7" w:rsidRDefault="004848F7" w:rsidP="00C538FC">
            <w:pPr>
              <w:spacing w:after="160"/>
              <w:rPr>
                <w:szCs w:val="24"/>
              </w:rPr>
            </w:pPr>
            <w:hyperlink r:id="rId10" w:history="1">
              <w:r w:rsidR="00EE76D1" w:rsidRPr="004848F7">
                <w:rPr>
                  <w:rStyle w:val="Hyperlink"/>
                  <w:i/>
                  <w:iCs/>
                  <w:szCs w:val="24"/>
                </w:rPr>
                <w:t>Resolución 70</w:t>
              </w:r>
            </w:hyperlink>
            <w:r w:rsidR="00EE76D1" w:rsidRPr="004848F7">
              <w:rPr>
                <w:i/>
                <w:iCs/>
                <w:szCs w:val="24"/>
              </w:rPr>
              <w:t xml:space="preserve"> (Rev. Bucarest, 2022) de la Conferencia de Plenipotenciarios; Acuerdo 631 (</w:t>
            </w:r>
            <w:hyperlink r:id="rId11" w:history="1">
              <w:r w:rsidR="00EE76D1" w:rsidRPr="004848F7">
                <w:rPr>
                  <w:rStyle w:val="Hyperlink"/>
                  <w:i/>
                  <w:iCs/>
                  <w:szCs w:val="24"/>
                </w:rPr>
                <w:t>C23/125</w:t>
              </w:r>
            </w:hyperlink>
            <w:r w:rsidR="00EE76D1" w:rsidRPr="004848F7">
              <w:rPr>
                <w:i/>
                <w:iCs/>
                <w:szCs w:val="24"/>
              </w:rPr>
              <w:t xml:space="preserve">) del Consejo de 2023; Documento </w:t>
            </w:r>
            <w:hyperlink r:id="rId12" w:history="1">
              <w:r w:rsidR="00EE76D1" w:rsidRPr="004848F7">
                <w:rPr>
                  <w:rStyle w:val="Hyperlink"/>
                  <w:i/>
                  <w:iCs/>
                  <w:szCs w:val="24"/>
                </w:rPr>
                <w:t>C23/76</w:t>
              </w:r>
            </w:hyperlink>
            <w:r w:rsidR="00EE76D1" w:rsidRPr="004848F7">
              <w:rPr>
                <w:i/>
                <w:iCs/>
                <w:szCs w:val="24"/>
              </w:rPr>
              <w:t xml:space="preserve"> del Consejo de 2023</w:t>
            </w:r>
            <w:hyperlink r:id="rId13" w:history="1">
              <w:r w:rsidR="00EE76D1" w:rsidRPr="004848F7">
                <w:rPr>
                  <w:rStyle w:val="Hyperlink"/>
                  <w:i/>
                  <w:iCs/>
                  <w:color w:val="auto"/>
                  <w:szCs w:val="24"/>
                  <w:u w:val="none"/>
                </w:rPr>
                <w:t xml:space="preserve">; </w:t>
              </w:r>
            </w:hyperlink>
            <w:hyperlink r:id="rId14" w:history="1">
              <w:r w:rsidR="00EE76D1" w:rsidRPr="004848F7">
                <w:rPr>
                  <w:rStyle w:val="Hyperlink"/>
                  <w:i/>
                  <w:iCs/>
                  <w:szCs w:val="24"/>
                </w:rPr>
                <w:t>Informe de cumplimiento</w:t>
              </w:r>
            </w:hyperlink>
            <w:r w:rsidR="00EE76D1" w:rsidRPr="004848F7">
              <w:rPr>
                <w:rStyle w:val="Hyperlink"/>
                <w:i/>
                <w:iCs/>
                <w:szCs w:val="24"/>
              </w:rPr>
              <w:t xml:space="preserve"> </w:t>
            </w:r>
            <w:hyperlink r:id="rId15" w:history="1">
              <w:r w:rsidR="00EE76D1" w:rsidRPr="004848F7">
                <w:rPr>
                  <w:rStyle w:val="Hyperlink"/>
                  <w:i/>
                  <w:iCs/>
                  <w:szCs w:val="24"/>
                </w:rPr>
                <w:t>ONU-SWAP 2022</w:t>
              </w:r>
            </w:hyperlink>
            <w:r w:rsidR="00EE76D1" w:rsidRPr="004848F7">
              <w:rPr>
                <w:rStyle w:val="Hyperlink"/>
                <w:i/>
                <w:iCs/>
                <w:szCs w:val="24"/>
              </w:rPr>
              <w:t xml:space="preserve"> de la UIT</w:t>
            </w:r>
            <w:r w:rsidR="00EE76D1" w:rsidRPr="004848F7">
              <w:rPr>
                <w:i/>
                <w:iCs/>
                <w:szCs w:val="24"/>
              </w:rPr>
              <w:t>.</w:t>
            </w:r>
          </w:p>
        </w:tc>
      </w:tr>
      <w:bookmarkEnd w:id="0"/>
    </w:tbl>
    <w:p w14:paraId="06FD7253" w14:textId="77777777" w:rsidR="00093EEB" w:rsidRPr="004848F7" w:rsidRDefault="00093EEB"/>
    <w:p w14:paraId="44179D23" w14:textId="77777777" w:rsidR="001559F5" w:rsidRPr="004848F7" w:rsidRDefault="001559F5">
      <w:pPr>
        <w:tabs>
          <w:tab w:val="clear" w:pos="567"/>
          <w:tab w:val="clear" w:pos="1134"/>
          <w:tab w:val="clear" w:pos="1701"/>
          <w:tab w:val="clear" w:pos="2268"/>
          <w:tab w:val="clear" w:pos="2835"/>
        </w:tabs>
        <w:overflowPunct/>
        <w:autoSpaceDE/>
        <w:autoSpaceDN/>
        <w:adjustRightInd/>
        <w:spacing w:before="0"/>
        <w:textAlignment w:val="auto"/>
      </w:pPr>
      <w:r w:rsidRPr="004848F7">
        <w:br w:type="page"/>
      </w:r>
    </w:p>
    <w:p w14:paraId="4440DFDA" w14:textId="77777777" w:rsidR="00EE76D1" w:rsidRPr="004848F7" w:rsidRDefault="00EE76D1" w:rsidP="00EE76D1">
      <w:pPr>
        <w:pStyle w:val="Heading1"/>
      </w:pPr>
      <w:r w:rsidRPr="004848F7">
        <w:lastRenderedPageBreak/>
        <w:t>1</w:t>
      </w:r>
      <w:r w:rsidRPr="004848F7">
        <w:tab/>
        <w:t>Introducción</w:t>
      </w:r>
    </w:p>
    <w:p w14:paraId="07D88EB5" w14:textId="3B28BCD2" w:rsidR="00EE76D1" w:rsidRPr="004848F7" w:rsidRDefault="00EE76D1" w:rsidP="00EE76D1">
      <w:r w:rsidRPr="004848F7">
        <w:rPr>
          <w:spacing w:val="4"/>
        </w:rPr>
        <w:t>La UIT prevé ampliar los beneficios de las nuevas tecnologías a todos los habitantes del planeta</w:t>
      </w:r>
      <w:r w:rsidRPr="004848F7">
        <w:rPr>
          <w:rStyle w:val="FootnoteReference"/>
          <w:spacing w:val="4"/>
        </w:rPr>
        <w:footnoteReference w:id="1"/>
      </w:r>
      <w:r w:rsidRPr="004848F7">
        <w:rPr>
          <w:spacing w:val="4"/>
        </w:rPr>
        <w:t xml:space="preserve">. La </w:t>
      </w:r>
      <w:r w:rsidRPr="004848F7">
        <w:t xml:space="preserve">Resolución </w:t>
      </w:r>
      <w:hyperlink r:id="rId16" w:history="1">
        <w:r w:rsidRPr="004848F7">
          <w:rPr>
            <w:rStyle w:val="Hyperlink"/>
            <w:rFonts w:asciiTheme="minorHAnsi" w:hAnsiTheme="minorHAnsi" w:cstheme="minorHAnsi"/>
            <w:szCs w:val="24"/>
          </w:rPr>
          <w:t>70</w:t>
        </w:r>
      </w:hyperlink>
      <w:r w:rsidRPr="004848F7">
        <w:rPr>
          <w:spacing w:val="4"/>
        </w:rPr>
        <w:t xml:space="preserve"> de la UIT hace hincapié</w:t>
      </w:r>
      <w:r w:rsidRPr="004848F7">
        <w:t xml:space="preserve"> en aspectos de igualdad de género, con el claro compromiso oficial de integrar dichos aspectos en la labor y las actividades de la organización. En noviembre de 2023, el UIT-R adoptó </w:t>
      </w:r>
      <w:r w:rsidRPr="004848F7">
        <w:rPr>
          <w:rFonts w:asciiTheme="minorHAnsi" w:hAnsiTheme="minorHAnsi" w:cstheme="minorHAnsi"/>
          <w:szCs w:val="24"/>
        </w:rPr>
        <w:t xml:space="preserve">la </w:t>
      </w:r>
      <w:hyperlink r:id="rId17" w:history="1">
        <w:r w:rsidRPr="004848F7">
          <w:rPr>
            <w:rStyle w:val="Hyperlink"/>
            <w:rFonts w:asciiTheme="minorHAnsi" w:hAnsiTheme="minorHAnsi" w:cstheme="minorHAnsi"/>
            <w:szCs w:val="24"/>
          </w:rPr>
          <w:t>Resolución 72</w:t>
        </w:r>
      </w:hyperlink>
      <w:r w:rsidRPr="004848F7">
        <w:t xml:space="preserve">, centrada en aspectos de igualdad de género, en virtud de la cual se fortalecen los compromisos sectoriales sobre cuestiones de género, además de los establecidos en </w:t>
      </w:r>
      <w:r w:rsidRPr="004848F7">
        <w:rPr>
          <w:rFonts w:asciiTheme="minorHAnsi" w:hAnsiTheme="minorHAnsi" w:cstheme="minorHAnsi"/>
          <w:szCs w:val="24"/>
        </w:rPr>
        <w:t xml:space="preserve">el </w:t>
      </w:r>
      <w:hyperlink r:id="rId18" w:anchor="page=243" w:history="1">
        <w:r w:rsidRPr="004848F7">
          <w:rPr>
            <w:rStyle w:val="Hyperlink"/>
            <w:rFonts w:asciiTheme="minorHAnsi" w:hAnsiTheme="minorHAnsi" w:cstheme="minorHAnsi"/>
            <w:szCs w:val="24"/>
          </w:rPr>
          <w:t>UIT-D</w:t>
        </w:r>
      </w:hyperlink>
      <w:r w:rsidRPr="004848F7">
        <w:t xml:space="preserve"> y </w:t>
      </w:r>
      <w:r w:rsidRPr="004848F7">
        <w:rPr>
          <w:rFonts w:asciiTheme="minorHAnsi" w:hAnsiTheme="minorHAnsi" w:cstheme="minorHAnsi"/>
          <w:szCs w:val="24"/>
        </w:rPr>
        <w:t xml:space="preserve">el </w:t>
      </w:r>
      <w:hyperlink r:id="rId19" w:history="1">
        <w:r w:rsidRPr="004848F7">
          <w:rPr>
            <w:rStyle w:val="Hyperlink"/>
            <w:rFonts w:asciiTheme="minorHAnsi" w:hAnsiTheme="minorHAnsi" w:cstheme="minorHAnsi"/>
            <w:szCs w:val="24"/>
          </w:rPr>
          <w:t>UIT-T</w:t>
        </w:r>
      </w:hyperlink>
      <w:r w:rsidRPr="004848F7">
        <w:t>.</w:t>
      </w:r>
    </w:p>
    <w:p w14:paraId="19E7676F" w14:textId="6E246B33" w:rsidR="00EE76D1" w:rsidRPr="004848F7" w:rsidRDefault="00EE76D1" w:rsidP="00EE76D1">
      <w:r w:rsidRPr="004848F7">
        <w:t xml:space="preserve">En este documento, que abarca el periodo de un año comprendido entre el </w:t>
      </w:r>
      <w:hyperlink r:id="rId20" w:history="1">
        <w:r w:rsidRPr="004848F7">
          <w:rPr>
            <w:rStyle w:val="Hyperlink"/>
            <w:rFonts w:asciiTheme="minorHAnsi" w:hAnsiTheme="minorHAnsi" w:cstheme="minorHAnsi"/>
            <w:szCs w:val="24"/>
          </w:rPr>
          <w:t>C23/6</w:t>
        </w:r>
      </w:hyperlink>
      <w:r w:rsidRPr="004848F7">
        <w:t xml:space="preserve"> y abril de</w:t>
      </w:r>
      <w:r w:rsidR="004A2EDD" w:rsidRPr="004848F7">
        <w:t> </w:t>
      </w:r>
      <w:r w:rsidRPr="004848F7">
        <w:t>2024, se proporciona información sobre los avances logrados por la UIT en la promoción de los aspectos de igualdad de género, conforme a lo dispuesto en la Resolución 70 (Rev.</w:t>
      </w:r>
      <w:r w:rsidR="004A2EDD" w:rsidRPr="004848F7">
        <w:t> </w:t>
      </w:r>
      <w:r w:rsidRPr="004848F7">
        <w:t>Bucarest, 2022) de la Conferencia de Plenipotenciarios y el Consejo-23. Dicha información se rige por un doble enfoque que aborda:</w:t>
      </w:r>
    </w:p>
    <w:p w14:paraId="5D77D135" w14:textId="785E6CF9" w:rsidR="00EE76D1" w:rsidRPr="004848F7" w:rsidRDefault="00EE76D1" w:rsidP="00EE76D1">
      <w:pPr>
        <w:pStyle w:val="enumlev1"/>
      </w:pPr>
      <w:r w:rsidRPr="004848F7">
        <w:t>–</w:t>
      </w:r>
      <w:r w:rsidRPr="004848F7">
        <w:tab/>
      </w:r>
      <w:r w:rsidRPr="004848F7">
        <w:rPr>
          <w:b/>
          <w:bCs/>
        </w:rPr>
        <w:t xml:space="preserve">intervenciones específicas </w:t>
      </w:r>
      <w:r w:rsidRPr="004848F7">
        <w:t>para colmar lagunas concretas en materia de igualdad de género, y</w:t>
      </w:r>
    </w:p>
    <w:p w14:paraId="58A1CDD2" w14:textId="3C914ABB" w:rsidR="00EE76D1" w:rsidRPr="004848F7" w:rsidRDefault="00EE76D1" w:rsidP="00EE76D1">
      <w:pPr>
        <w:pStyle w:val="enumlev1"/>
      </w:pPr>
      <w:r w:rsidRPr="004848F7">
        <w:t>–</w:t>
      </w:r>
      <w:r w:rsidRPr="004848F7">
        <w:tab/>
      </w:r>
      <w:r w:rsidRPr="004848F7">
        <w:rPr>
          <w:b/>
          <w:bCs/>
        </w:rPr>
        <w:t xml:space="preserve">aspectos de integración de los aspectos de género a nivel institucional </w:t>
      </w:r>
      <w:r w:rsidRPr="004848F7">
        <w:t>en toda la organización.</w:t>
      </w:r>
    </w:p>
    <w:p w14:paraId="5261DCE3" w14:textId="77777777" w:rsidR="00EE76D1" w:rsidRPr="004848F7" w:rsidRDefault="00EE76D1" w:rsidP="00EE76D1">
      <w:pPr>
        <w:pStyle w:val="Heading1"/>
      </w:pPr>
      <w:r w:rsidRPr="004848F7">
        <w:t>2</w:t>
      </w:r>
      <w:r w:rsidRPr="004848F7">
        <w:tab/>
        <w:t>Iniciativas específicas para abordar la brecha digital de género</w:t>
      </w:r>
    </w:p>
    <w:p w14:paraId="0F63C403" w14:textId="72BB08D7" w:rsidR="00EE76D1" w:rsidRPr="004848F7" w:rsidRDefault="00EE76D1" w:rsidP="00EE76D1">
      <w:r w:rsidRPr="004848F7">
        <w:rPr>
          <w:b/>
          <w:bCs/>
        </w:rPr>
        <w:t>2.1</w:t>
      </w:r>
      <w:r w:rsidRPr="004848F7">
        <w:tab/>
      </w:r>
      <w:r w:rsidRPr="004848F7">
        <w:rPr>
          <w:b/>
          <w:bCs/>
        </w:rPr>
        <w:t>Datos sobre la brecha digital de género y el panel de control de la UIT sobre cuestiones de género</w:t>
      </w:r>
      <w:r w:rsidRPr="004848F7">
        <w:t xml:space="preserve">: la brecha digital de género se refiere a la disparidad de acceso, competencias y utilización entre hombres y mujeres en materia de tecnologías digitales. Según el informe </w:t>
      </w:r>
      <w:hyperlink r:id="rId21" w:history="1">
        <w:r w:rsidRPr="004848F7">
          <w:rPr>
            <w:rStyle w:val="Hyperlink"/>
            <w:rFonts w:asciiTheme="minorHAnsi" w:hAnsiTheme="minorHAnsi" w:cstheme="minorHAnsi"/>
            <w:i/>
            <w:iCs/>
            <w:szCs w:val="24"/>
          </w:rPr>
          <w:t>Facts and Figures 2023</w:t>
        </w:r>
      </w:hyperlink>
      <w:r w:rsidRPr="004848F7">
        <w:t xml:space="preserve"> (Hechos y cifras 2023), las mujeres y las niñas siguen constituyendo una parte desproporcionada de la población mundial que no posee conexión a Internet, que rebasa en un 17% el porcentaje de hombres </w:t>
      </w:r>
      <w:r w:rsidR="004A2EDD" w:rsidRPr="004848F7">
        <w:t xml:space="preserve">que </w:t>
      </w:r>
      <w:r w:rsidRPr="004848F7">
        <w:t>no utilizan la misma. En cuanto a la propiedad de teléfonos, las mujeres tienen un 8% menos de probabilidades de poseer un teléfono móvil que los hombres, y superan a los hombres que no poseen un teléfono móvil en un 35%. No cabe subestimar la importancia de este problema, ya que perpetúa la disparidad y dificulta la educación, el empleo y la participación en la economía digital de mujeres y niñas. La reducción de dicha brecha es fundamental para fomentar la igualdad de género, facilitar el empoderamiento económico y garantizar un desarrollo integrador en la era digital. La UIT recopila y difunde datos desglosados por sexo sobre la cantidad de personas con acceso a las TIC y que utilizan las mismas; puede accederse a dichos datos a través del</w:t>
      </w:r>
      <w:hyperlink r:id="rId22">
        <w:r w:rsidRPr="004848F7">
          <w:t xml:space="preserve"> </w:t>
        </w:r>
        <w:r w:rsidRPr="004848F7">
          <w:rPr>
            <w:rStyle w:val="Hyperlink"/>
            <w:rFonts w:asciiTheme="minorHAnsi" w:hAnsiTheme="minorHAnsi" w:cstheme="minorHAnsi"/>
            <w:szCs w:val="24"/>
          </w:rPr>
          <w:t>Panel de control de la UIT sobre cuestiones de género UIT</w:t>
        </w:r>
      </w:hyperlink>
      <w:r w:rsidRPr="004848F7">
        <w:t xml:space="preserve">. El citado panel incluye asimismo información sobre la participación de las mujeres en eventos de la UIT y la proporción de mujeres en el personal de la UIT, así como los informes anuales de </w:t>
      </w:r>
      <w:proofErr w:type="gramStart"/>
      <w:r w:rsidRPr="004848F7">
        <w:t>ONU</w:t>
      </w:r>
      <w:proofErr w:type="gramEnd"/>
      <w:r w:rsidRPr="004848F7">
        <w:t>-SWAP.</w:t>
      </w:r>
    </w:p>
    <w:p w14:paraId="01636EE0" w14:textId="6956C14E" w:rsidR="00EE76D1" w:rsidRPr="004848F7" w:rsidRDefault="00EE76D1" w:rsidP="00EE76D1">
      <w:r w:rsidRPr="004848F7">
        <w:rPr>
          <w:b/>
          <w:bCs/>
        </w:rPr>
        <w:t>2.2</w:t>
      </w:r>
      <w:r w:rsidRPr="004848F7">
        <w:tab/>
      </w:r>
      <w:r w:rsidRPr="004848F7">
        <w:rPr>
          <w:b/>
          <w:bCs/>
        </w:rPr>
        <w:t>Día de las Niñas en las TIC 2024</w:t>
      </w:r>
      <w:r w:rsidRPr="004848F7">
        <w:t xml:space="preserve">: La </w:t>
      </w:r>
      <w:hyperlink r:id="rId23" w:history="1">
        <w:r w:rsidRPr="004848F7">
          <w:rPr>
            <w:rStyle w:val="Hyperlink"/>
            <w:rFonts w:asciiTheme="minorHAnsi" w:hAnsiTheme="minorHAnsi" w:cstheme="minorHAnsi"/>
            <w:szCs w:val="24"/>
          </w:rPr>
          <w:t>celebración mundial de la UIT</w:t>
        </w:r>
      </w:hyperlink>
      <w:r w:rsidRPr="004848F7">
        <w:t xml:space="preserve"> correspondiente a la edición de 2024 tuvo lugar en Filipinas el 25 de abril, organizada por el Departamento de Tecnologías de la Información y la Comunicación (DICT). El programa interactivo incluyó una ceremonia de apertura, una sesión de alto nivel y un diálogo intergeneracional. En la sede de la UIT en Ginebra tuvo lugar el evento "Diálogo intergeneracional de alto nivel: Liderazgo de </w:t>
      </w:r>
      <w:r w:rsidRPr="004848F7">
        <w:lastRenderedPageBreak/>
        <w:t xml:space="preserve">las mujeres en la tecnología". </w:t>
      </w:r>
      <w:hyperlink r:id="rId24">
        <w:r w:rsidRPr="004848F7">
          <w:rPr>
            <w:rStyle w:val="Hyperlink"/>
            <w:rFonts w:asciiTheme="minorHAnsi" w:hAnsiTheme="minorHAnsi" w:cstheme="minorHAnsi"/>
            <w:szCs w:val="24"/>
          </w:rPr>
          <w:t>El Día Internacional de las Niñas en las TIC</w:t>
        </w:r>
      </w:hyperlink>
      <w:r w:rsidRPr="004848F7">
        <w:t xml:space="preserve"> es un evento emblemático de la UIT destinado a empoderar a niñas y a mujeres jóvenes para que cursen estudios en el sector de las TIC. Desde su establecimiento en 2011, el evento ha pasado a constituir un movimiento mundial que abarca alrededor de 175 países y es un </w:t>
      </w:r>
      <w:hyperlink r:id="rId25">
        <w:r w:rsidRPr="004848F7">
          <w:rPr>
            <w:rStyle w:val="Hyperlink"/>
            <w:rFonts w:asciiTheme="minorHAnsi" w:hAnsiTheme="minorHAnsi" w:cstheme="minorHAnsi"/>
            <w:szCs w:val="24"/>
          </w:rPr>
          <w:t>día internacional de las Naciones Unidas</w:t>
        </w:r>
      </w:hyperlink>
      <w:r w:rsidRPr="004848F7">
        <w:t xml:space="preserve"> que se celebra anualmente el cuarto jueves de abril.</w:t>
      </w:r>
    </w:p>
    <w:p w14:paraId="5EA13B4C" w14:textId="4042B38A" w:rsidR="00EE76D1" w:rsidRPr="004848F7" w:rsidRDefault="00EE76D1" w:rsidP="00EE76D1">
      <w:r w:rsidRPr="004848F7">
        <w:rPr>
          <w:b/>
          <w:bCs/>
        </w:rPr>
        <w:t>2.3</w:t>
      </w:r>
      <w:r w:rsidRPr="004848F7">
        <w:rPr>
          <w:b/>
          <w:bCs/>
        </w:rPr>
        <w:tab/>
        <w:t xml:space="preserve">Iniciativa </w:t>
      </w:r>
      <w:r w:rsidRPr="004848F7">
        <w:rPr>
          <w:b/>
          <w:bCs/>
          <w:i/>
          <w:iCs/>
        </w:rPr>
        <w:t>EQUALS in Tech</w:t>
      </w:r>
      <w:r w:rsidRPr="004848F7">
        <w:t xml:space="preserve">: la UIT cofundó la iniciativa </w:t>
      </w:r>
      <w:hyperlink r:id="rId26" w:history="1">
        <w:r w:rsidRPr="004848F7">
          <w:rPr>
            <w:rStyle w:val="Hyperlink"/>
            <w:rFonts w:asciiTheme="minorHAnsi" w:hAnsiTheme="minorHAnsi" w:cstheme="minorHAnsi"/>
            <w:szCs w:val="24"/>
          </w:rPr>
          <w:t>EQUALS</w:t>
        </w:r>
      </w:hyperlink>
      <w:r w:rsidRPr="004848F7">
        <w:t xml:space="preserve"> en 2016 para promover el acceso de las mujeres a las TIC, las competencias digitales y el liderazgo. EQUALS in Tech es un grupo específico de asociados que colabora con otras partes interesadas a escala internacional para promover la igualdad de género en el sector tecnológico. Los </w:t>
      </w:r>
      <w:hyperlink r:id="rId27">
        <w:r w:rsidRPr="004848F7">
          <w:rPr>
            <w:rStyle w:val="Hyperlink"/>
            <w:rFonts w:asciiTheme="minorHAnsi" w:hAnsiTheme="minorHAnsi" w:cstheme="minorHAnsi"/>
            <w:szCs w:val="24"/>
          </w:rPr>
          <w:t>premios anuales EQUALS in Tech</w:t>
        </w:r>
      </w:hyperlink>
      <w:r w:rsidRPr="004848F7">
        <w:t xml:space="preserve"> reconocen a personas y organizaciones que promueven la igualdad de acceso a Internet, las competencias digitales y las oportunidades para las niñas y las mujeres en el plano tecnológico.</w:t>
      </w:r>
    </w:p>
    <w:p w14:paraId="6A6CCE17" w14:textId="356498FF" w:rsidR="00EE76D1" w:rsidRPr="004848F7" w:rsidRDefault="00EE76D1" w:rsidP="00EE76D1">
      <w:pPr>
        <w:rPr>
          <w:b/>
        </w:rPr>
      </w:pPr>
      <w:r w:rsidRPr="004848F7">
        <w:rPr>
          <w:b/>
        </w:rPr>
        <w:t>2.4</w:t>
      </w:r>
      <w:r w:rsidRPr="004848F7">
        <w:rPr>
          <w:b/>
        </w:rPr>
        <w:tab/>
        <w:t xml:space="preserve">Iniciativa </w:t>
      </w:r>
      <w:r w:rsidRPr="004848F7">
        <w:rPr>
          <w:b/>
          <w:i/>
          <w:iCs/>
        </w:rPr>
        <w:t>Her CyberTracks</w:t>
      </w:r>
      <w:r w:rsidRPr="004848F7">
        <w:rPr>
          <w:bCs/>
        </w:rPr>
        <w:t xml:space="preserve">: </w:t>
      </w:r>
      <w:r w:rsidRPr="004848F7">
        <w:t xml:space="preserve">el </w:t>
      </w:r>
      <w:hyperlink r:id="rId28" w:history="1">
        <w:r w:rsidRPr="004848F7">
          <w:rPr>
            <w:rStyle w:val="Hyperlink"/>
            <w:rFonts w:asciiTheme="minorHAnsi" w:hAnsiTheme="minorHAnsi" w:cstheme="minorHAnsi"/>
            <w:szCs w:val="24"/>
          </w:rPr>
          <w:t>Programa de tutorías de la UIT de 2023 sobre ciberseguridad para mujeres</w:t>
        </w:r>
      </w:hyperlink>
      <w:r w:rsidRPr="004848F7">
        <w:rPr>
          <w:rStyle w:val="Hyperlink"/>
          <w:rFonts w:asciiTheme="minorHAnsi" w:hAnsiTheme="minorHAnsi" w:cstheme="minorHAnsi"/>
          <w:color w:val="auto"/>
          <w:szCs w:val="24"/>
          <w:u w:val="none"/>
        </w:rPr>
        <w:t>, cuyo objetivo es</w:t>
      </w:r>
      <w:r w:rsidRPr="004848F7">
        <w:t xml:space="preserve"> abordar la brecha de género en materia de ciberseguridad mediante la colaboración de mujeres de talento, mentores y líderes del sector, se impartió en línea de julio a noviembre de 2023. El programa ofrece un enfoque integral en el marco de seminarios web de interés, cursos de formación técnica y de desarrollo de competencias interpersonales y organización de tutorías.</w:t>
      </w:r>
    </w:p>
    <w:p w14:paraId="6B2B3AD8" w14:textId="3CB0762B" w:rsidR="00EE76D1" w:rsidRPr="004848F7" w:rsidRDefault="00EE76D1" w:rsidP="00EE76D1">
      <w:pPr>
        <w:rPr>
          <w:highlight w:val="yellow"/>
        </w:rPr>
      </w:pPr>
      <w:r w:rsidRPr="004848F7">
        <w:rPr>
          <w:b/>
        </w:rPr>
        <w:t>2.5</w:t>
      </w:r>
      <w:r w:rsidRPr="004848F7">
        <w:tab/>
      </w:r>
      <w:r w:rsidRPr="004848F7">
        <w:rPr>
          <w:b/>
        </w:rPr>
        <w:t>La tecnología como motor de las oportunidades económicas de la mujer</w:t>
      </w:r>
      <w:r w:rsidRPr="004848F7">
        <w:rPr>
          <w:bCs/>
        </w:rPr>
        <w:t xml:space="preserve">: </w:t>
      </w:r>
      <w:r w:rsidRPr="004848F7">
        <w:t xml:space="preserve">la UIT colabora con el Marco Integrado Mejorado (MIM) y la Oficina de las Naciones Unidas de Servicios para Proyectos (UNOPS) con objeto de mejorar el ecosistema digital para las mujeres en países menos adelantados, en particular Burundi, Etiopía y Haití. Tras concluir en diciembre, el </w:t>
      </w:r>
      <w:hyperlink r:id="rId29">
        <w:r w:rsidRPr="004848F7">
          <w:rPr>
            <w:rStyle w:val="Hyperlink"/>
            <w:rFonts w:asciiTheme="minorHAnsi" w:hAnsiTheme="minorHAnsi" w:cstheme="minorHAnsi"/>
            <w:szCs w:val="24"/>
          </w:rPr>
          <w:t>proyecto</w:t>
        </w:r>
      </w:hyperlink>
      <w:r w:rsidRPr="004848F7">
        <w:t xml:space="preserve"> analizó la capacidad de respuesta en materia de cuestiones de género de las políticas, estrategias y normativas relacionadas con la economía digital, e incidió en la capacitación de mujeres empresarias. El proyecto benefició a 2</w:t>
      </w:r>
      <w:r w:rsidR="00526106" w:rsidRPr="004848F7">
        <w:t> </w:t>
      </w:r>
      <w:r w:rsidRPr="004848F7">
        <w:t>570 personas (81,4% mujeres y 53% jóvenes) en Burundi, Etiopía y Haití. El proyecto fomentó las competencias digitales de las mujeres en los sectores de la agricultura y la industria textil y de la confección. La UIT y sus asociados capacitaron a los encargados de la formulación de políticas en el desarrollo y la reformulación de políticas y reglamentos adaptados a cuestiones de género relacionados con la economía digital mediante actividades de promoción, formación personalizada y orientación destinadas a 400 funcionarios públicos.</w:t>
      </w:r>
    </w:p>
    <w:p w14:paraId="747D5F49" w14:textId="537A271F" w:rsidR="00EE76D1" w:rsidRPr="004848F7" w:rsidRDefault="00EE76D1" w:rsidP="00EE76D1">
      <w:r w:rsidRPr="004848F7">
        <w:rPr>
          <w:b/>
        </w:rPr>
        <w:t>2.6</w:t>
      </w:r>
      <w:r w:rsidRPr="004848F7">
        <w:tab/>
      </w:r>
      <w:r w:rsidRPr="004848F7">
        <w:rPr>
          <w:b/>
        </w:rPr>
        <w:t>Integración de los aspectos de género en las políticas: apoyo a los miembros de la UIT</w:t>
      </w:r>
      <w:r w:rsidRPr="004848F7">
        <w:rPr>
          <w:bCs/>
        </w:rPr>
        <w:t xml:space="preserve">: </w:t>
      </w:r>
      <w:r w:rsidRPr="004848F7">
        <w:t>en 2023, la UIT elaboró un manual para integrar los aspectos de género en las políticas digitales, como herramienta para proporcionar ideas y orientación a los responsables políticos sobre las medidas específicas que cabe adoptar para abogar por la igualdad de género. Dicho manual ofrece una lista de comprobación práctica sobre la forma de establecer medidas políticas que permitan promover la igualdad de género. A finales de</w:t>
      </w:r>
      <w:r w:rsidR="00526106" w:rsidRPr="004848F7">
        <w:t> </w:t>
      </w:r>
      <w:r w:rsidRPr="004848F7">
        <w:t xml:space="preserve">2023 se organizaron diversas </w:t>
      </w:r>
      <w:hyperlink r:id="rId30" w:history="1">
        <w:r w:rsidRPr="004848F7">
          <w:rPr>
            <w:rStyle w:val="Hyperlink"/>
            <w:rFonts w:asciiTheme="minorHAnsi" w:hAnsiTheme="minorHAnsi" w:cstheme="minorHAnsi"/>
            <w:szCs w:val="24"/>
          </w:rPr>
          <w:t>sesiones en línea</w:t>
        </w:r>
      </w:hyperlink>
      <w:r w:rsidRPr="004848F7">
        <w:t xml:space="preserve"> para dar a conocer su contenido. En 2024 se prevé organizar cursos de formación sobre el contenido del manual y su utilización.</w:t>
      </w:r>
    </w:p>
    <w:p w14:paraId="08BD663D" w14:textId="77777777" w:rsidR="00EE76D1" w:rsidRPr="004848F7" w:rsidRDefault="00EE76D1" w:rsidP="00EE76D1">
      <w:bookmarkStart w:id="1" w:name="_Hlk162941496"/>
      <w:bookmarkStart w:id="2" w:name="_Hlk162449056"/>
      <w:r w:rsidRPr="004848F7">
        <w:rPr>
          <w:b/>
        </w:rPr>
        <w:t>2.7</w:t>
      </w:r>
      <w:r w:rsidRPr="004848F7">
        <w:rPr>
          <w:b/>
        </w:rPr>
        <w:tab/>
        <w:t>Cumbre Mundial sobre la Sociedad de la Información (CMSI)</w:t>
      </w:r>
      <w:r w:rsidRPr="004848F7">
        <w:t xml:space="preserve">: la UIT lleva a cabo esfuerzos concertados para integrar los aspectos de igualdad de género en las estrategias de la </w:t>
      </w:r>
      <w:hyperlink r:id="rId31" w:history="1">
        <w:r w:rsidRPr="004848F7">
          <w:rPr>
            <w:rStyle w:val="Hyperlink"/>
            <w:rFonts w:asciiTheme="minorHAnsi" w:hAnsiTheme="minorHAnsi" w:cstheme="minorHAnsi"/>
            <w:szCs w:val="24"/>
          </w:rPr>
          <w:t>CMSI</w:t>
        </w:r>
      </w:hyperlink>
      <w:r w:rsidRPr="004848F7">
        <w:t xml:space="preserve">. </w:t>
      </w:r>
      <w:bookmarkEnd w:id="1"/>
      <w:bookmarkEnd w:id="2"/>
      <w:r w:rsidRPr="004848F7">
        <w:t>El Foro de la CMSI cuenta con un apartado específico sobre las TIC y la integración de las cuestiones de género. Cabe destacar asimismo al respecto la existencia del Repositorio de la CMSI sobre las mujeres en la tecnología y una iniciativa de la CMSI para establecer tendencias en materia de género con el fin de promover dicho repositorio.</w:t>
      </w:r>
    </w:p>
    <w:p w14:paraId="6507E93B" w14:textId="6820CC32" w:rsidR="00EE76D1" w:rsidRPr="004848F7" w:rsidRDefault="00EE76D1" w:rsidP="00EE76D1">
      <w:r w:rsidRPr="004848F7">
        <w:rPr>
          <w:b/>
          <w:bCs/>
        </w:rPr>
        <w:lastRenderedPageBreak/>
        <w:t>2.8</w:t>
      </w:r>
      <w:r w:rsidRPr="004848F7">
        <w:tab/>
      </w:r>
      <w:r w:rsidRPr="004848F7">
        <w:rPr>
          <w:b/>
          <w:bCs/>
        </w:rPr>
        <w:t>Red de Mujeres (NoW)</w:t>
      </w:r>
      <w:r w:rsidRPr="004848F7">
        <w:t xml:space="preserve">: la UIT fomenta la participación de las mujeres en eventos de la UIT y apoya las iniciativas de la Red de Mujeres (NoW) en sus tres Sectores, a saber, el </w:t>
      </w:r>
      <w:hyperlink r:id="rId32">
        <w:r w:rsidRPr="004848F7">
          <w:rPr>
            <w:rStyle w:val="Hyperlink"/>
            <w:rFonts w:asciiTheme="minorHAnsi" w:hAnsiTheme="minorHAnsi" w:cstheme="minorHAnsi"/>
            <w:szCs w:val="24"/>
          </w:rPr>
          <w:t>UIT-R</w:t>
        </w:r>
      </w:hyperlink>
      <w:r w:rsidRPr="004848F7">
        <w:t xml:space="preserve">, </w:t>
      </w:r>
      <w:hyperlink r:id="rId33">
        <w:r w:rsidRPr="004848F7">
          <w:rPr>
            <w:rStyle w:val="Hyperlink"/>
            <w:rFonts w:asciiTheme="minorHAnsi" w:hAnsiTheme="minorHAnsi" w:cstheme="minorHAnsi"/>
            <w:szCs w:val="24"/>
          </w:rPr>
          <w:t>UIT-D</w:t>
        </w:r>
      </w:hyperlink>
      <w:r w:rsidRPr="004848F7">
        <w:t xml:space="preserve"> y </w:t>
      </w:r>
      <w:hyperlink r:id="rId34">
        <w:r w:rsidRPr="004848F7">
          <w:rPr>
            <w:rStyle w:val="Hyperlink"/>
            <w:rFonts w:asciiTheme="minorHAnsi" w:hAnsiTheme="minorHAnsi" w:cstheme="minorHAnsi"/>
            <w:szCs w:val="24"/>
          </w:rPr>
          <w:t>UIT-T</w:t>
        </w:r>
      </w:hyperlink>
      <w:r w:rsidRPr="004848F7">
        <w:t>. Las mujeres representaron el 22% de los delegados de la CMR-23, un aumento con respecto al 18% registrado en la CMR-19 en 2019. Las mujeres también ocuparon más puestos de liderazgo en la CMR-23 que en conferencias anteriores. Esos logros reflejan el trabajo de la Red de Mujeres en la CMR-23. La Red de Mujeres para la AMNT-24 (</w:t>
      </w:r>
      <w:hyperlink r:id="rId35">
        <w:r w:rsidRPr="004848F7">
          <w:rPr>
            <w:rStyle w:val="Hyperlink"/>
            <w:rFonts w:asciiTheme="minorHAnsi" w:hAnsiTheme="minorHAnsi" w:cstheme="minorHAnsi"/>
            <w:szCs w:val="24"/>
          </w:rPr>
          <w:t>NOW4WTSA24</w:t>
        </w:r>
      </w:hyperlink>
      <w:r w:rsidRPr="004848F7">
        <w:t>) se puso en marcha en enero de 2024, con un llamamiento a la acción a los Estados Miembros para alcanzar el 35% de participación de mujeres en la Asamblea, y designar a más mujeres en puestos de liderazgo clave del UIT-T para el próximo Periodo de Estudios del UIT-T. El UIT-D facilita los preparativos de NOW4WTDC25. La Red sigue formulando y aplicando un plan de actividades de interés en eventos importantes y estratégicos.</w:t>
      </w:r>
    </w:p>
    <w:p w14:paraId="7B8B69AD" w14:textId="77777777" w:rsidR="00EE76D1" w:rsidRPr="004848F7" w:rsidRDefault="00EE76D1" w:rsidP="00EE76D1">
      <w:r w:rsidRPr="004848F7">
        <w:t>En diciembre de 2023, el UIT-D suscribió un acuerdo con la Comisión de Comunicación, Espacio y Tecnología del Reino de Arabia Saudí para apoyar la labor fundamental de la Red de Mujeres en el UIT-D a través de actividades de formación y tutoría.</w:t>
      </w:r>
    </w:p>
    <w:p w14:paraId="2E620B9C" w14:textId="0703C06D" w:rsidR="00EE76D1" w:rsidRPr="004848F7" w:rsidRDefault="00EE76D1" w:rsidP="00EE76D1">
      <w:pPr>
        <w:rPr>
          <w:rFonts w:cstheme="minorBidi"/>
        </w:rPr>
      </w:pPr>
      <w:r w:rsidRPr="004848F7">
        <w:rPr>
          <w:rFonts w:cstheme="minorBidi"/>
        </w:rPr>
        <w:t xml:space="preserve">En mayo, la Secretaria General se reunirá con una </w:t>
      </w:r>
      <w:r w:rsidRPr="004848F7">
        <w:rPr>
          <w:rFonts w:cstheme="minorBidi"/>
          <w:b/>
        </w:rPr>
        <w:t xml:space="preserve">Red de Ministras </w:t>
      </w:r>
      <w:r w:rsidRPr="004848F7">
        <w:rPr>
          <w:rFonts w:cstheme="minorBidi"/>
        </w:rPr>
        <w:t xml:space="preserve">y </w:t>
      </w:r>
      <w:r w:rsidRPr="004848F7">
        <w:rPr>
          <w:rFonts w:cstheme="minorBidi"/>
          <w:bCs/>
        </w:rPr>
        <w:t>Mujeres</w:t>
      </w:r>
      <w:r w:rsidRPr="004848F7">
        <w:rPr>
          <w:rFonts w:cstheme="minorBidi"/>
        </w:rPr>
        <w:t xml:space="preserve"> Líderes en el marco del Evento de Alto Nivel de la CMSI+20, de conformidad con la Resolución 70.</w:t>
      </w:r>
    </w:p>
    <w:p w14:paraId="02641998" w14:textId="35F9D07F" w:rsidR="00EE76D1" w:rsidRPr="004848F7" w:rsidRDefault="00EE76D1" w:rsidP="00EE76D1">
      <w:pPr>
        <w:rPr>
          <w:rFonts w:cstheme="minorBidi"/>
        </w:rPr>
      </w:pPr>
      <w:r w:rsidRPr="004848F7">
        <w:rPr>
          <w:rFonts w:cstheme="minorBidi"/>
        </w:rPr>
        <w:t xml:space="preserve">A raíz del documento </w:t>
      </w:r>
      <w:hyperlink r:id="rId36">
        <w:r w:rsidRPr="004848F7">
          <w:rPr>
            <w:rStyle w:val="Hyperlink"/>
            <w:rFonts w:asciiTheme="minorHAnsi" w:hAnsiTheme="minorHAnsi" w:cstheme="minorBidi"/>
          </w:rPr>
          <w:t>C23/76</w:t>
        </w:r>
      </w:hyperlink>
      <w:r w:rsidRPr="004848F7">
        <w:rPr>
          <w:rFonts w:cstheme="minorBidi"/>
        </w:rPr>
        <w:t xml:space="preserve"> del Consejo del año pasado, la Secretaría constituyó un grupo interno para mejorar la coordinación y la colaboración entre redes y Sectores.</w:t>
      </w:r>
    </w:p>
    <w:p w14:paraId="55369F5B" w14:textId="77777777" w:rsidR="00EE76D1" w:rsidRPr="004848F7" w:rsidRDefault="00EE76D1" w:rsidP="00EE76D1">
      <w:pPr>
        <w:rPr>
          <w:b/>
        </w:rPr>
      </w:pPr>
      <w:r w:rsidRPr="004848F7">
        <w:rPr>
          <w:b/>
        </w:rPr>
        <w:t>2.9</w:t>
      </w:r>
      <w:r w:rsidRPr="004848F7">
        <w:rPr>
          <w:b/>
        </w:rPr>
        <w:tab/>
        <w:t>Promotores internacionales de cuestiones de género</w:t>
      </w:r>
      <w:r w:rsidRPr="004848F7">
        <w:t xml:space="preserve">: la Secretaria General de la UIT forma parte de la </w:t>
      </w:r>
      <w:hyperlink r:id="rId37" w:history="1">
        <w:r w:rsidRPr="004848F7">
          <w:rPr>
            <w:rStyle w:val="Hyperlink"/>
            <w:rFonts w:asciiTheme="minorHAnsi" w:hAnsiTheme="minorHAnsi" w:cstheme="minorHAnsi"/>
            <w:szCs w:val="24"/>
          </w:rPr>
          <w:t>red de Promotores internacionales de cuestiones de género</w:t>
        </w:r>
      </w:hyperlink>
      <w:r w:rsidRPr="004848F7">
        <w:t xml:space="preserve"> (IGC), integrada por responsables de alto nivel que promueven acciones específicas para lograr cambios eficaces al respecto en cuanto a programación y cultura institucional. Además de </w:t>
      </w:r>
      <w:hyperlink r:id="rId38" w:anchor="search-form" w:history="1">
        <w:r w:rsidRPr="004848F7">
          <w:rPr>
            <w:rStyle w:val="Hyperlink"/>
            <w:rFonts w:asciiTheme="minorHAnsi" w:hAnsiTheme="minorHAnsi" w:cstheme="minorHAnsi"/>
            <w:szCs w:val="24"/>
          </w:rPr>
          <w:t>los compromisos fundamentales</w:t>
        </w:r>
      </w:hyperlink>
      <w:r w:rsidRPr="004848F7">
        <w:t xml:space="preserve"> para promover la paridad en las reuniones y erradicar la violencia de género, los compromisos de la Secretaria General para 2024 incluyen un </w:t>
      </w:r>
      <w:r w:rsidRPr="004848F7">
        <w:rPr>
          <w:spacing w:val="-2"/>
        </w:rPr>
        <w:t xml:space="preserve">mecanismo </w:t>
      </w:r>
      <w:r w:rsidRPr="004848F7">
        <w:t>interno de retroinformación del personal y</w:t>
      </w:r>
      <w:r w:rsidRPr="004848F7">
        <w:rPr>
          <w:spacing w:val="-2"/>
        </w:rPr>
        <w:t xml:space="preserve"> métodos de contratación pública para tener en cuenta las cuestiones de género. Por otro lado, la Secretaria General </w:t>
      </w:r>
      <w:r w:rsidRPr="004848F7">
        <w:t>codirige un nuevo grupo sobre cuestiones de género a IA.</w:t>
      </w:r>
    </w:p>
    <w:p w14:paraId="2B8C3650" w14:textId="77777777" w:rsidR="00EE76D1" w:rsidRPr="004848F7" w:rsidRDefault="00EE76D1" w:rsidP="00EE76D1">
      <w:pPr>
        <w:pStyle w:val="Heading1"/>
      </w:pPr>
      <w:r w:rsidRPr="004848F7">
        <w:t>3</w:t>
      </w:r>
      <w:r w:rsidRPr="004848F7">
        <w:tab/>
        <w:t>Integración de los aspectos de género a nivel institucional</w:t>
      </w:r>
    </w:p>
    <w:p w14:paraId="3D0C53C9" w14:textId="4BC059C4" w:rsidR="00EE76D1" w:rsidRPr="004848F7" w:rsidRDefault="00EE76D1" w:rsidP="00EE76D1">
      <w:r w:rsidRPr="004848F7">
        <w:rPr>
          <w:b/>
          <w:bCs/>
        </w:rPr>
        <w:t>3.1</w:t>
      </w:r>
      <w:r w:rsidRPr="004848F7">
        <w:tab/>
      </w:r>
      <w:r w:rsidRPr="004848F7">
        <w:rPr>
          <w:b/>
          <w:bCs/>
        </w:rPr>
        <w:t>Plan sobre igualdad de género e integración de aspectos del mismo (GEM)</w:t>
      </w:r>
      <w:r w:rsidRPr="004848F7">
        <w:t xml:space="preserve">: elaborado en colaboración con toda la organización, la Secretaría mantiene un </w:t>
      </w:r>
      <w:r w:rsidRPr="004848F7">
        <w:rPr>
          <w:b/>
          <w:bCs/>
        </w:rPr>
        <w:t>Plan</w:t>
      </w:r>
      <w:r w:rsidRPr="004848F7">
        <w:t xml:space="preserve"> </w:t>
      </w:r>
      <w:r w:rsidRPr="004848F7">
        <w:rPr>
          <w:b/>
          <w:bCs/>
        </w:rPr>
        <w:t>GEM</w:t>
      </w:r>
      <w:r w:rsidRPr="004848F7">
        <w:t xml:space="preserve"> pormenorizado para coordinar y cumplir el mandato de la UIT en materia de igualdad de género. El Plan se ajusta al marco de rendición de cuentas ONU-SWAP y se basa en prácticas idóneas de las Naciones Unidas; constituye un </w:t>
      </w:r>
      <w:r w:rsidRPr="004848F7">
        <w:rPr>
          <w:b/>
          <w:bCs/>
          <w:i/>
          <w:iCs/>
        </w:rPr>
        <w:t xml:space="preserve">documento evolutivo </w:t>
      </w:r>
      <w:r w:rsidRPr="004848F7">
        <w:t xml:space="preserve">que se actualiza de forma ininterrumpida. Por ejemplo, la auditoría interna de la UIT lleva a cabo actualmente una auditoría y formula diversas recomendaciones que se incluirán en el citado Plan. En consonancia con el Acuerdo 631 del Consejo de 2023, el Plan GEM figura en el </w:t>
      </w:r>
      <w:hyperlink w:anchor="Annex">
        <w:r w:rsidRPr="004848F7">
          <w:rPr>
            <w:rStyle w:val="Hyperlink"/>
            <w:rFonts w:asciiTheme="minorHAnsi" w:hAnsiTheme="minorHAnsi" w:cstheme="minorBidi"/>
          </w:rPr>
          <w:t>Anexo</w:t>
        </w:r>
      </w:hyperlink>
      <w:r w:rsidRPr="004848F7">
        <w:t>. Con objeto de racionalizar las labores de supervisión y coordinación, la Secretaría utiliza un programa informático de planificación en línea que se espera mejore la supervisión y la rendición de cuentas en relación con las actividades GEM.</w:t>
      </w:r>
    </w:p>
    <w:p w14:paraId="1CF70CC1" w14:textId="2D408341" w:rsidR="00EE76D1" w:rsidRPr="004848F7" w:rsidRDefault="00EE76D1" w:rsidP="00EE76D1">
      <w:pPr>
        <w:rPr>
          <w:b/>
          <w:bCs/>
        </w:rPr>
      </w:pPr>
      <w:r w:rsidRPr="004848F7">
        <w:rPr>
          <w:rFonts w:cstheme="minorHAnsi"/>
          <w:noProof/>
          <w:szCs w:val="24"/>
        </w:rPr>
        <w:lastRenderedPageBreak/>
        <w:drawing>
          <wp:anchor distT="0" distB="0" distL="114300" distR="114300" simplePos="0" relativeHeight="251660288" behindDoc="0" locked="0" layoutInCell="1" allowOverlap="1" wp14:anchorId="0072894C" wp14:editId="4509E6E0">
            <wp:simplePos x="0" y="0"/>
            <wp:positionH relativeFrom="column">
              <wp:posOffset>3413125</wp:posOffset>
            </wp:positionH>
            <wp:positionV relativeFrom="paragraph">
              <wp:posOffset>35560</wp:posOffset>
            </wp:positionV>
            <wp:extent cx="2882900" cy="2821305"/>
            <wp:effectExtent l="0" t="0" r="0" b="0"/>
            <wp:wrapSquare wrapText="bothSides"/>
            <wp:docPr id="612804447" name="Picture 1" descr="ITU staff representation by gender an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ITU staff representation by gender and grade"/>
                    <pic:cNvPicPr/>
                  </pic:nvPicPr>
                  <pic:blipFill rotWithShape="1">
                    <a:blip r:embed="rId39">
                      <a:extLst>
                        <a:ext uri="{28A0092B-C50C-407E-A947-70E740481C1C}">
                          <a14:useLocalDpi xmlns:a14="http://schemas.microsoft.com/office/drawing/2010/main" val="0"/>
                        </a:ext>
                      </a:extLst>
                    </a:blip>
                    <a:srcRect t="6410" b="6633"/>
                    <a:stretch/>
                  </pic:blipFill>
                  <pic:spPr bwMode="auto">
                    <a:xfrm>
                      <a:off x="0" y="0"/>
                      <a:ext cx="2882900" cy="2821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48F7">
        <w:rPr>
          <w:b/>
          <w:bCs/>
        </w:rPr>
        <w:t>3.2</w:t>
      </w:r>
      <w:r w:rsidRPr="004848F7">
        <w:rPr>
          <w:rFonts w:cstheme="minorHAnsi"/>
          <w:b/>
          <w:bCs/>
          <w:szCs w:val="24"/>
        </w:rPr>
        <w:tab/>
      </w:r>
      <w:r w:rsidRPr="004848F7">
        <w:rPr>
          <w:b/>
          <w:bCs/>
        </w:rPr>
        <w:t>Representación en pie de igualdad del personal femenino</w:t>
      </w:r>
      <w:r w:rsidRPr="004848F7">
        <w:t xml:space="preserve">: la UIT </w:t>
      </w:r>
      <w:hyperlink r:id="rId40" w:history="1">
        <w:r w:rsidRPr="004848F7">
          <w:rPr>
            <w:rStyle w:val="Hyperlink"/>
            <w:rFonts w:asciiTheme="minorHAnsi" w:hAnsiTheme="minorHAnsi" w:cstheme="minorBidi"/>
          </w:rPr>
          <w:t>supervisa</w:t>
        </w:r>
      </w:hyperlink>
      <w:r w:rsidRPr="004848F7">
        <w:t xml:space="preserve"> la proporción de las mujeres e informa al respecto a la Estrategia sobre Paridad de Género de las Naciones Unidas y a UN-SWAP. En la UIT, las mujeres siguen estando infrarrepresentadas en puestos directivos y sobrerrepresentadas en servicios generales y en niveles profesionales de entrada (P1 y P2). Las mujeres ocupaban el 30% de los puestos directivos superiores (P5, D1, D2) en 2023, frente a un 31%, ligeramente superior, en 2022. HRMD se compromete a seguir desplegando esfuerzos por atraer talento femenino, en consonancia con el alcance mundial de los Miembros de la UIT.</w:t>
      </w:r>
    </w:p>
    <w:p w14:paraId="4CB10D92" w14:textId="5E0F1E74" w:rsidR="00EE76D1" w:rsidRPr="004848F7" w:rsidRDefault="00EE76D1" w:rsidP="00EE76D1">
      <w:pPr>
        <w:rPr>
          <w:rFonts w:cstheme="minorHAnsi"/>
          <w:szCs w:val="24"/>
        </w:rPr>
      </w:pPr>
      <w:r w:rsidRPr="004848F7">
        <w:rPr>
          <w:rFonts w:cstheme="minorHAnsi"/>
          <w:noProof/>
          <w:szCs w:val="24"/>
        </w:rPr>
        <w:drawing>
          <wp:anchor distT="0" distB="0" distL="114300" distR="114300" simplePos="0" relativeHeight="251661312" behindDoc="0" locked="0" layoutInCell="1" allowOverlap="1" wp14:anchorId="27EAF70B" wp14:editId="7C1433DD">
            <wp:simplePos x="0" y="0"/>
            <wp:positionH relativeFrom="column">
              <wp:posOffset>2560320</wp:posOffset>
            </wp:positionH>
            <wp:positionV relativeFrom="paragraph">
              <wp:posOffset>713740</wp:posOffset>
            </wp:positionV>
            <wp:extent cx="3427730" cy="1257935"/>
            <wp:effectExtent l="0" t="0" r="1270" b="0"/>
            <wp:wrapThrough wrapText="bothSides">
              <wp:wrapPolygon edited="0">
                <wp:start x="0" y="0"/>
                <wp:lineTo x="0" y="21262"/>
                <wp:lineTo x="21488" y="21262"/>
                <wp:lineTo x="21488" y="0"/>
                <wp:lineTo x="0" y="0"/>
              </wp:wrapPolygon>
            </wp:wrapThrough>
            <wp:docPr id="127781663" name="Picture 1" descr="Representation of women in ITU events from 2018-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Representation of women in ITU events from 2018-2024.&#10;"/>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427730" cy="1257935"/>
                    </a:xfrm>
                    <a:prstGeom prst="rect">
                      <a:avLst/>
                    </a:prstGeom>
                  </pic:spPr>
                </pic:pic>
              </a:graphicData>
            </a:graphic>
            <wp14:sizeRelH relativeFrom="margin">
              <wp14:pctWidth>0</wp14:pctWidth>
            </wp14:sizeRelH>
            <wp14:sizeRelV relativeFrom="margin">
              <wp14:pctHeight>0</wp14:pctHeight>
            </wp14:sizeRelV>
          </wp:anchor>
        </w:drawing>
      </w:r>
      <w:r w:rsidRPr="004848F7">
        <w:rPr>
          <w:rFonts w:cstheme="minorHAnsi"/>
          <w:b/>
          <w:bCs/>
          <w:szCs w:val="24"/>
        </w:rPr>
        <w:t>3.2.1</w:t>
      </w:r>
      <w:r w:rsidRPr="004848F7">
        <w:rPr>
          <w:rFonts w:cstheme="minorHAnsi"/>
          <w:b/>
          <w:bCs/>
          <w:szCs w:val="24"/>
        </w:rPr>
        <w:tab/>
        <w:t>Representación equitativa de mujeres delegadas</w:t>
      </w:r>
      <w:r w:rsidRPr="004848F7">
        <w:rPr>
          <w:rFonts w:cstheme="minorHAnsi"/>
          <w:szCs w:val="24"/>
        </w:rPr>
        <w:t xml:space="preserve">: la participación de mujeres en eventos y actividades de la UIT también viene supervisada y notificada mediante el </w:t>
      </w:r>
      <w:hyperlink r:id="rId42" w:history="1">
        <w:r w:rsidRPr="004848F7">
          <w:rPr>
            <w:rStyle w:val="Hyperlink"/>
            <w:rFonts w:asciiTheme="minorHAnsi" w:hAnsiTheme="minorHAnsi" w:cstheme="minorHAnsi"/>
            <w:szCs w:val="24"/>
          </w:rPr>
          <w:t>panel de control de la UIT sobre cuestiones de género</w:t>
        </w:r>
      </w:hyperlink>
      <w:r w:rsidRPr="004848F7">
        <w:rPr>
          <w:rFonts w:cstheme="minorHAnsi"/>
          <w:szCs w:val="24"/>
        </w:rPr>
        <w:t>. Los avances son lentos y se han estancado en los últimos años. El número total de mujeres es ligeramente superior a una tercera parte, valor promedio con respecto a una menor representación en el UIT-R y el UIT-T, sectores de carácter más técnico, al tiempo que el UIT-D y los eventos de la Secretaría General poseen una mayor representación de mujeres</w:t>
      </w:r>
      <w:r w:rsidRPr="004848F7">
        <w:rPr>
          <w:rFonts w:cstheme="minorHAnsi"/>
          <w:noProof/>
          <w:szCs w:val="24"/>
        </w:rPr>
        <w:t>.</w:t>
      </w:r>
    </w:p>
    <w:p w14:paraId="3F62827D" w14:textId="05103397" w:rsidR="00EE76D1" w:rsidRPr="004848F7" w:rsidRDefault="00EE76D1" w:rsidP="00EE76D1">
      <w:pPr>
        <w:rPr>
          <w:rFonts w:cstheme="minorHAnsi"/>
          <w:szCs w:val="24"/>
        </w:rPr>
      </w:pPr>
      <w:bookmarkStart w:id="3" w:name="_Hlk162009123"/>
      <w:r w:rsidRPr="004848F7">
        <w:rPr>
          <w:rFonts w:cstheme="minorHAnsi"/>
          <w:b/>
          <w:bCs/>
          <w:szCs w:val="24"/>
        </w:rPr>
        <w:t>3.3</w:t>
      </w:r>
      <w:r w:rsidRPr="004848F7">
        <w:rPr>
          <w:rFonts w:cstheme="minorHAnsi"/>
          <w:b/>
          <w:bCs/>
          <w:szCs w:val="24"/>
        </w:rPr>
        <w:tab/>
        <w:t>Cultura institucional</w:t>
      </w:r>
      <w:r w:rsidRPr="004848F7">
        <w:rPr>
          <w:rFonts w:cstheme="minorHAnsi"/>
          <w:szCs w:val="24"/>
        </w:rPr>
        <w:t>: contar con un entorno propicio reviste importancia para el bienestar del personal y es primordial para atraer al mejor talento, en particular</w:t>
      </w:r>
      <w:bookmarkEnd w:id="3"/>
      <w:r w:rsidRPr="004848F7">
        <w:rPr>
          <w:rFonts w:cstheme="minorHAnsi"/>
          <w:szCs w:val="24"/>
        </w:rPr>
        <w:t xml:space="preserve"> mujeres que desarrollan su labor en las esferas de las TI y la ingeniería. Las aportaciones y observaciones del personal son esenciales para fortalecer la cultura institucional. La UIT participó en una encuesta de las Naciones Unidas a finales de 2023. Se prevé que una nueva encuesta que se realizará en enero proporcione información sobre las razones por las que el personal abandona la organización, y también está prevista una encuesta al personal más amplia para finales de este año. Se espera que los resultados se incluyan en un plan estratégico más amplio para la transformación de la cultura institucional a fin de fomentar la igualdad de género. La integración de los aspectos de género sigue vigente en la revisión de todas las políticas y prácticas de la UIT. Por ejemplo, la nueva política sobre permiso parental, en consonancia con lo dispuesto en el marco de las Naciones Unidas (Orden de servicio 23/13), permite una distribución más equitativa de las responsabilidades entre ambos progenitores. La Secretaría trata de garantizar que las adquisiciones de la UIT se rijan por prácticas idóneas en materia de integración de los aspectos de género.</w:t>
      </w:r>
    </w:p>
    <w:p w14:paraId="4134D731" w14:textId="77777777" w:rsidR="00EE76D1" w:rsidRPr="004848F7" w:rsidRDefault="00EE76D1" w:rsidP="00EE76D1">
      <w:r w:rsidRPr="004848F7">
        <w:rPr>
          <w:b/>
          <w:bCs/>
        </w:rPr>
        <w:t>3.4</w:t>
      </w:r>
      <w:r w:rsidRPr="004848F7">
        <w:rPr>
          <w:b/>
          <w:bCs/>
        </w:rPr>
        <w:tab/>
        <w:t>Evaluación y desarrollo de capacidad institucional</w:t>
      </w:r>
      <w:r w:rsidRPr="004848F7">
        <w:t xml:space="preserve">: la UIT llevó a cabo su primera evaluación de la capacidad en materia de cuestiones de género en enero, labor que servirá de base para elaborar un nuevo plan de capacitación del personal. Se han desplegado actividades más amplias de capacitación que incluyen tres nuevas formaciones en línea de autoaprendizaje, tanto para los miembros del personal como para un público más amplio. En </w:t>
      </w:r>
      <w:r w:rsidRPr="004848F7">
        <w:lastRenderedPageBreak/>
        <w:t xml:space="preserve">marzo, con motivo del Día Internacional de la Mujer, se efectuó un </w:t>
      </w:r>
      <w:hyperlink r:id="rId43" w:history="1">
        <w:r w:rsidRPr="004848F7">
          <w:rPr>
            <w:rStyle w:val="Hyperlink"/>
            <w:rFonts w:asciiTheme="minorHAnsi" w:hAnsiTheme="minorHAnsi" w:cstheme="minorHAnsi"/>
            <w:szCs w:val="24"/>
          </w:rPr>
          <w:t>análisis de cuestiones de género para la inclusión digital</w:t>
        </w:r>
      </w:hyperlink>
      <w:r w:rsidRPr="004848F7">
        <w:t xml:space="preserve">. También se organizó un curso sobre </w:t>
      </w:r>
      <w:hyperlink r:id="rId44" w:history="1">
        <w:r w:rsidRPr="004848F7">
          <w:rPr>
            <w:rStyle w:val="Hyperlink"/>
            <w:rFonts w:asciiTheme="minorHAnsi" w:hAnsiTheme="minorHAnsi" w:cstheme="minorHAnsi"/>
            <w:szCs w:val="24"/>
          </w:rPr>
          <w:t>iniciativa empresarial ecológica y digital destinada a mujeres</w:t>
        </w:r>
      </w:hyperlink>
      <w:r w:rsidRPr="004848F7">
        <w:t xml:space="preserve">, así como formación complementaria relativa al </w:t>
      </w:r>
      <w:hyperlink r:id="rId45">
        <w:r w:rsidRPr="004848F7">
          <w:rPr>
            <w:rStyle w:val="Hyperlink"/>
            <w:rFonts w:asciiTheme="minorHAnsi" w:hAnsiTheme="minorHAnsi" w:cstheme="minorHAnsi"/>
            <w:szCs w:val="24"/>
          </w:rPr>
          <w:t>Manual sobre incorporación de las cuestiones de género a las políticas digitales</w:t>
        </w:r>
      </w:hyperlink>
      <w:r w:rsidRPr="004848F7">
        <w:t>, cuyo objetivo es facilitar la inclusión de los aspectos sobre igualdad de género en la formulación de políticas. Se puede acceder a las actividades de formación en el marco de la Academia de la UIT.</w:t>
      </w:r>
    </w:p>
    <w:p w14:paraId="23304E37" w14:textId="77777777" w:rsidR="00EE76D1" w:rsidRPr="004848F7" w:rsidRDefault="00EE76D1" w:rsidP="00EE76D1">
      <w:r w:rsidRPr="004848F7">
        <w:rPr>
          <w:b/>
          <w:bCs/>
        </w:rPr>
        <w:t>3.5</w:t>
      </w:r>
      <w:r w:rsidRPr="004848F7">
        <w:tab/>
      </w:r>
      <w:r w:rsidRPr="004848F7">
        <w:rPr>
          <w:b/>
          <w:bCs/>
        </w:rPr>
        <w:t>Estructura de las actividades sobre cuestiones de género y asignación de recursos financieros</w:t>
      </w:r>
      <w:r w:rsidRPr="004848F7">
        <w:t xml:space="preserve">: a tenor de lo dispuesto en el Acuerdo 631 del Consejo, la UIT ha establecido una </w:t>
      </w:r>
      <w:r w:rsidRPr="004848F7">
        <w:rPr>
          <w:b/>
          <w:bCs/>
        </w:rPr>
        <w:t>dependencia funcional para abordar aspectos sobre igualdad de género en el marco de la Oficina Ejecutiva de la Secretaria General</w:t>
      </w:r>
      <w:r w:rsidRPr="004848F7">
        <w:t>. En nuestra presentación UN-SWAP 2023, se reseña que menos del 1% de los ingresos totales de la UIT se asignan a abordar aspectos sobre igualdad de género. Es necesario contar con recursos adicionales para cumplir plenamente el mandato de la UIT sobre cuestiones de igualdad de género. Conforme a las prácticas idóneas de las Naciones Unidas, la UIT desea establecer un nivel de referencia en cuanto a los fondos destinados a abordar y cumplir el mandato de la UIT en materia de igualdad de género, que se supervisará en el marco de los informes UN-SWAP.</w:t>
      </w:r>
    </w:p>
    <w:p w14:paraId="0F355E8A" w14:textId="4C65DDD8" w:rsidR="00EE76D1" w:rsidRPr="004848F7" w:rsidRDefault="00EE76D1" w:rsidP="00EE76D1">
      <w:r w:rsidRPr="004848F7">
        <w:rPr>
          <w:b/>
          <w:bCs/>
        </w:rPr>
        <w:t>3.6</w:t>
      </w:r>
      <w:r w:rsidRPr="004848F7">
        <w:rPr>
          <w:rFonts w:cstheme="minorHAnsi"/>
          <w:b/>
          <w:bCs/>
          <w:szCs w:val="24"/>
        </w:rPr>
        <w:tab/>
      </w:r>
      <w:r w:rsidRPr="004848F7">
        <w:rPr>
          <w:b/>
          <w:bCs/>
        </w:rPr>
        <w:t>Presentación de informes y ONU-SWAP</w:t>
      </w:r>
      <w:r w:rsidRPr="004848F7">
        <w:t>: El Plan de Acción para el sistema de las Naciones Unidas sobre igualdad de género y empoderamiento de la mujer (</w:t>
      </w:r>
      <w:hyperlink r:id="rId46" w:history="1">
        <w:r w:rsidRPr="004848F7">
          <w:rPr>
            <w:rStyle w:val="Hyperlink"/>
          </w:rPr>
          <w:t>ONU-SWAP</w:t>
        </w:r>
      </w:hyperlink>
      <w:r w:rsidRPr="004848F7">
        <w:t>) es el marco de rendición de cuentas aplicable a todos los organismos de las Naciones Unidas, con objeto de evaluar y supervisar un conjunto común de normas de igualdad de género, y lograr avances al respecto. Pese a la visión política de la UIT como "organización modelo para fomentar la igualdad de género" y lo establecido en la Resolución 70 para facilitar el pleno cumplimiento del ONU-SWAP, la UIT podría adoptar medidas más eficaces en materia de igualdad de género. El informe de la UIT sobre el cumplimiento del ONU-SWAP en 2022 refleja un 47% de cumplimiento, valor sustancialmente inferior a la media general en el sistema de las Naciones Unidas, que es del 74%</w:t>
      </w:r>
      <w:r w:rsidRPr="004848F7">
        <w:rPr>
          <w:rStyle w:val="FootnoteReference"/>
        </w:rPr>
        <w:footnoteReference w:id="2"/>
      </w:r>
      <w:r w:rsidRPr="004848F7">
        <w:t>. En 2024, la UIT espera registrar avances adicionales para "cumplir" los requisitos en cuanto a actividades de auditoría, evaluación de capacidad y cultura institucional.</w:t>
      </w:r>
    </w:p>
    <w:p w14:paraId="0D787D59" w14:textId="77777777" w:rsidR="00EE76D1" w:rsidRPr="004848F7" w:rsidRDefault="00EE76D1" w:rsidP="00EE76D1">
      <w:pPr>
        <w:rPr>
          <w:rFonts w:cstheme="minorHAnsi"/>
          <w:szCs w:val="24"/>
        </w:rPr>
      </w:pPr>
      <w:r w:rsidRPr="004848F7">
        <w:rPr>
          <w:rFonts w:cstheme="minorHAnsi"/>
          <w:b/>
          <w:bCs/>
          <w:szCs w:val="24"/>
        </w:rPr>
        <w:t>3.7</w:t>
      </w:r>
      <w:r w:rsidRPr="004848F7">
        <w:rPr>
          <w:rFonts w:cstheme="minorHAnsi"/>
          <w:b/>
          <w:bCs/>
          <w:szCs w:val="24"/>
        </w:rPr>
        <w:tab/>
        <w:t>Mayores requisitos y ONU-SWAP 3.0</w:t>
      </w:r>
      <w:r w:rsidRPr="004848F7">
        <w:rPr>
          <w:rFonts w:cstheme="minorHAnsi"/>
          <w:szCs w:val="24"/>
        </w:rPr>
        <w:t xml:space="preserve">: en marzo, el Secretario General de las Naciones Unidas, António Guterres, presentó un </w:t>
      </w:r>
      <w:hyperlink r:id="rId47" w:history="1">
        <w:r w:rsidRPr="004848F7">
          <w:rPr>
            <w:rStyle w:val="Hyperlink"/>
            <w:rFonts w:asciiTheme="minorHAnsi" w:hAnsiTheme="minorHAnsi" w:cstheme="minorHAnsi"/>
            <w:szCs w:val="24"/>
          </w:rPr>
          <w:t xml:space="preserve">nuevo Plan </w:t>
        </w:r>
        <w:r w:rsidRPr="004848F7">
          <w:rPr>
            <w:rStyle w:val="Hyperlink"/>
          </w:rPr>
          <w:t>para fomentar</w:t>
        </w:r>
        <w:r w:rsidRPr="004848F7">
          <w:rPr>
            <w:rStyle w:val="Hyperlink"/>
            <w:rFonts w:asciiTheme="minorHAnsi" w:hAnsiTheme="minorHAnsi" w:cstheme="minorHAnsi"/>
            <w:szCs w:val="24"/>
          </w:rPr>
          <w:t xml:space="preserve"> la igualdad de género en el sistema de las Naciones Unidas</w:t>
        </w:r>
      </w:hyperlink>
      <w:r w:rsidRPr="004848F7">
        <w:rPr>
          <w:rFonts w:cstheme="minorHAnsi"/>
          <w:szCs w:val="24"/>
        </w:rPr>
        <w:t>, destinado a mejorar el empoderamiento de mujeres y niñas en todo el mundo. La iniciativa hace hincapié en promover inversiones que redunden en beneficio de mujeres y niñas para facilitar avances y propiciar un mundo mejor, y se compromete a hacer hincapié en las mujeres y las niñas en relación con todos los aspectos de la labor de la ONU. Cabe prever que ello permita establecer nuevos requisitos para un ONU-SWAP 3.0 actualizado.</w:t>
      </w:r>
    </w:p>
    <w:p w14:paraId="626D6F0F" w14:textId="77777777" w:rsidR="00EE76D1" w:rsidRPr="004848F7" w:rsidRDefault="00EE76D1" w:rsidP="002D7C34">
      <w:pPr>
        <w:pStyle w:val="Heading1"/>
      </w:pPr>
      <w:r w:rsidRPr="004848F7">
        <w:t>4</w:t>
      </w:r>
      <w:r w:rsidRPr="004848F7">
        <w:tab/>
        <w:t>Medidas futuras</w:t>
      </w:r>
    </w:p>
    <w:p w14:paraId="1B4A8757" w14:textId="7AFC87D3" w:rsidR="00EE76D1" w:rsidRPr="004848F7" w:rsidRDefault="00EE76D1" w:rsidP="002D7C34">
      <w:r w:rsidRPr="004848F7">
        <w:t xml:space="preserve">La reducción de la brecha digital en materia de género y el cumplimiento del mandato de la UIT en favor de la igualdad de género en un entorno digital cada vez más generalizado </w:t>
      </w:r>
      <w:r w:rsidRPr="004848F7">
        <w:lastRenderedPageBreak/>
        <w:t>requieren esfuerzos concertados de la UIT y sus miembros. La Secretaría subraya la necesidad de lograr un enfoque de "Una UIT" con mayor dotación de recursos.</w:t>
      </w:r>
    </w:p>
    <w:p w14:paraId="1536D5DF" w14:textId="77777777" w:rsidR="00EE76D1" w:rsidRPr="004848F7" w:rsidRDefault="00EE76D1" w:rsidP="002D7C34">
      <w:r w:rsidRPr="004848F7">
        <w:t>Los Estados Miembros pueden contribuir voluntariamente al ofrecer recursos financieros y de personal para fortalecer la labor de la UIT en favor de la igualdad de género, en aras de un futuro digital más equitativo e inclusivo para todos.</w:t>
      </w:r>
    </w:p>
    <w:p w14:paraId="73B78781" w14:textId="77777777" w:rsidR="00EE76D1" w:rsidRPr="004848F7" w:rsidRDefault="00EE76D1" w:rsidP="002D7C34">
      <w:pPr>
        <w:spacing w:before="1080"/>
        <w:rPr>
          <w:b/>
          <w:bCs/>
          <w:i/>
          <w:iCs/>
        </w:rPr>
      </w:pPr>
      <w:r w:rsidRPr="004848F7">
        <w:rPr>
          <w:b/>
          <w:bCs/>
          <w:i/>
          <w:iCs/>
        </w:rPr>
        <w:t>Anexo: 1</w:t>
      </w:r>
    </w:p>
    <w:p w14:paraId="62D6423E" w14:textId="77777777" w:rsidR="00EE76D1" w:rsidRPr="004848F7" w:rsidRDefault="00EE76D1" w:rsidP="00EE76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i/>
          <w:iCs/>
          <w:szCs w:val="24"/>
        </w:rPr>
      </w:pPr>
      <w:r w:rsidRPr="004848F7">
        <w:rPr>
          <w:rFonts w:asciiTheme="minorHAnsi" w:hAnsiTheme="minorHAnsi" w:cstheme="minorHAnsi"/>
          <w:b/>
          <w:bCs/>
          <w:i/>
          <w:iCs/>
          <w:szCs w:val="24"/>
        </w:rPr>
        <w:br w:type="page"/>
      </w:r>
    </w:p>
    <w:p w14:paraId="50B83165" w14:textId="77777777" w:rsidR="00EE76D1" w:rsidRPr="004848F7" w:rsidRDefault="00EE76D1" w:rsidP="00EE76D1">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b/>
          <w:bCs/>
          <w:i/>
          <w:iCs/>
          <w:szCs w:val="24"/>
        </w:rPr>
        <w:sectPr w:rsidR="00EE76D1" w:rsidRPr="004848F7" w:rsidSect="00CD2C64">
          <w:footerReference w:type="default" r:id="rId48"/>
          <w:headerReference w:type="first" r:id="rId49"/>
          <w:footerReference w:type="first" r:id="rId50"/>
          <w:pgSz w:w="11907" w:h="16834"/>
          <w:pgMar w:top="1418" w:right="1418" w:bottom="1418" w:left="1418" w:header="720" w:footer="720" w:gutter="0"/>
          <w:paperSrc w:first="286" w:other="286"/>
          <w:cols w:space="720"/>
          <w:titlePg/>
        </w:sectPr>
      </w:pPr>
    </w:p>
    <w:p w14:paraId="454BC69C" w14:textId="77777777" w:rsidR="00EE76D1" w:rsidRPr="004848F7" w:rsidRDefault="00EE76D1" w:rsidP="002D7C34">
      <w:pPr>
        <w:pStyle w:val="AnnexNo"/>
      </w:pPr>
      <w:bookmarkStart w:id="4" w:name="Annex"/>
      <w:r w:rsidRPr="004848F7">
        <w:lastRenderedPageBreak/>
        <w:t>Anexo</w:t>
      </w:r>
      <w:bookmarkEnd w:id="4"/>
    </w:p>
    <w:p w14:paraId="070F1D20" w14:textId="77777777" w:rsidR="00EE76D1" w:rsidRPr="004848F7" w:rsidRDefault="00EE76D1" w:rsidP="002D7C34">
      <w:pPr>
        <w:pStyle w:val="Annextitle"/>
        <w:rPr>
          <w:rFonts w:eastAsia="SimSun"/>
        </w:rPr>
      </w:pPr>
      <w:bookmarkStart w:id="5" w:name="_Hlk41550178"/>
      <w:r w:rsidRPr="004848F7">
        <w:rPr>
          <w:rFonts w:eastAsia="SimSun"/>
        </w:rPr>
        <w:t>UNIÓN INTERNACIONAL DE TELECOMUNICACIONES</w:t>
      </w:r>
    </w:p>
    <w:p w14:paraId="69DD0EEB" w14:textId="6C09C17F" w:rsidR="00EE76D1" w:rsidRPr="004848F7" w:rsidRDefault="00EE76D1" w:rsidP="00EE76D1">
      <w:pPr>
        <w:tabs>
          <w:tab w:val="clear" w:pos="567"/>
          <w:tab w:val="clear" w:pos="1134"/>
          <w:tab w:val="clear" w:pos="1701"/>
          <w:tab w:val="clear" w:pos="2268"/>
          <w:tab w:val="clear" w:pos="2835"/>
          <w:tab w:val="left" w:pos="794"/>
          <w:tab w:val="left" w:pos="1191"/>
          <w:tab w:val="left" w:pos="1588"/>
          <w:tab w:val="left" w:pos="1985"/>
        </w:tabs>
        <w:spacing w:before="0"/>
        <w:ind w:left="360" w:right="-720"/>
        <w:rPr>
          <w:rFonts w:eastAsia="SimSun" w:cs="Calibri"/>
          <w:sz w:val="22"/>
          <w:szCs w:val="22"/>
        </w:rPr>
      </w:pPr>
      <w:bookmarkStart w:id="6" w:name="dstart"/>
      <w:bookmarkStart w:id="7" w:name="dbreak"/>
      <w:bookmarkEnd w:id="6"/>
      <w:bookmarkEnd w:id="7"/>
      <w:r w:rsidRPr="004848F7">
        <w:rPr>
          <w:rFonts w:eastAsia="SimSun" w:cs="Calibri"/>
          <w:sz w:val="22"/>
          <w:szCs w:val="22"/>
        </w:rPr>
        <w:t>_____________________________________________________________________________</w:t>
      </w:r>
    </w:p>
    <w:bookmarkEnd w:id="5"/>
    <w:p w14:paraId="60923359" w14:textId="44F39A1F" w:rsidR="00EE76D1" w:rsidRPr="004848F7" w:rsidRDefault="00EE76D1" w:rsidP="002D7C34">
      <w:pPr>
        <w:pStyle w:val="Annextitle"/>
        <w:rPr>
          <w:color w:val="000000"/>
        </w:rPr>
      </w:pPr>
      <w:r w:rsidRPr="004848F7">
        <w:t>Igualdad de género e integración de aspectos del mismo (GEM) en la UIT</w:t>
      </w:r>
      <w:r w:rsidRPr="004848F7">
        <w:br/>
        <w:t>Plan de aplicación 2024-2025</w:t>
      </w:r>
    </w:p>
    <w:p w14:paraId="63C8BF56" w14:textId="77777777" w:rsidR="00EE76D1" w:rsidRPr="004848F7" w:rsidRDefault="00EE76D1" w:rsidP="002D7C34">
      <w:pPr>
        <w:jc w:val="center"/>
      </w:pPr>
      <w:r w:rsidRPr="004848F7">
        <w:t>Actualización a abril de 2024</w:t>
      </w:r>
    </w:p>
    <w:p w14:paraId="27613690" w14:textId="6F269515" w:rsidR="00EE76D1" w:rsidRPr="004848F7" w:rsidRDefault="00EE76D1" w:rsidP="002D7C34">
      <w:r w:rsidRPr="004848F7">
        <w:t xml:space="preserve">El mandato de la UIT sobre </w:t>
      </w:r>
      <w:r w:rsidRPr="004848F7">
        <w:rPr>
          <w:b/>
          <w:bCs/>
          <w:i/>
          <w:iCs/>
        </w:rPr>
        <w:t xml:space="preserve">igualdad de género e integración de aspectos del mismo </w:t>
      </w:r>
      <w:r w:rsidRPr="004848F7">
        <w:t xml:space="preserve">figura en numerosas </w:t>
      </w:r>
      <w:r w:rsidRPr="004848F7">
        <w:footnoteReference w:customMarkFollows="1" w:id="3"/>
        <w:t>Resoluciones de órganos rectores</w:t>
      </w:r>
      <w:r w:rsidR="004475C7" w:rsidRPr="004848F7">
        <w:rPr>
          <w:rStyle w:val="FootnoteReference"/>
        </w:rPr>
        <w:footnoteReference w:customMarkFollows="1" w:id="4"/>
        <w:t>1</w:t>
      </w:r>
      <w:r w:rsidRPr="004848F7">
        <w:t xml:space="preserve"> y en diversas directrices de gobernanza. En el presente documento se presenta una estrategia híbrida y un plan de aplicación en consonancia con las directrices GEM y los principios de la Política</w:t>
      </w:r>
      <w:r w:rsidR="004475C7" w:rsidRPr="004848F7">
        <w:rPr>
          <w:rStyle w:val="FootnoteReference"/>
        </w:rPr>
        <w:footnoteReference w:customMarkFollows="1" w:id="5"/>
        <w:t>2</w:t>
      </w:r>
      <w:r w:rsidRPr="004848F7">
        <w:t xml:space="preserve"> sobre igualdad de género e integración de aspectos del mismo (GEM) (aprobada por el Consejo en 2022), a fin de facilitar tareas y procesos viables. Habida cuenta de que la UIT debe cumplir</w:t>
      </w:r>
      <w:r w:rsidR="004475C7" w:rsidRPr="004848F7">
        <w:rPr>
          <w:rStyle w:val="FootnoteReference"/>
        </w:rPr>
        <w:footnoteReference w:customMarkFollows="1" w:id="6"/>
        <w:t>3</w:t>
      </w:r>
      <w:r w:rsidRPr="004848F7">
        <w:rPr>
          <w:rStyle w:val="FootnoteReference"/>
          <w:color w:val="000000"/>
          <w:szCs w:val="22"/>
        </w:rPr>
        <w:t xml:space="preserve"> </w:t>
      </w:r>
      <w:r w:rsidRPr="004848F7">
        <w:t xml:space="preserve">lo establecido en el marco del Plan </w:t>
      </w:r>
      <w:hyperlink r:id="rId51">
        <w:r w:rsidRPr="004848F7">
          <w:rPr>
            <w:color w:val="0563C1"/>
            <w:u w:val="single"/>
          </w:rPr>
          <w:t>ONU-SWAP</w:t>
        </w:r>
      </w:hyperlink>
      <w:r w:rsidRPr="004848F7">
        <w:t xml:space="preserve"> (</w:t>
      </w:r>
      <w:r w:rsidRPr="004848F7">
        <w:rPr>
          <w:b/>
          <w:bCs/>
          <w:i/>
          <w:iCs/>
        </w:rPr>
        <w:t xml:space="preserve">marco de rendición de cuentas </w:t>
      </w:r>
      <w:r w:rsidRPr="004848F7">
        <w:t>para la integración de cuestiones sobre igualdad de género y empoderamiento de la mujer en el sistema de las Naciones Unidas), el citado Plan se rige por 17 indicadores de rendimiento del marco ONU</w:t>
      </w:r>
      <w:r w:rsidR="004475C7" w:rsidRPr="004848F7">
        <w:noBreakHyphen/>
      </w:r>
      <w:r w:rsidRPr="004848F7">
        <w:t xml:space="preserve">SWAP. Es necesario concertar esfuerzos de forma ininterrumpida con objeto de </w:t>
      </w:r>
      <w:r w:rsidRPr="004848F7">
        <w:rPr>
          <w:b/>
          <w:bCs/>
          <w:i/>
          <w:iCs/>
        </w:rPr>
        <w:t xml:space="preserve">lograr avances </w:t>
      </w:r>
      <w:r w:rsidRPr="004848F7">
        <w:t xml:space="preserve">y </w:t>
      </w:r>
      <w:r w:rsidRPr="004848F7">
        <w:rPr>
          <w:b/>
          <w:bCs/>
          <w:i/>
          <w:iCs/>
        </w:rPr>
        <w:t xml:space="preserve">garantizar </w:t>
      </w:r>
      <w:r w:rsidRPr="004848F7">
        <w:t>el cumplimiento de la UIT, a fin de evitar que se menoscaben los logros de la UIT y su nivel general de cumplimiento.</w:t>
      </w:r>
    </w:p>
    <w:p w14:paraId="5776F080" w14:textId="45BF78E3" w:rsidR="00EE76D1" w:rsidRPr="004848F7" w:rsidRDefault="00EE76D1" w:rsidP="002D7C34">
      <w:r w:rsidRPr="004848F7">
        <w:t xml:space="preserve">El Plan se estableció conjuntamente con el Grupo Especial sobre Cuestiones de Género (GTF) y los encargados del ONU-SWAP de toda la organización, y abarca las actividades de la UIT relacionadas con cuestiones de género. La aplicación satisfactoria de las actividades GEM requiere el apoyo, el compromiso y la participación sin fisuras de todo el personal. Dicho Plan es un </w:t>
      </w:r>
      <w:r w:rsidRPr="004848F7">
        <w:rPr>
          <w:b/>
          <w:bCs/>
          <w:i/>
          <w:iCs/>
        </w:rPr>
        <w:t>documento evolutivo</w:t>
      </w:r>
      <w:r w:rsidRPr="004848F7">
        <w:t xml:space="preserve"> sujeto a supervisión, mejoras continuas y actualizaciones periódicas.</w:t>
      </w:r>
    </w:p>
    <w:p w14:paraId="08F55591" w14:textId="5D8D7149" w:rsidR="00EE76D1" w:rsidRPr="004848F7" w:rsidRDefault="00EE76D1" w:rsidP="002D7C34">
      <w:r w:rsidRPr="004848F7">
        <w:t xml:space="preserve">Al final del documento figuran los resultados previos de la UIT en el marco ONU-SWAP, incluida una representación visual del </w:t>
      </w:r>
      <w:r w:rsidRPr="004848F7">
        <w:rPr>
          <w:i/>
          <w:iCs/>
        </w:rPr>
        <w:t>Baremo de resultados sobre eficacia de las actividades sobre género (</w:t>
      </w:r>
      <w:r w:rsidRPr="004848F7">
        <w:t>GRES) para facilitar la distinción de cada tipo de resultado y orientar los esfuerzos de la UIT con objeto de que pase a ser una organización transformadora en términos de igualdad de género.</w:t>
      </w:r>
    </w:p>
    <w:p w14:paraId="46E040D7" w14:textId="20B1E6F9" w:rsidR="00EE76D1" w:rsidRPr="004848F7" w:rsidRDefault="00EE76D1" w:rsidP="002D7C34">
      <w:pPr>
        <w:pStyle w:val="Heading1"/>
        <w:rPr>
          <w:i/>
          <w:iCs/>
          <w:u w:val="single"/>
        </w:rPr>
      </w:pPr>
      <w:r w:rsidRPr="004848F7">
        <w:rPr>
          <w:i/>
          <w:iCs/>
          <w:u w:val="single"/>
        </w:rPr>
        <w:lastRenderedPageBreak/>
        <w:t>I</w:t>
      </w:r>
      <w:r w:rsidRPr="004848F7">
        <w:rPr>
          <w:i/>
          <w:iCs/>
          <w:u w:val="single"/>
        </w:rPr>
        <w:tab/>
        <w:t>Resultados relativos a los ODS y a cuestiones de género</w:t>
      </w:r>
    </w:p>
    <w:p w14:paraId="2424558B" w14:textId="649716E7" w:rsidR="00EE76D1" w:rsidRPr="004848F7" w:rsidRDefault="002D7C34" w:rsidP="002D7C34">
      <w:pPr>
        <w:pStyle w:val="Heading1"/>
        <w:rPr>
          <w:rFonts w:eastAsia="SimSun" w:cs="Arial"/>
          <w:lang w:eastAsia="zh-CN"/>
        </w:rPr>
      </w:pPr>
      <w:r w:rsidRPr="004848F7">
        <w:rPr>
          <w:lang w:eastAsia="zh-CN"/>
        </w:rPr>
        <w:t>1</w:t>
      </w:r>
      <w:r w:rsidRPr="004848F7">
        <w:rPr>
          <w:lang w:eastAsia="zh-CN"/>
        </w:rPr>
        <w:tab/>
      </w:r>
      <w:r w:rsidR="00EE76D1" w:rsidRPr="004848F7">
        <w:rPr>
          <w:lang w:eastAsia="zh-CN"/>
        </w:rPr>
        <w:t>Planificación estratégica sobre los resultados de los ODS relacionados con cuestiones de género</w:t>
      </w:r>
      <w:r w:rsidR="00594349" w:rsidRPr="004848F7">
        <w:rPr>
          <w:rFonts w:ascii="Times New Roman" w:eastAsia="SimSun" w:hAnsi="Times New Roman" w:cs="Arial"/>
          <w:lang w:eastAsia="zh-CN"/>
        </w:rPr>
        <w:br/>
      </w:r>
      <w:r w:rsidR="00EE76D1" w:rsidRPr="004848F7">
        <w:rPr>
          <w:rFonts w:eastAsia="SimSun" w:cs="Arial"/>
          <w:lang w:eastAsia="zh-CN"/>
        </w:rPr>
        <w:t>Situación en 2023: cumplimiento casi íntegro de requisitos</w:t>
      </w:r>
    </w:p>
    <w:p w14:paraId="20F27C61" w14:textId="38228B41" w:rsidR="00EE76D1" w:rsidRPr="004848F7" w:rsidRDefault="00EE76D1" w:rsidP="002D7C34">
      <w:pPr>
        <w:rPr>
          <w:rFonts w:eastAsia="SimSun"/>
        </w:rPr>
      </w:pPr>
      <w:r w:rsidRPr="004848F7">
        <w:rPr>
          <w:rFonts w:eastAsia="SimSun"/>
        </w:rPr>
        <w:t xml:space="preserve">Con objeto de cumplir este </w:t>
      </w:r>
      <w:hyperlink r:id="rId52">
        <w:r w:rsidRPr="004848F7">
          <w:rPr>
            <w:rStyle w:val="Hyperlink"/>
            <w:rFonts w:eastAsia="SimSun"/>
          </w:rPr>
          <w:t>indicador de rendimiento ONU-SWAP</w:t>
        </w:r>
      </w:hyperlink>
      <w:r w:rsidRPr="004848F7">
        <w:rPr>
          <w:rFonts w:eastAsia="SimSun"/>
        </w:rPr>
        <w:t>, la UIT precisa una declaración sobre los resultados de una entidad de alto nivel en materia de igualdad de género y empoderamiento de las mujeres en el principal documento de planificación estratégica que contribuya a alcanzar las metas relativas a los Objetivos de Desarrollo Sostenible (ODS) de las Naciones Unidas para 2030, en particular el ODS 5 (metas de igualdad de género). Son necesarias pruebas adecuadas acerca del cumplimiento del resultado de alto nivel, o que se prevé cumplirlo. Por otro lado, la UIT ha de demostrar, al tiempo que hace un seguimiento de la consecución de los resultados, su contribución a las metas del ODS 5. Para satisfacer este requisito, la UIT debe incluir un resultado transformador de alto nivel sobre igualdad de género y empoderamiento de la mujer en el documento principal de planificación estratégica.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2"/>
        <w:gridCol w:w="1448"/>
        <w:gridCol w:w="1151"/>
      </w:tblGrid>
      <w:tr w:rsidR="002D7C34" w:rsidRPr="004848F7" w14:paraId="21491005" w14:textId="77777777" w:rsidTr="002D7C34">
        <w:tc>
          <w:tcPr>
            <w:tcW w:w="6472" w:type="dxa"/>
          </w:tcPr>
          <w:p w14:paraId="628A5B86" w14:textId="7AF4F5D4" w:rsidR="002D7C34" w:rsidRPr="004848F7" w:rsidRDefault="002D7C34" w:rsidP="002D7C34">
            <w:pPr>
              <w:rPr>
                <w:rFonts w:eastAsia="SimSun"/>
                <w:u w:val="single"/>
              </w:rPr>
            </w:pPr>
            <w:r w:rsidRPr="004848F7">
              <w:rPr>
                <w:u w:val="single"/>
              </w:rPr>
              <w:t>Productos</w:t>
            </w:r>
          </w:p>
        </w:tc>
        <w:tc>
          <w:tcPr>
            <w:tcW w:w="1448" w:type="dxa"/>
          </w:tcPr>
          <w:p w14:paraId="70E60130" w14:textId="0BC1E25C" w:rsidR="002D7C34" w:rsidRPr="004848F7" w:rsidRDefault="002D7C34" w:rsidP="002D7C34">
            <w:pPr>
              <w:jc w:val="center"/>
              <w:rPr>
                <w:rFonts w:eastAsia="SimSun"/>
                <w:u w:val="single"/>
              </w:rPr>
            </w:pPr>
            <w:r w:rsidRPr="004848F7">
              <w:rPr>
                <w:u w:val="single"/>
              </w:rPr>
              <w:t>Responsable</w:t>
            </w:r>
          </w:p>
        </w:tc>
        <w:tc>
          <w:tcPr>
            <w:tcW w:w="1151" w:type="dxa"/>
          </w:tcPr>
          <w:p w14:paraId="42C882A7" w14:textId="50709505" w:rsidR="002D7C34" w:rsidRPr="004848F7" w:rsidRDefault="002D7C34" w:rsidP="002D7C34">
            <w:pPr>
              <w:jc w:val="right"/>
              <w:rPr>
                <w:rFonts w:eastAsia="SimSun"/>
                <w:u w:val="single"/>
              </w:rPr>
            </w:pPr>
            <w:r w:rsidRPr="004848F7">
              <w:rPr>
                <w:u w:val="single"/>
              </w:rPr>
              <w:t>Plazo</w:t>
            </w:r>
          </w:p>
        </w:tc>
      </w:tr>
      <w:tr w:rsidR="002D7C34" w:rsidRPr="004848F7" w14:paraId="57F7792C" w14:textId="77777777" w:rsidTr="002D7C34">
        <w:tc>
          <w:tcPr>
            <w:tcW w:w="6472" w:type="dxa"/>
          </w:tcPr>
          <w:p w14:paraId="0AF85102" w14:textId="09204789" w:rsidR="002D7C34" w:rsidRPr="004848F7" w:rsidRDefault="002D7C34" w:rsidP="002D7C34">
            <w:pPr>
              <w:rPr>
                <w:rFonts w:eastAsia="SimSun"/>
              </w:rPr>
            </w:pPr>
            <w:r w:rsidRPr="004848F7">
              <w:rPr>
                <w:lang w:eastAsia="zh-CN"/>
              </w:rPr>
              <w:t>1.1</w:t>
            </w:r>
            <w:r w:rsidRPr="004848F7">
              <w:rPr>
                <w:lang w:eastAsia="zh-CN"/>
              </w:rPr>
              <w:tab/>
              <w:t xml:space="preserve">Resultados de alto nivel sobre cuestiones de género y ODS 5 en el </w:t>
            </w:r>
            <w:hyperlink r:id="rId53" w:history="1">
              <w:r w:rsidRPr="004848F7">
                <w:rPr>
                  <w:color w:val="0563C1"/>
                  <w:lang w:eastAsia="zh-CN"/>
                </w:rPr>
                <w:t>Plan Estratégico 2024-27</w:t>
              </w:r>
            </w:hyperlink>
            <w:r w:rsidRPr="004848F7">
              <w:rPr>
                <w:lang w:eastAsia="zh-CN"/>
              </w:rPr>
              <w:t xml:space="preserve"> (págs. 367-368)</w:t>
            </w:r>
          </w:p>
        </w:tc>
        <w:tc>
          <w:tcPr>
            <w:tcW w:w="1448" w:type="dxa"/>
          </w:tcPr>
          <w:p w14:paraId="73486E40" w14:textId="144DCB90" w:rsidR="002D7C34" w:rsidRPr="004848F7" w:rsidRDefault="002D7C34" w:rsidP="002D7C34">
            <w:pPr>
              <w:jc w:val="center"/>
              <w:rPr>
                <w:rFonts w:eastAsia="SimSun"/>
              </w:rPr>
            </w:pPr>
            <w:r w:rsidRPr="004848F7">
              <w:rPr>
                <w:lang w:eastAsia="zh-CN"/>
              </w:rPr>
              <w:t>SG/SPM</w:t>
            </w:r>
          </w:p>
        </w:tc>
        <w:tc>
          <w:tcPr>
            <w:tcW w:w="1151" w:type="dxa"/>
          </w:tcPr>
          <w:p w14:paraId="3CBA73C1" w14:textId="6016F958" w:rsidR="002D7C34" w:rsidRPr="004848F7" w:rsidRDefault="002D7C34" w:rsidP="002D7C34">
            <w:pPr>
              <w:jc w:val="right"/>
              <w:rPr>
                <w:rFonts w:eastAsia="SimSun"/>
              </w:rPr>
            </w:pPr>
            <w:r w:rsidRPr="004848F7">
              <w:rPr>
                <w:lang w:eastAsia="zh-CN"/>
              </w:rPr>
              <w:t>Cumplido</w:t>
            </w:r>
          </w:p>
        </w:tc>
      </w:tr>
      <w:tr w:rsidR="002D7C34" w:rsidRPr="004848F7" w14:paraId="2DC6747D" w14:textId="77777777" w:rsidTr="002D7C34">
        <w:tc>
          <w:tcPr>
            <w:tcW w:w="6472" w:type="dxa"/>
          </w:tcPr>
          <w:p w14:paraId="4BF06074" w14:textId="4538E710" w:rsidR="002D7C34" w:rsidRPr="004848F7" w:rsidRDefault="002D7C34" w:rsidP="002D7C34">
            <w:pPr>
              <w:rPr>
                <w:rFonts w:eastAsia="SimSun"/>
              </w:rPr>
            </w:pPr>
            <w:r w:rsidRPr="004848F7">
              <w:rPr>
                <w:lang w:eastAsia="zh-CN"/>
              </w:rPr>
              <w:t>1.2</w:t>
            </w:r>
            <w:r w:rsidRPr="004848F7">
              <w:rPr>
                <w:lang w:eastAsia="zh-CN"/>
              </w:rPr>
              <w:tab/>
              <w:t>Demostración de avances registrados para alcanzar las metas relacionadas con cuestiones de género (</w:t>
            </w:r>
            <w:hyperlink r:id="rId54" w:history="1">
              <w:r w:rsidRPr="004848F7">
                <w:rPr>
                  <w:color w:val="0563C1"/>
                  <w:lang w:eastAsia="zh-CN"/>
                </w:rPr>
                <w:t>Hechos y Cifras</w:t>
              </w:r>
            </w:hyperlink>
            <w:r w:rsidRPr="004848F7">
              <w:rPr>
                <w:lang w:eastAsia="zh-CN"/>
              </w:rPr>
              <w:t xml:space="preserve">; </w:t>
            </w:r>
            <w:hyperlink r:id="rId55" w:history="1">
              <w:r w:rsidRPr="004848F7">
                <w:rPr>
                  <w:color w:val="0563C1"/>
                  <w:lang w:eastAsia="zh-CN"/>
                </w:rPr>
                <w:t>HRMD</w:t>
              </w:r>
            </w:hyperlink>
            <w:r w:rsidRPr="004848F7">
              <w:rPr>
                <w:lang w:eastAsia="zh-CN"/>
              </w:rPr>
              <w:t>)</w:t>
            </w:r>
          </w:p>
        </w:tc>
        <w:tc>
          <w:tcPr>
            <w:tcW w:w="1448" w:type="dxa"/>
          </w:tcPr>
          <w:p w14:paraId="5FB12951" w14:textId="37A09229" w:rsidR="002D7C34" w:rsidRPr="004848F7" w:rsidRDefault="002D7C34" w:rsidP="002D7C34">
            <w:pPr>
              <w:jc w:val="center"/>
              <w:rPr>
                <w:rFonts w:eastAsia="SimSun"/>
              </w:rPr>
            </w:pPr>
            <w:r w:rsidRPr="004848F7">
              <w:rPr>
                <w:lang w:eastAsia="zh-CN"/>
              </w:rPr>
              <w:t>SG/SPM</w:t>
            </w:r>
          </w:p>
        </w:tc>
        <w:tc>
          <w:tcPr>
            <w:tcW w:w="1151" w:type="dxa"/>
          </w:tcPr>
          <w:p w14:paraId="2A8AE6D6" w14:textId="33DFECEF" w:rsidR="002D7C34" w:rsidRPr="004848F7" w:rsidRDefault="002D7C34" w:rsidP="002D7C34">
            <w:pPr>
              <w:jc w:val="right"/>
              <w:rPr>
                <w:rFonts w:eastAsia="SimSun"/>
              </w:rPr>
            </w:pPr>
            <w:r w:rsidRPr="004848F7">
              <w:rPr>
                <w:lang w:eastAsia="zh-CN"/>
              </w:rPr>
              <w:t>Anual</w:t>
            </w:r>
          </w:p>
        </w:tc>
      </w:tr>
      <w:tr w:rsidR="002D7C34" w:rsidRPr="004848F7" w14:paraId="3EA38069" w14:textId="77777777" w:rsidTr="002D7C34">
        <w:tc>
          <w:tcPr>
            <w:tcW w:w="6472" w:type="dxa"/>
          </w:tcPr>
          <w:p w14:paraId="2BA1DB5C" w14:textId="469FE04F" w:rsidR="002D7C34" w:rsidRPr="004848F7" w:rsidRDefault="002D7C34" w:rsidP="002D7C34">
            <w:pPr>
              <w:rPr>
                <w:rFonts w:eastAsia="SimSun"/>
              </w:rPr>
            </w:pPr>
            <w:r w:rsidRPr="004848F7">
              <w:rPr>
                <w:lang w:eastAsia="zh-CN"/>
              </w:rPr>
              <w:t>1.3</w:t>
            </w:r>
            <w:r w:rsidRPr="004848F7">
              <w:rPr>
                <w:lang w:eastAsia="zh-CN"/>
              </w:rPr>
              <w:tab/>
              <w:t>Revisión de los indicadores relacionados con el ODS 5 y propuestas de mejora del Plan Estratégico 2028-32</w:t>
            </w:r>
          </w:p>
        </w:tc>
        <w:tc>
          <w:tcPr>
            <w:tcW w:w="1448" w:type="dxa"/>
          </w:tcPr>
          <w:p w14:paraId="7B692765" w14:textId="4CD2F8E1" w:rsidR="002D7C34" w:rsidRPr="004848F7" w:rsidRDefault="002D7C34" w:rsidP="002D7C34">
            <w:pPr>
              <w:jc w:val="center"/>
              <w:rPr>
                <w:rFonts w:eastAsia="SimSun"/>
              </w:rPr>
            </w:pPr>
            <w:r w:rsidRPr="004848F7">
              <w:rPr>
                <w:lang w:eastAsia="zh-CN"/>
              </w:rPr>
              <w:t>SG/SPM</w:t>
            </w:r>
          </w:p>
        </w:tc>
        <w:tc>
          <w:tcPr>
            <w:tcW w:w="1151" w:type="dxa"/>
          </w:tcPr>
          <w:p w14:paraId="0C1938C4" w14:textId="46A6F2D4" w:rsidR="002D7C34" w:rsidRPr="004848F7" w:rsidRDefault="002D7C34" w:rsidP="002D7C34">
            <w:pPr>
              <w:jc w:val="right"/>
              <w:rPr>
                <w:rFonts w:eastAsia="SimSun"/>
              </w:rPr>
            </w:pPr>
            <w:r w:rsidRPr="004848F7">
              <w:rPr>
                <w:rFonts w:eastAsia="SimSun"/>
              </w:rPr>
              <w:t>2026</w:t>
            </w:r>
          </w:p>
        </w:tc>
      </w:tr>
    </w:tbl>
    <w:p w14:paraId="426B6A75" w14:textId="00A65782" w:rsidR="00EE76D1" w:rsidRPr="004848F7" w:rsidRDefault="002D7C34" w:rsidP="002D7C34">
      <w:pPr>
        <w:pStyle w:val="Heading1"/>
        <w:rPr>
          <w:rFonts w:eastAsia="SimSun" w:cs="Arial"/>
          <w:lang w:eastAsia="zh-CN"/>
        </w:rPr>
      </w:pPr>
      <w:r w:rsidRPr="004848F7">
        <w:rPr>
          <w:lang w:eastAsia="zh-CN"/>
        </w:rPr>
        <w:t>2</w:t>
      </w:r>
      <w:r w:rsidRPr="004848F7">
        <w:rPr>
          <w:lang w:eastAsia="zh-CN"/>
        </w:rPr>
        <w:tab/>
      </w:r>
      <w:r w:rsidR="00EE76D1" w:rsidRPr="004848F7">
        <w:rPr>
          <w:lang w:eastAsia="zh-CN"/>
        </w:rPr>
        <w:t>Informe sobre los resultados de los ODS relacionados con cuestiones de</w:t>
      </w:r>
      <w:r w:rsidR="00577EFD" w:rsidRPr="004848F7">
        <w:rPr>
          <w:lang w:eastAsia="zh-CN"/>
        </w:rPr>
        <w:t> </w:t>
      </w:r>
      <w:r w:rsidR="00EE76D1" w:rsidRPr="004848F7">
        <w:rPr>
          <w:lang w:eastAsia="zh-CN"/>
        </w:rPr>
        <w:t>género</w:t>
      </w:r>
      <w:r w:rsidR="00577EFD" w:rsidRPr="004848F7">
        <w:rPr>
          <w:rFonts w:ascii="Times New Roman" w:eastAsia="SimSun" w:hAnsi="Times New Roman" w:cs="Arial"/>
          <w:lang w:eastAsia="zh-CN"/>
        </w:rPr>
        <w:br/>
      </w:r>
      <w:r w:rsidR="00EE76D1" w:rsidRPr="004848F7">
        <w:rPr>
          <w:rFonts w:eastAsia="SimSun" w:cs="Arial"/>
          <w:lang w:eastAsia="zh-CN"/>
        </w:rPr>
        <w:t>Situación en 2023: Cumplimiento de requisitos</w:t>
      </w:r>
    </w:p>
    <w:p w14:paraId="2DDFE41F" w14:textId="0E730721" w:rsidR="00EE76D1" w:rsidRPr="004848F7" w:rsidRDefault="00EE76D1" w:rsidP="002D7C34">
      <w:r w:rsidRPr="004848F7">
        <w:t xml:space="preserve">Para cumplir este </w:t>
      </w:r>
      <w:hyperlink r:id="rId56">
        <w:r w:rsidRPr="004848F7">
          <w:rPr>
            <w:rStyle w:val="Hyperlink"/>
          </w:rPr>
          <w:t>indicador de rendimiento ONU-SWAP</w:t>
        </w:r>
      </w:hyperlink>
      <w:r w:rsidRPr="004848F7">
        <w:t>, la UIT debe notificar a su órgano rector los resultados de alto nivel en el principal documento de planificación estratégica e incluir la presentación de informes sobre los principales resultados en materia de igualdad de género y empoderamiento de la mujer vinculados a los ODS. Los resultados deben presentarse en el marco de la labor de presentación de informes sobre el plan estratégico principal y deben utilizarse todos los informes sobre rendimiento desde la publicación del último documento de planificación estratégica central. Los informes han de incluir contribuciones específicas a las metas del ODS 5. Por otro lado, el cumplimiento de los requisitos requiere la utilización sistemática de datos desglosados por sexo en los informes sobre el plan estratégico.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453"/>
        <w:gridCol w:w="1593"/>
      </w:tblGrid>
      <w:tr w:rsidR="002D7C34" w:rsidRPr="004848F7" w14:paraId="3E0FD102" w14:textId="77777777" w:rsidTr="00CB7DAD">
        <w:tc>
          <w:tcPr>
            <w:tcW w:w="6479" w:type="dxa"/>
          </w:tcPr>
          <w:p w14:paraId="2A2C591C" w14:textId="7BF200D8" w:rsidR="002D7C34" w:rsidRPr="004848F7" w:rsidRDefault="002D7C34" w:rsidP="002D7C34">
            <w:pPr>
              <w:rPr>
                <w:u w:val="single"/>
              </w:rPr>
            </w:pPr>
            <w:r w:rsidRPr="004848F7">
              <w:rPr>
                <w:u w:val="single"/>
              </w:rPr>
              <w:t>Productos</w:t>
            </w:r>
          </w:p>
        </w:tc>
        <w:tc>
          <w:tcPr>
            <w:tcW w:w="1454" w:type="dxa"/>
          </w:tcPr>
          <w:p w14:paraId="02635793" w14:textId="3E7C935C" w:rsidR="002D7C34" w:rsidRPr="004848F7" w:rsidRDefault="002D7C34" w:rsidP="00CB7DAD">
            <w:pPr>
              <w:jc w:val="center"/>
              <w:rPr>
                <w:u w:val="single"/>
              </w:rPr>
            </w:pPr>
            <w:r w:rsidRPr="004848F7">
              <w:rPr>
                <w:u w:val="single"/>
              </w:rPr>
              <w:t>Responsable</w:t>
            </w:r>
          </w:p>
        </w:tc>
        <w:tc>
          <w:tcPr>
            <w:tcW w:w="1128" w:type="dxa"/>
          </w:tcPr>
          <w:p w14:paraId="3823520F" w14:textId="3F3F35CE" w:rsidR="002D7C34" w:rsidRPr="004848F7" w:rsidRDefault="002D7C34" w:rsidP="00CB7DAD">
            <w:pPr>
              <w:jc w:val="right"/>
              <w:rPr>
                <w:u w:val="single"/>
              </w:rPr>
            </w:pPr>
            <w:r w:rsidRPr="004848F7">
              <w:rPr>
                <w:u w:val="single"/>
              </w:rPr>
              <w:t>Plazo</w:t>
            </w:r>
          </w:p>
        </w:tc>
      </w:tr>
      <w:tr w:rsidR="002D7C34" w:rsidRPr="004848F7" w14:paraId="51368C53" w14:textId="77777777" w:rsidTr="00CB7DAD">
        <w:tc>
          <w:tcPr>
            <w:tcW w:w="6479" w:type="dxa"/>
          </w:tcPr>
          <w:p w14:paraId="7FD2161C" w14:textId="47A48A5E" w:rsidR="002D7C34" w:rsidRPr="004848F7" w:rsidRDefault="003A11E1" w:rsidP="002D7C34">
            <w:r w:rsidRPr="004848F7">
              <w:rPr>
                <w:lang w:eastAsia="zh-CN"/>
              </w:rPr>
              <w:t>2</w:t>
            </w:r>
            <w:r w:rsidR="002D7C34" w:rsidRPr="004848F7">
              <w:rPr>
                <w:lang w:eastAsia="zh-CN"/>
              </w:rPr>
              <w:t>.1</w:t>
            </w:r>
            <w:r w:rsidR="002D7C34" w:rsidRPr="004848F7">
              <w:rPr>
                <w:lang w:eastAsia="zh-CN"/>
              </w:rPr>
              <w:tab/>
              <w:t>Informe al Consejo sobre avances en materia de igualdad e integración de género</w:t>
            </w:r>
          </w:p>
        </w:tc>
        <w:tc>
          <w:tcPr>
            <w:tcW w:w="1454" w:type="dxa"/>
          </w:tcPr>
          <w:p w14:paraId="39A72EF4" w14:textId="2241E85E" w:rsidR="002D7C34" w:rsidRPr="004848F7" w:rsidRDefault="002D7C34" w:rsidP="00CB7DAD">
            <w:pPr>
              <w:jc w:val="center"/>
            </w:pPr>
            <w:r w:rsidRPr="004848F7">
              <w:t>SG/SPM</w:t>
            </w:r>
          </w:p>
        </w:tc>
        <w:tc>
          <w:tcPr>
            <w:tcW w:w="1128" w:type="dxa"/>
          </w:tcPr>
          <w:p w14:paraId="5DC10701" w14:textId="79F559C3" w:rsidR="002D7C34" w:rsidRPr="004848F7" w:rsidRDefault="002D7C34" w:rsidP="00CB7DAD">
            <w:pPr>
              <w:jc w:val="right"/>
            </w:pPr>
            <w:r w:rsidRPr="004848F7">
              <w:t>2T</w:t>
            </w:r>
            <w:r w:rsidR="00577EFD" w:rsidRPr="004848F7">
              <w:t xml:space="preserve"> </w:t>
            </w:r>
            <w:r w:rsidRPr="004848F7">
              <w:t>2024</w:t>
            </w:r>
          </w:p>
        </w:tc>
      </w:tr>
      <w:tr w:rsidR="002D7C34" w:rsidRPr="004848F7" w14:paraId="23CA7EB0" w14:textId="77777777" w:rsidTr="00CB7DAD">
        <w:tc>
          <w:tcPr>
            <w:tcW w:w="6479" w:type="dxa"/>
          </w:tcPr>
          <w:p w14:paraId="34B239A0" w14:textId="5C2C30CC" w:rsidR="002D7C34" w:rsidRPr="004848F7" w:rsidRDefault="003A11E1" w:rsidP="002D7C34">
            <w:r w:rsidRPr="004848F7">
              <w:lastRenderedPageBreak/>
              <w:t>2</w:t>
            </w:r>
            <w:r w:rsidR="00CB7DAD" w:rsidRPr="004848F7">
              <w:t>.2</w:t>
            </w:r>
            <w:r w:rsidR="00CB7DAD" w:rsidRPr="004848F7">
              <w:tab/>
              <w:t>Utilización sistemática de datos desglosados por sexo en la información sobre el Plan Estratégico</w:t>
            </w:r>
          </w:p>
        </w:tc>
        <w:tc>
          <w:tcPr>
            <w:tcW w:w="1454" w:type="dxa"/>
          </w:tcPr>
          <w:p w14:paraId="34597110" w14:textId="1D5BA181" w:rsidR="002D7C34" w:rsidRPr="004848F7" w:rsidRDefault="00CB7DAD" w:rsidP="00CB7DAD">
            <w:pPr>
              <w:jc w:val="center"/>
            </w:pPr>
            <w:r w:rsidRPr="004848F7">
              <w:t>BDT/IDA</w:t>
            </w:r>
          </w:p>
        </w:tc>
        <w:tc>
          <w:tcPr>
            <w:tcW w:w="1128" w:type="dxa"/>
          </w:tcPr>
          <w:p w14:paraId="665346A8" w14:textId="2AFDC209" w:rsidR="002D7C34" w:rsidRPr="004848F7" w:rsidRDefault="00CB7DAD" w:rsidP="00CB7DAD">
            <w:pPr>
              <w:jc w:val="right"/>
            </w:pPr>
            <w:r w:rsidRPr="004848F7">
              <w:t>Anual</w:t>
            </w:r>
          </w:p>
        </w:tc>
      </w:tr>
      <w:tr w:rsidR="002D7C34" w:rsidRPr="004848F7" w14:paraId="2551A719" w14:textId="77777777" w:rsidTr="00CB7DAD">
        <w:tc>
          <w:tcPr>
            <w:tcW w:w="6479" w:type="dxa"/>
          </w:tcPr>
          <w:p w14:paraId="2A6AEFBE" w14:textId="62C3542D" w:rsidR="002D7C34" w:rsidRPr="004848F7" w:rsidRDefault="003A11E1" w:rsidP="00CB7DAD">
            <w:pPr>
              <w:rPr>
                <w:szCs w:val="24"/>
              </w:rPr>
            </w:pPr>
            <w:r w:rsidRPr="004848F7">
              <w:rPr>
                <w:szCs w:val="24"/>
              </w:rPr>
              <w:t>2</w:t>
            </w:r>
            <w:r w:rsidR="00CB7DAD" w:rsidRPr="004848F7">
              <w:rPr>
                <w:szCs w:val="24"/>
              </w:rPr>
              <w:t>.3</w:t>
            </w:r>
            <w:r w:rsidR="00CB7DAD" w:rsidRPr="004848F7">
              <w:rPr>
                <w:szCs w:val="24"/>
              </w:rPr>
              <w:tab/>
            </w:r>
            <w:r w:rsidR="00CB7DAD" w:rsidRPr="004848F7">
              <w:t>Informe</w:t>
            </w:r>
            <w:r w:rsidR="00CB7DAD" w:rsidRPr="004848F7">
              <w:rPr>
                <w:color w:val="000000"/>
                <w:szCs w:val="24"/>
                <w:lang w:eastAsia="zh-CN"/>
              </w:rPr>
              <w:t xml:space="preserve"> de situación sobre las mujeres en los miembros de </w:t>
            </w:r>
            <w:hyperlink r:id="rId57" w:history="1">
              <w:r w:rsidR="00CB7DAD" w:rsidRPr="004848F7">
                <w:rPr>
                  <w:color w:val="0563C1"/>
                  <w:szCs w:val="24"/>
                  <w:u w:val="single"/>
                  <w:lang w:eastAsia="zh-CN"/>
                </w:rPr>
                <w:t>personal</w:t>
              </w:r>
            </w:hyperlink>
            <w:r w:rsidR="00CB7DAD" w:rsidRPr="004848F7">
              <w:rPr>
                <w:color w:val="000000"/>
                <w:szCs w:val="24"/>
                <w:lang w:eastAsia="zh-CN"/>
              </w:rPr>
              <w:t xml:space="preserve"> y los </w:t>
            </w:r>
            <w:r w:rsidR="00CB7DAD" w:rsidRPr="004848F7">
              <w:rPr>
                <w:color w:val="0563C1"/>
                <w:szCs w:val="24"/>
                <w:u w:val="single"/>
                <w:lang w:eastAsia="zh-CN"/>
              </w:rPr>
              <w:t xml:space="preserve">delegados en </w:t>
            </w:r>
            <w:hyperlink r:id="rId58" w:history="1">
              <w:r w:rsidR="00CB7DAD" w:rsidRPr="004848F7">
                <w:rPr>
                  <w:color w:val="0563C1"/>
                  <w:szCs w:val="24"/>
                  <w:u w:val="single"/>
                  <w:lang w:eastAsia="zh-CN"/>
                </w:rPr>
                <w:t>eventos</w:t>
              </w:r>
            </w:hyperlink>
            <w:r w:rsidR="00CB7DAD" w:rsidRPr="004848F7">
              <w:rPr>
                <w:color w:val="000000"/>
                <w:szCs w:val="24"/>
                <w:lang w:eastAsia="zh-CN"/>
              </w:rPr>
              <w:t xml:space="preserve"> (</w:t>
            </w:r>
            <w:hyperlink r:id="rId59" w:history="1">
              <w:r w:rsidR="00CB7DAD" w:rsidRPr="004848F7">
                <w:rPr>
                  <w:color w:val="0563C1"/>
                  <w:szCs w:val="24"/>
                  <w:u w:val="single"/>
                  <w:lang w:eastAsia="zh-CN"/>
                </w:rPr>
                <w:t>Panel de control de la UIT sobre cuestiones de género</w:t>
              </w:r>
            </w:hyperlink>
            <w:r w:rsidR="00CB7DAD" w:rsidRPr="004848F7">
              <w:rPr>
                <w:color w:val="000000"/>
                <w:szCs w:val="24"/>
                <w:lang w:eastAsia="zh-CN"/>
              </w:rPr>
              <w:t>)</w:t>
            </w:r>
          </w:p>
        </w:tc>
        <w:tc>
          <w:tcPr>
            <w:tcW w:w="1454" w:type="dxa"/>
          </w:tcPr>
          <w:p w14:paraId="637C22A4" w14:textId="375E9D79" w:rsidR="002D7C34" w:rsidRPr="004848F7" w:rsidRDefault="00CB7DAD" w:rsidP="00CB7DAD">
            <w:pPr>
              <w:jc w:val="center"/>
            </w:pPr>
            <w:r w:rsidRPr="004848F7">
              <w:t>SG/IS/SPM</w:t>
            </w:r>
          </w:p>
        </w:tc>
        <w:tc>
          <w:tcPr>
            <w:tcW w:w="1128" w:type="dxa"/>
          </w:tcPr>
          <w:p w14:paraId="2C49C685" w14:textId="2124510F" w:rsidR="002D7C34" w:rsidRPr="004848F7" w:rsidRDefault="00CB7DAD" w:rsidP="00CB7DAD">
            <w:pPr>
              <w:jc w:val="right"/>
            </w:pPr>
            <w:r w:rsidRPr="004848F7">
              <w:t>Automatizado</w:t>
            </w:r>
          </w:p>
        </w:tc>
      </w:tr>
      <w:tr w:rsidR="002D7C34" w:rsidRPr="004848F7" w14:paraId="5D0B042F" w14:textId="77777777" w:rsidTr="00CB7DAD">
        <w:tc>
          <w:tcPr>
            <w:tcW w:w="6479" w:type="dxa"/>
          </w:tcPr>
          <w:p w14:paraId="48842833" w14:textId="7A326263" w:rsidR="002D7C34" w:rsidRPr="004848F7" w:rsidRDefault="003A11E1" w:rsidP="002D7C34">
            <w:pPr>
              <w:rPr>
                <w:szCs w:val="24"/>
              </w:rPr>
            </w:pPr>
            <w:r w:rsidRPr="004848F7">
              <w:rPr>
                <w:szCs w:val="24"/>
              </w:rPr>
              <w:t>2</w:t>
            </w:r>
            <w:r w:rsidR="00CB7DAD" w:rsidRPr="004848F7">
              <w:rPr>
                <w:szCs w:val="24"/>
              </w:rPr>
              <w:t>.4</w:t>
            </w:r>
            <w:r w:rsidR="00CB7DAD" w:rsidRPr="004848F7">
              <w:rPr>
                <w:szCs w:val="24"/>
              </w:rPr>
              <w:tab/>
            </w:r>
            <w:r w:rsidR="00CB7DAD" w:rsidRPr="004848F7">
              <w:t>Informe</w:t>
            </w:r>
            <w:r w:rsidR="00CB7DAD" w:rsidRPr="004848F7">
              <w:rPr>
                <w:color w:val="000000"/>
                <w:szCs w:val="24"/>
                <w:lang w:eastAsia="zh-CN"/>
              </w:rPr>
              <w:t xml:space="preserve"> </w:t>
            </w:r>
            <w:hyperlink r:id="rId60" w:history="1">
              <w:r w:rsidR="00CB7DAD" w:rsidRPr="004848F7">
                <w:rPr>
                  <w:color w:val="0563C1"/>
                  <w:szCs w:val="24"/>
                  <w:u w:val="single"/>
                  <w:lang w:eastAsia="zh-CN"/>
                </w:rPr>
                <w:t>ONU-SWAP 2022</w:t>
              </w:r>
            </w:hyperlink>
            <w:r w:rsidR="00CB7DAD" w:rsidRPr="004848F7">
              <w:rPr>
                <w:color w:val="000000"/>
                <w:szCs w:val="24"/>
                <w:lang w:eastAsia="zh-CN"/>
              </w:rPr>
              <w:t xml:space="preserve"> sobre los avances y el cumplimiento de los indicadores de rendimiento</w:t>
            </w:r>
          </w:p>
        </w:tc>
        <w:tc>
          <w:tcPr>
            <w:tcW w:w="1454" w:type="dxa"/>
          </w:tcPr>
          <w:p w14:paraId="1106F643" w14:textId="141C3A30" w:rsidR="002D7C34" w:rsidRPr="004848F7" w:rsidRDefault="00CB7DAD" w:rsidP="00CB7DAD">
            <w:pPr>
              <w:jc w:val="center"/>
            </w:pPr>
            <w:r w:rsidRPr="004848F7">
              <w:t>SG/SPM</w:t>
            </w:r>
          </w:p>
        </w:tc>
        <w:tc>
          <w:tcPr>
            <w:tcW w:w="1128" w:type="dxa"/>
          </w:tcPr>
          <w:p w14:paraId="532211A0" w14:textId="6AEF33DC" w:rsidR="002D7C34" w:rsidRPr="004848F7" w:rsidRDefault="00CB7DAD" w:rsidP="00CB7DAD">
            <w:pPr>
              <w:jc w:val="right"/>
            </w:pPr>
            <w:r w:rsidRPr="004848F7">
              <w:t>2T Anual</w:t>
            </w:r>
          </w:p>
        </w:tc>
      </w:tr>
      <w:tr w:rsidR="002D7C34" w:rsidRPr="004848F7" w14:paraId="6317A637" w14:textId="77777777" w:rsidTr="00CB7DAD">
        <w:tc>
          <w:tcPr>
            <w:tcW w:w="6479" w:type="dxa"/>
          </w:tcPr>
          <w:p w14:paraId="0AAC6FD8" w14:textId="4B1F498F" w:rsidR="002D7C34" w:rsidRPr="004848F7" w:rsidRDefault="003A11E1" w:rsidP="00CB7DAD">
            <w:r w:rsidRPr="004848F7">
              <w:t>2</w:t>
            </w:r>
            <w:r w:rsidR="00CB7DAD" w:rsidRPr="004848F7">
              <w:t>.5</w:t>
            </w:r>
            <w:r w:rsidR="00CB7DAD" w:rsidRPr="004848F7">
              <w:tab/>
              <w:t>Informe</w:t>
            </w:r>
            <w:r w:rsidR="00CB7DAD" w:rsidRPr="004848F7">
              <w:rPr>
                <w:rFonts w:eastAsia="SimSun" w:cs="Calibri"/>
                <w:color w:val="000000"/>
                <w:bdr w:val="none" w:sz="0" w:space="0" w:color="auto" w:frame="1"/>
                <w:lang w:eastAsia="zh-CN"/>
              </w:rPr>
              <w:t xml:space="preserve"> sobre el equilibrio de género en la concesión de becas para asistir a reuniones de la UIT (</w:t>
            </w:r>
            <w:hyperlink r:id="rId61" w:anchor="page=492" w:history="1">
              <w:r w:rsidR="00CB7DAD" w:rsidRPr="004848F7">
                <w:rPr>
                  <w:rFonts w:eastAsia="SimSun" w:cs="Calibri"/>
                  <w:color w:val="0563C1"/>
                  <w:u w:val="single"/>
                  <w:bdr w:val="none" w:sz="0" w:space="0" w:color="auto" w:frame="1"/>
                  <w:lang w:eastAsia="zh-CN"/>
                </w:rPr>
                <w:t>Res.</w:t>
              </w:r>
              <w:r w:rsidR="00021991" w:rsidRPr="004848F7">
                <w:rPr>
                  <w:rFonts w:eastAsia="SimSun" w:cs="Calibri"/>
                  <w:color w:val="0563C1"/>
                  <w:u w:val="single"/>
                  <w:bdr w:val="none" w:sz="0" w:space="0" w:color="auto" w:frame="1"/>
                  <w:lang w:eastAsia="zh-CN"/>
                </w:rPr>
                <w:t> </w:t>
              </w:r>
              <w:r w:rsidR="00CB7DAD" w:rsidRPr="004848F7">
                <w:rPr>
                  <w:rFonts w:eastAsia="SimSun" w:cs="Calibri"/>
                  <w:color w:val="0563C1"/>
                  <w:u w:val="single"/>
                  <w:bdr w:val="none" w:sz="0" w:space="0" w:color="auto" w:frame="1"/>
                  <w:lang w:eastAsia="zh-CN"/>
                </w:rPr>
                <w:t>213</w:t>
              </w:r>
            </w:hyperlink>
            <w:r w:rsidR="00CB7DAD" w:rsidRPr="004848F7">
              <w:rPr>
                <w:rFonts w:eastAsia="SimSun" w:cs="Calibri"/>
                <w:color w:val="000000"/>
                <w:bdr w:val="none" w:sz="0" w:space="0" w:color="auto" w:frame="1"/>
                <w:lang w:eastAsia="zh-CN"/>
              </w:rPr>
              <w:t xml:space="preserve">, </w:t>
            </w:r>
            <w:hyperlink r:id="rId62" w:history="1">
              <w:r w:rsidR="00CB7DAD" w:rsidRPr="004848F7">
                <w:rPr>
                  <w:rFonts w:eastAsia="SimSun" w:cs="Calibri"/>
                  <w:color w:val="0563C1"/>
                  <w:u w:val="single"/>
                  <w:bdr w:val="none" w:sz="0" w:space="0" w:color="auto" w:frame="1"/>
                  <w:lang w:eastAsia="zh-CN"/>
                </w:rPr>
                <w:t>S0</w:t>
              </w:r>
              <w:r w:rsidR="00021991" w:rsidRPr="004848F7">
                <w:rPr>
                  <w:rFonts w:eastAsia="SimSun" w:cs="Calibri"/>
                  <w:color w:val="0563C1"/>
                  <w:u w:val="single"/>
                  <w:bdr w:val="none" w:sz="0" w:space="0" w:color="auto" w:frame="1"/>
                  <w:lang w:eastAsia="zh-CN"/>
                </w:rPr>
                <w:t> </w:t>
              </w:r>
              <w:r w:rsidR="00CB7DAD" w:rsidRPr="004848F7">
                <w:rPr>
                  <w:rFonts w:eastAsia="SimSun" w:cs="Calibri"/>
                  <w:color w:val="0563C1"/>
                  <w:u w:val="single"/>
                  <w:bdr w:val="none" w:sz="0" w:space="0" w:color="auto" w:frame="1"/>
                  <w:lang w:eastAsia="zh-CN"/>
                </w:rPr>
                <w:t>21/02</w:t>
              </w:r>
            </w:hyperlink>
            <w:r w:rsidR="00CB7DAD" w:rsidRPr="004848F7">
              <w:rPr>
                <w:rFonts w:eastAsia="SimSun" w:cs="Calibri"/>
                <w:color w:val="000000"/>
                <w:bdr w:val="none" w:sz="0" w:space="0" w:color="auto" w:frame="1"/>
                <w:lang w:eastAsia="zh-CN"/>
              </w:rPr>
              <w:t>)</w:t>
            </w:r>
          </w:p>
        </w:tc>
        <w:tc>
          <w:tcPr>
            <w:tcW w:w="1454" w:type="dxa"/>
          </w:tcPr>
          <w:p w14:paraId="144B731C" w14:textId="5F85BF77" w:rsidR="002D7C34" w:rsidRPr="004848F7" w:rsidRDefault="00CB7DAD" w:rsidP="00CB7DAD">
            <w:pPr>
              <w:jc w:val="center"/>
            </w:pPr>
            <w:r w:rsidRPr="004848F7">
              <w:t>BDT</w:t>
            </w:r>
          </w:p>
        </w:tc>
        <w:tc>
          <w:tcPr>
            <w:tcW w:w="1128" w:type="dxa"/>
          </w:tcPr>
          <w:p w14:paraId="2D8BB125" w14:textId="77777777" w:rsidR="002D7C34" w:rsidRPr="004848F7" w:rsidRDefault="002D7C34" w:rsidP="00CB7DAD">
            <w:pPr>
              <w:jc w:val="right"/>
            </w:pPr>
          </w:p>
        </w:tc>
      </w:tr>
    </w:tbl>
    <w:p w14:paraId="78B96483" w14:textId="59A47367" w:rsidR="00EE76D1" w:rsidRPr="004848F7" w:rsidRDefault="00CB7DAD" w:rsidP="00021991">
      <w:pPr>
        <w:pStyle w:val="Heading1"/>
        <w:rPr>
          <w:rFonts w:eastAsia="SimSun"/>
        </w:rPr>
      </w:pPr>
      <w:r w:rsidRPr="004848F7">
        <w:t>3</w:t>
      </w:r>
      <w:r w:rsidRPr="004848F7">
        <w:tab/>
      </w:r>
      <w:r w:rsidR="00EE76D1" w:rsidRPr="004848F7">
        <w:t>Resultados programáticos sobre los ODS relacionados con cuestiones de género (no incluidos en el Plan Estratégico)</w:t>
      </w:r>
      <w:r w:rsidR="00021991" w:rsidRPr="004848F7">
        <w:br/>
      </w:r>
      <w:r w:rsidR="00EE76D1" w:rsidRPr="004848F7">
        <w:rPr>
          <w:rFonts w:eastAsia="SimSun"/>
        </w:rPr>
        <w:t>Situación en 2023: N/A</w:t>
      </w:r>
    </w:p>
    <w:p w14:paraId="7B51DBDD" w14:textId="0630B068" w:rsidR="00EE76D1" w:rsidRPr="004848F7" w:rsidRDefault="00EE76D1" w:rsidP="00CB7DAD">
      <w:r w:rsidRPr="004848F7">
        <w:t xml:space="preserve">Para cumplir este </w:t>
      </w:r>
      <w:hyperlink r:id="rId63" w:history="1">
        <w:r w:rsidRPr="004848F7">
          <w:rPr>
            <w:rStyle w:val="Hyperlink"/>
          </w:rPr>
          <w:t>indicador de rendimiento ONU-SWAP</w:t>
        </w:r>
      </w:hyperlink>
      <w:r w:rsidRPr="004848F7">
        <w:t xml:space="preserve">, la UIT debe demostrar, mediante la utilización de sistemas internos de presentación de informes, que los resultados sobre igualdad de género y empoderamiento de la mujer se incluyen sistemáticamente en los documentos de planificación de iniciativas programáticas. Por otro lado, los resultados deben alcanzarse, o se debe prever que van a alcanzarse, y es necesario aportar pruebas a tal efecto en los informes ONU-SWAP. Si bien el Indicador de rendimiento 1 se refiere a resultados sobre igualdad de género y empoderamiento de la mujer‎ en el plano institucional, este indicador de rendimiento guarda relación con los resultados de iniciativas programáticas </w:t>
      </w:r>
      <w:r w:rsidR="00577EFD" w:rsidRPr="004848F7">
        <w:t>específicas</w:t>
      </w:r>
      <w:r w:rsidRPr="004848F7">
        <w:t xml:space="preserve"> que no constan plena ni directamente en el documento principal de planificación estratégica. No es una alternativa frente a la notificación del Indicador de rendimiento 1; las entidades deben informar tanto sobre el Indicador de rendimiento 1 como sobre este Indicador, según proceda. Los resultados pueden corresponder a escalas mundial, regional, nacional o comunitaria.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1450"/>
        <w:gridCol w:w="1548"/>
      </w:tblGrid>
      <w:tr w:rsidR="00CB7DAD" w:rsidRPr="004848F7" w14:paraId="0686E005" w14:textId="77777777" w:rsidTr="00CB7DAD">
        <w:tc>
          <w:tcPr>
            <w:tcW w:w="6063" w:type="dxa"/>
          </w:tcPr>
          <w:p w14:paraId="17695254" w14:textId="6FB552C1" w:rsidR="00CB7DAD" w:rsidRPr="004848F7" w:rsidRDefault="00CB7DAD" w:rsidP="00CB7DAD">
            <w:pPr>
              <w:rPr>
                <w:u w:val="single"/>
              </w:rPr>
            </w:pPr>
            <w:r w:rsidRPr="004848F7">
              <w:rPr>
                <w:u w:val="single"/>
              </w:rPr>
              <w:t>Productos</w:t>
            </w:r>
          </w:p>
        </w:tc>
        <w:tc>
          <w:tcPr>
            <w:tcW w:w="1450" w:type="dxa"/>
          </w:tcPr>
          <w:p w14:paraId="3E8823F4" w14:textId="5974BAEC" w:rsidR="00CB7DAD" w:rsidRPr="004848F7" w:rsidRDefault="00CB7DAD" w:rsidP="00CB7DAD">
            <w:pPr>
              <w:jc w:val="center"/>
              <w:rPr>
                <w:u w:val="single"/>
              </w:rPr>
            </w:pPr>
            <w:r w:rsidRPr="004848F7">
              <w:rPr>
                <w:u w:val="single"/>
              </w:rPr>
              <w:t>Responsable</w:t>
            </w:r>
          </w:p>
        </w:tc>
        <w:tc>
          <w:tcPr>
            <w:tcW w:w="1548" w:type="dxa"/>
          </w:tcPr>
          <w:p w14:paraId="07D80D67" w14:textId="39445413" w:rsidR="00CB7DAD" w:rsidRPr="004848F7" w:rsidRDefault="00CB7DAD" w:rsidP="00CB7DAD">
            <w:pPr>
              <w:jc w:val="right"/>
              <w:rPr>
                <w:u w:val="single"/>
              </w:rPr>
            </w:pPr>
            <w:r w:rsidRPr="004848F7">
              <w:rPr>
                <w:u w:val="single"/>
              </w:rPr>
              <w:t>Plazo</w:t>
            </w:r>
          </w:p>
        </w:tc>
      </w:tr>
      <w:tr w:rsidR="00CB7DAD" w:rsidRPr="004848F7" w14:paraId="0A953CF4" w14:textId="77777777" w:rsidTr="00CB7DAD">
        <w:tc>
          <w:tcPr>
            <w:tcW w:w="6063" w:type="dxa"/>
          </w:tcPr>
          <w:p w14:paraId="7F4CCABF" w14:textId="4FA955A1" w:rsidR="00CB7DAD" w:rsidRPr="004848F7" w:rsidRDefault="003A11E1" w:rsidP="003A11E1">
            <w:r w:rsidRPr="004848F7">
              <w:t>3</w:t>
            </w:r>
            <w:r w:rsidR="00CB7DAD" w:rsidRPr="004848F7">
              <w:t>.1</w:t>
            </w:r>
            <w:r w:rsidR="00CB7DAD" w:rsidRPr="004848F7">
              <w:tab/>
            </w:r>
            <w:hyperlink r:id="rId64" w:history="1">
              <w:r w:rsidR="00CB7DAD" w:rsidRPr="004848F7">
                <w:rPr>
                  <w:color w:val="0563C1"/>
                  <w:u w:val="single"/>
                  <w:lang w:eastAsia="zh-CN"/>
                </w:rPr>
                <w:t>Informe al GADT</w:t>
              </w:r>
            </w:hyperlink>
            <w:r w:rsidR="00CB7DAD" w:rsidRPr="004848F7">
              <w:rPr>
                <w:color w:val="000000"/>
                <w:lang w:eastAsia="zh-CN"/>
              </w:rPr>
              <w:t xml:space="preserve">: </w:t>
            </w:r>
            <w:hyperlink r:id="rId65" w:history="1">
              <w:r w:rsidR="00CB7DAD" w:rsidRPr="004848F7">
                <w:rPr>
                  <w:color w:val="0563C1"/>
                  <w:u w:val="single"/>
                  <w:lang w:eastAsia="zh-CN"/>
                </w:rPr>
                <w:t>GICT</w:t>
              </w:r>
            </w:hyperlink>
            <w:r w:rsidR="00CB7DAD" w:rsidRPr="004848F7">
              <w:rPr>
                <w:color w:val="000000"/>
                <w:lang w:eastAsia="zh-CN"/>
              </w:rPr>
              <w:t xml:space="preserve">, </w:t>
            </w:r>
            <w:hyperlink r:id="rId66" w:history="1">
              <w:r w:rsidR="00CB7DAD" w:rsidRPr="004848F7">
                <w:rPr>
                  <w:color w:val="0563C1"/>
                  <w:u w:val="single"/>
                  <w:lang w:eastAsia="zh-CN"/>
                </w:rPr>
                <w:t>EQUALS</w:t>
              </w:r>
            </w:hyperlink>
            <w:r w:rsidR="00CB7DAD" w:rsidRPr="004848F7">
              <w:rPr>
                <w:color w:val="000000"/>
                <w:lang w:eastAsia="zh-CN"/>
              </w:rPr>
              <w:t xml:space="preserve">, </w:t>
            </w:r>
            <w:hyperlink r:id="rId67" w:history="1">
              <w:r w:rsidR="00CB7DAD" w:rsidRPr="004848F7">
                <w:rPr>
                  <w:color w:val="0563C1"/>
                  <w:u w:val="single"/>
                  <w:lang w:eastAsia="zh-CN"/>
                </w:rPr>
                <w:t>Red de Mujeres (NoW) en el UIT-D</w:t>
              </w:r>
            </w:hyperlink>
            <w:r w:rsidR="00CB7DAD" w:rsidRPr="004848F7">
              <w:rPr>
                <w:color w:val="000000"/>
                <w:lang w:eastAsia="zh-CN"/>
              </w:rPr>
              <w:t xml:space="preserve">, </w:t>
            </w:r>
            <w:r w:rsidR="00CB7DAD" w:rsidRPr="004848F7">
              <w:t>Iniciativa</w:t>
            </w:r>
            <w:r w:rsidR="00CB7DAD" w:rsidRPr="004848F7">
              <w:rPr>
                <w:color w:val="000000"/>
                <w:lang w:eastAsia="zh-CN"/>
              </w:rPr>
              <w:t xml:space="preserve"> </w:t>
            </w:r>
            <w:r w:rsidR="00577EFD" w:rsidRPr="004848F7">
              <w:rPr>
                <w:color w:val="000000"/>
                <w:lang w:eastAsia="zh-CN"/>
              </w:rPr>
              <w:t>"</w:t>
            </w:r>
            <w:r w:rsidR="00CB7DAD" w:rsidRPr="004848F7">
              <w:rPr>
                <w:color w:val="000000"/>
                <w:lang w:eastAsia="zh-CN"/>
              </w:rPr>
              <w:t>Her Cyber Track</w:t>
            </w:r>
            <w:r w:rsidR="00577EFD" w:rsidRPr="004848F7">
              <w:rPr>
                <w:color w:val="000000"/>
                <w:lang w:eastAsia="zh-CN"/>
              </w:rPr>
              <w:t>"</w:t>
            </w:r>
            <w:r w:rsidR="00CB7DAD" w:rsidRPr="004848F7">
              <w:rPr>
                <w:color w:val="000000"/>
                <w:lang w:eastAsia="zh-CN"/>
              </w:rPr>
              <w:t>/Las mujeres en el ciberespacio</w:t>
            </w:r>
          </w:p>
        </w:tc>
        <w:tc>
          <w:tcPr>
            <w:tcW w:w="1450" w:type="dxa"/>
          </w:tcPr>
          <w:p w14:paraId="400B04A9" w14:textId="24E758B9" w:rsidR="00CB7DAD" w:rsidRPr="004848F7" w:rsidRDefault="00CB7DAD" w:rsidP="00CB7DAD">
            <w:pPr>
              <w:jc w:val="center"/>
            </w:pPr>
            <w:r w:rsidRPr="004848F7">
              <w:t>BDT</w:t>
            </w:r>
          </w:p>
        </w:tc>
        <w:tc>
          <w:tcPr>
            <w:tcW w:w="1548" w:type="dxa"/>
          </w:tcPr>
          <w:p w14:paraId="01BEAA3B" w14:textId="155B63EC" w:rsidR="00CB7DAD" w:rsidRPr="004848F7" w:rsidRDefault="00CB7DAD" w:rsidP="00CB7DAD">
            <w:pPr>
              <w:jc w:val="right"/>
            </w:pPr>
            <w:r w:rsidRPr="004848F7">
              <w:t>3-4 T Anual</w:t>
            </w:r>
          </w:p>
        </w:tc>
      </w:tr>
      <w:tr w:rsidR="00CB7DAD" w:rsidRPr="004848F7" w14:paraId="6C9F3181" w14:textId="77777777" w:rsidTr="00CB7DAD">
        <w:tc>
          <w:tcPr>
            <w:tcW w:w="6063" w:type="dxa"/>
          </w:tcPr>
          <w:p w14:paraId="1A5013DE" w14:textId="4B746C86" w:rsidR="00CB7DAD" w:rsidRPr="004848F7" w:rsidRDefault="003A11E1" w:rsidP="00CB7DAD">
            <w:pPr>
              <w:rPr>
                <w:szCs w:val="24"/>
              </w:rPr>
            </w:pPr>
            <w:r w:rsidRPr="004848F7">
              <w:rPr>
                <w:color w:val="000000"/>
                <w:szCs w:val="24"/>
                <w:lang w:eastAsia="zh-CN"/>
              </w:rPr>
              <w:t>3</w:t>
            </w:r>
            <w:r w:rsidR="00CB7DAD" w:rsidRPr="004848F7">
              <w:rPr>
                <w:color w:val="000000"/>
                <w:szCs w:val="24"/>
                <w:lang w:eastAsia="zh-CN"/>
              </w:rPr>
              <w:t>.2</w:t>
            </w:r>
            <w:r w:rsidR="00CB7DAD" w:rsidRPr="004848F7">
              <w:rPr>
                <w:color w:val="000000"/>
                <w:szCs w:val="24"/>
                <w:lang w:eastAsia="zh-CN"/>
              </w:rPr>
              <w:tab/>
              <w:t xml:space="preserve">Informe </w:t>
            </w:r>
            <w:r w:rsidR="00CB7DAD" w:rsidRPr="004848F7">
              <w:t>al</w:t>
            </w:r>
            <w:r w:rsidR="00CB7DAD" w:rsidRPr="004848F7">
              <w:rPr>
                <w:color w:val="000000"/>
                <w:szCs w:val="24"/>
                <w:lang w:eastAsia="zh-CN"/>
              </w:rPr>
              <w:t xml:space="preserve"> GAR: </w:t>
            </w:r>
            <w:hyperlink r:id="rId68" w:history="1">
              <w:r w:rsidR="00CB7DAD" w:rsidRPr="004848F7">
                <w:rPr>
                  <w:color w:val="0563C1"/>
                  <w:szCs w:val="24"/>
                  <w:u w:val="single"/>
                  <w:lang w:eastAsia="zh-CN"/>
                </w:rPr>
                <w:t>NOW4WRC23</w:t>
              </w:r>
            </w:hyperlink>
            <w:r w:rsidR="00CB7DAD" w:rsidRPr="004848F7">
              <w:rPr>
                <w:color w:val="000000"/>
                <w:szCs w:val="24"/>
                <w:lang w:eastAsia="zh-CN"/>
              </w:rPr>
              <w:t xml:space="preserve">, </w:t>
            </w:r>
            <w:hyperlink r:id="rId69" w:history="1">
              <w:r w:rsidR="00CB7DAD" w:rsidRPr="004848F7">
                <w:rPr>
                  <w:rStyle w:val="Hyperlink"/>
                  <w:szCs w:val="24"/>
                  <w:lang w:eastAsia="zh-CN"/>
                </w:rPr>
                <w:t>Grupo por Correspondencia del GAR sobre Cuestiones de Género</w:t>
              </w:r>
            </w:hyperlink>
          </w:p>
        </w:tc>
        <w:tc>
          <w:tcPr>
            <w:tcW w:w="1450" w:type="dxa"/>
          </w:tcPr>
          <w:p w14:paraId="0D16F11A" w14:textId="0D2832CF" w:rsidR="00CB7DAD" w:rsidRPr="004848F7" w:rsidRDefault="00CB7DAD" w:rsidP="00CB7DAD">
            <w:pPr>
              <w:jc w:val="center"/>
            </w:pPr>
            <w:r w:rsidRPr="004848F7">
              <w:t>BR</w:t>
            </w:r>
          </w:p>
        </w:tc>
        <w:tc>
          <w:tcPr>
            <w:tcW w:w="1548" w:type="dxa"/>
          </w:tcPr>
          <w:p w14:paraId="442C2549" w14:textId="78B7951A" w:rsidR="00CB7DAD" w:rsidRPr="004848F7" w:rsidRDefault="00CB7DAD" w:rsidP="00CB7DAD">
            <w:pPr>
              <w:jc w:val="right"/>
            </w:pPr>
            <w:r w:rsidRPr="004848F7">
              <w:t>En curso</w:t>
            </w:r>
          </w:p>
        </w:tc>
      </w:tr>
      <w:tr w:rsidR="00CB7DAD" w:rsidRPr="004848F7" w14:paraId="6F70FFAE" w14:textId="77777777" w:rsidTr="00CB7DAD">
        <w:tc>
          <w:tcPr>
            <w:tcW w:w="6063" w:type="dxa"/>
          </w:tcPr>
          <w:p w14:paraId="323B0B10" w14:textId="5EC6B821" w:rsidR="00CB7DAD" w:rsidRPr="004848F7" w:rsidRDefault="003A11E1" w:rsidP="00CB7DAD">
            <w:pPr>
              <w:rPr>
                <w:szCs w:val="24"/>
              </w:rPr>
            </w:pPr>
            <w:r w:rsidRPr="004848F7">
              <w:rPr>
                <w:szCs w:val="24"/>
              </w:rPr>
              <w:t>3</w:t>
            </w:r>
            <w:r w:rsidR="00CB7DAD" w:rsidRPr="004848F7">
              <w:rPr>
                <w:szCs w:val="24"/>
              </w:rPr>
              <w:t>.3</w:t>
            </w:r>
            <w:r w:rsidR="00CB7DAD" w:rsidRPr="004848F7">
              <w:rPr>
                <w:szCs w:val="24"/>
              </w:rPr>
              <w:tab/>
            </w:r>
            <w:r w:rsidR="00CB7DAD" w:rsidRPr="004848F7">
              <w:rPr>
                <w:color w:val="000000"/>
                <w:szCs w:val="24"/>
                <w:lang w:eastAsia="zh-CN"/>
              </w:rPr>
              <w:t xml:space="preserve">Informe al </w:t>
            </w:r>
            <w:r w:rsidR="00CB7DAD" w:rsidRPr="004848F7">
              <w:t>GANT</w:t>
            </w:r>
            <w:r w:rsidR="00CB7DAD" w:rsidRPr="004848F7">
              <w:rPr>
                <w:color w:val="000000"/>
                <w:szCs w:val="24"/>
                <w:lang w:eastAsia="zh-CN"/>
              </w:rPr>
              <w:t xml:space="preserve">: </w:t>
            </w:r>
            <w:hyperlink r:id="rId70" w:history="1">
              <w:r w:rsidR="00CB7DAD" w:rsidRPr="004848F7">
                <w:rPr>
                  <w:color w:val="0563C1"/>
                  <w:szCs w:val="24"/>
                  <w:u w:val="single"/>
                  <w:lang w:eastAsia="zh-CN"/>
                </w:rPr>
                <w:t>ITU-T NOW</w:t>
              </w:r>
            </w:hyperlink>
            <w:r w:rsidR="00CB7DAD" w:rsidRPr="004848F7">
              <w:rPr>
                <w:szCs w:val="24"/>
                <w:lang w:eastAsia="zh-CN"/>
              </w:rPr>
              <w:t xml:space="preserve">; </w:t>
            </w:r>
            <w:r w:rsidR="00CB7DAD" w:rsidRPr="004848F7">
              <w:rPr>
                <w:color w:val="000000"/>
                <w:szCs w:val="24"/>
                <w:lang w:eastAsia="zh-CN"/>
              </w:rPr>
              <w:t>NOW4WTSA24</w:t>
            </w:r>
          </w:p>
        </w:tc>
        <w:tc>
          <w:tcPr>
            <w:tcW w:w="1450" w:type="dxa"/>
          </w:tcPr>
          <w:p w14:paraId="1E243F8E" w14:textId="54D4729E" w:rsidR="00CB7DAD" w:rsidRPr="004848F7" w:rsidRDefault="00CB7DAD" w:rsidP="00CB7DAD">
            <w:pPr>
              <w:jc w:val="center"/>
            </w:pPr>
            <w:r w:rsidRPr="004848F7">
              <w:t>TSB</w:t>
            </w:r>
          </w:p>
        </w:tc>
        <w:tc>
          <w:tcPr>
            <w:tcW w:w="1548" w:type="dxa"/>
          </w:tcPr>
          <w:p w14:paraId="6FA6DCC9" w14:textId="4C7430AA" w:rsidR="00CB7DAD" w:rsidRPr="004848F7" w:rsidRDefault="00CB7DAD" w:rsidP="00CB7DAD">
            <w:pPr>
              <w:jc w:val="right"/>
            </w:pPr>
            <w:r w:rsidRPr="004848F7">
              <w:t>3T</w:t>
            </w:r>
            <w:r w:rsidR="00577EFD" w:rsidRPr="004848F7">
              <w:t xml:space="preserve"> </w:t>
            </w:r>
            <w:r w:rsidRPr="004848F7">
              <w:t>2024</w:t>
            </w:r>
          </w:p>
        </w:tc>
      </w:tr>
      <w:tr w:rsidR="00CB7DAD" w:rsidRPr="004848F7" w14:paraId="67939280" w14:textId="77777777" w:rsidTr="00CB7DAD">
        <w:tc>
          <w:tcPr>
            <w:tcW w:w="6063" w:type="dxa"/>
          </w:tcPr>
          <w:p w14:paraId="5D0DAF5E" w14:textId="382313FF" w:rsidR="00CB7DAD" w:rsidRPr="004848F7" w:rsidRDefault="003A11E1" w:rsidP="00CB7DAD">
            <w:pPr>
              <w:rPr>
                <w:szCs w:val="24"/>
              </w:rPr>
            </w:pPr>
            <w:r w:rsidRPr="004848F7">
              <w:rPr>
                <w:szCs w:val="24"/>
              </w:rPr>
              <w:t>3</w:t>
            </w:r>
            <w:r w:rsidR="00CB7DAD" w:rsidRPr="004848F7">
              <w:rPr>
                <w:szCs w:val="24"/>
              </w:rPr>
              <w:t>.4</w:t>
            </w:r>
            <w:r w:rsidR="00CB7DAD" w:rsidRPr="004848F7">
              <w:rPr>
                <w:szCs w:val="24"/>
              </w:rPr>
              <w:tab/>
            </w:r>
            <w:r w:rsidR="00CB7DAD" w:rsidRPr="004848F7">
              <w:rPr>
                <w:color w:val="000000"/>
                <w:szCs w:val="24"/>
                <w:lang w:eastAsia="zh-CN"/>
              </w:rPr>
              <w:t xml:space="preserve">Inclusión </w:t>
            </w:r>
            <w:r w:rsidR="00CB7DAD" w:rsidRPr="004848F7">
              <w:t>de</w:t>
            </w:r>
            <w:r w:rsidR="00CB7DAD" w:rsidRPr="004848F7">
              <w:rPr>
                <w:color w:val="000000"/>
                <w:szCs w:val="24"/>
                <w:lang w:eastAsia="zh-CN"/>
              </w:rPr>
              <w:t xml:space="preserve"> aspectos sobre GEM en los documentos del ciclo de proyectos (</w:t>
            </w:r>
            <w:hyperlink r:id="rId71" w:anchor="page=243" w:history="1">
              <w:r w:rsidR="00CB7DAD" w:rsidRPr="004848F7">
                <w:rPr>
                  <w:color w:val="0563C1"/>
                  <w:szCs w:val="24"/>
                  <w:u w:val="single"/>
                  <w:lang w:eastAsia="zh-CN"/>
                </w:rPr>
                <w:t>Res.</w:t>
              </w:r>
              <w:r w:rsidR="00021991" w:rsidRPr="004848F7">
                <w:rPr>
                  <w:color w:val="0563C1"/>
                  <w:szCs w:val="24"/>
                  <w:u w:val="single"/>
                  <w:lang w:eastAsia="zh-CN"/>
                </w:rPr>
                <w:t> </w:t>
              </w:r>
              <w:r w:rsidR="00CB7DAD" w:rsidRPr="004848F7">
                <w:rPr>
                  <w:color w:val="0563C1"/>
                  <w:szCs w:val="24"/>
                  <w:u w:val="single"/>
                  <w:lang w:eastAsia="zh-CN"/>
                </w:rPr>
                <w:t>55</w:t>
              </w:r>
            </w:hyperlink>
            <w:r w:rsidR="00CB7DAD" w:rsidRPr="004848F7">
              <w:rPr>
                <w:color w:val="000000"/>
                <w:szCs w:val="24"/>
                <w:lang w:eastAsia="zh-CN"/>
              </w:rPr>
              <w:t xml:space="preserve">; </w:t>
            </w:r>
            <w:hyperlink r:id="rId72" w:history="1">
              <w:r w:rsidR="00CB7DAD" w:rsidRPr="004848F7">
                <w:rPr>
                  <w:color w:val="0563C1"/>
                  <w:szCs w:val="24"/>
                  <w:u w:val="single"/>
                  <w:lang w:eastAsia="zh-CN"/>
                </w:rPr>
                <w:t>C23/D631</w:t>
              </w:r>
            </w:hyperlink>
            <w:r w:rsidR="00CB7DAD" w:rsidRPr="004848F7">
              <w:rPr>
                <w:color w:val="000000"/>
                <w:szCs w:val="24"/>
                <w:lang w:eastAsia="zh-CN"/>
              </w:rPr>
              <w:t>)</w:t>
            </w:r>
          </w:p>
        </w:tc>
        <w:tc>
          <w:tcPr>
            <w:tcW w:w="1450" w:type="dxa"/>
          </w:tcPr>
          <w:p w14:paraId="710D9E69" w14:textId="43C8E260" w:rsidR="00CB7DAD" w:rsidRPr="004848F7" w:rsidRDefault="00CB7DAD" w:rsidP="00CB7DAD">
            <w:pPr>
              <w:jc w:val="center"/>
            </w:pPr>
            <w:r w:rsidRPr="004848F7">
              <w:t>BDT/PRJ</w:t>
            </w:r>
          </w:p>
        </w:tc>
        <w:tc>
          <w:tcPr>
            <w:tcW w:w="1548" w:type="dxa"/>
          </w:tcPr>
          <w:p w14:paraId="32830640" w14:textId="5BE90F59" w:rsidR="00CB7DAD" w:rsidRPr="004848F7" w:rsidRDefault="00CB7DAD" w:rsidP="00CB7DAD">
            <w:pPr>
              <w:jc w:val="right"/>
            </w:pPr>
            <w:r w:rsidRPr="004848F7">
              <w:t>2024</w:t>
            </w:r>
          </w:p>
        </w:tc>
      </w:tr>
      <w:tr w:rsidR="00CB7DAD" w:rsidRPr="004848F7" w14:paraId="51AE1B7C" w14:textId="77777777" w:rsidTr="00CB7DAD">
        <w:tc>
          <w:tcPr>
            <w:tcW w:w="6063" w:type="dxa"/>
          </w:tcPr>
          <w:p w14:paraId="23681CC2" w14:textId="45370B56" w:rsidR="00CB7DAD" w:rsidRPr="004848F7" w:rsidRDefault="003A11E1" w:rsidP="00CB7DAD">
            <w:pPr>
              <w:rPr>
                <w:szCs w:val="24"/>
              </w:rPr>
            </w:pPr>
            <w:r w:rsidRPr="004848F7">
              <w:rPr>
                <w:szCs w:val="24"/>
              </w:rPr>
              <w:t>3</w:t>
            </w:r>
            <w:r w:rsidR="00CB7DAD" w:rsidRPr="004848F7">
              <w:rPr>
                <w:szCs w:val="24"/>
              </w:rPr>
              <w:t>.5</w:t>
            </w:r>
            <w:r w:rsidR="00CB7DAD" w:rsidRPr="004848F7">
              <w:rPr>
                <w:szCs w:val="24"/>
              </w:rPr>
              <w:tab/>
            </w:r>
            <w:r w:rsidRPr="004848F7">
              <w:t>Establecimiento</w:t>
            </w:r>
            <w:r w:rsidRPr="004848F7">
              <w:rPr>
                <w:color w:val="000000"/>
                <w:szCs w:val="24"/>
                <w:lang w:eastAsia="zh-CN"/>
              </w:rPr>
              <w:t xml:space="preserve"> de un mecanismo para coordinar las actividades y operaciones NoW de los tres sectores</w:t>
            </w:r>
          </w:p>
        </w:tc>
        <w:tc>
          <w:tcPr>
            <w:tcW w:w="1450" w:type="dxa"/>
          </w:tcPr>
          <w:p w14:paraId="6C23F34C" w14:textId="5D27D379" w:rsidR="00CB7DAD" w:rsidRPr="004848F7" w:rsidRDefault="003A11E1" w:rsidP="00CB7DAD">
            <w:pPr>
              <w:jc w:val="center"/>
            </w:pPr>
            <w:r w:rsidRPr="004848F7">
              <w:t>SG/SPM</w:t>
            </w:r>
          </w:p>
        </w:tc>
        <w:tc>
          <w:tcPr>
            <w:tcW w:w="1548" w:type="dxa"/>
          </w:tcPr>
          <w:p w14:paraId="3A39ACFC" w14:textId="665A3E3A" w:rsidR="00CB7DAD" w:rsidRPr="004848F7" w:rsidRDefault="003A11E1" w:rsidP="00CB7DAD">
            <w:pPr>
              <w:jc w:val="right"/>
            </w:pPr>
            <w:r w:rsidRPr="004848F7">
              <w:t>2024</w:t>
            </w:r>
          </w:p>
        </w:tc>
      </w:tr>
      <w:tr w:rsidR="00CB7DAD" w:rsidRPr="004848F7" w14:paraId="3B256BDB" w14:textId="77777777" w:rsidTr="00CB7DAD">
        <w:tc>
          <w:tcPr>
            <w:tcW w:w="6063" w:type="dxa"/>
          </w:tcPr>
          <w:p w14:paraId="1F613905" w14:textId="4CA02E75" w:rsidR="00CB7DAD" w:rsidRPr="004848F7" w:rsidRDefault="003A11E1" w:rsidP="00CB7DAD">
            <w:pPr>
              <w:rPr>
                <w:szCs w:val="24"/>
              </w:rPr>
            </w:pPr>
            <w:r w:rsidRPr="004848F7">
              <w:rPr>
                <w:szCs w:val="24"/>
              </w:rPr>
              <w:t>3</w:t>
            </w:r>
            <w:r w:rsidR="00CB7DAD" w:rsidRPr="004848F7">
              <w:rPr>
                <w:szCs w:val="24"/>
              </w:rPr>
              <w:t>.6</w:t>
            </w:r>
            <w:r w:rsidR="00CB7DAD" w:rsidRPr="004848F7">
              <w:rPr>
                <w:szCs w:val="24"/>
              </w:rPr>
              <w:tab/>
            </w:r>
            <w:r w:rsidRPr="004848F7">
              <w:rPr>
                <w:color w:val="000000"/>
                <w:szCs w:val="24"/>
                <w:lang w:eastAsia="zh-CN"/>
              </w:rPr>
              <w:t>Promoción de programas y de la seguridad en línea; medidas contra el abuso y el acoso (</w:t>
            </w:r>
            <w:hyperlink r:id="rId73" w:anchor="page=243" w:history="1">
              <w:r w:rsidRPr="004848F7">
                <w:rPr>
                  <w:color w:val="0563C1"/>
                  <w:szCs w:val="24"/>
                  <w:u w:val="single"/>
                  <w:lang w:eastAsia="zh-CN"/>
                </w:rPr>
                <w:t>Res</w:t>
              </w:r>
              <w:r w:rsidR="00021991" w:rsidRPr="004848F7">
                <w:rPr>
                  <w:color w:val="0563C1"/>
                  <w:szCs w:val="24"/>
                  <w:u w:val="single"/>
                  <w:lang w:eastAsia="zh-CN"/>
                </w:rPr>
                <w:t>. </w:t>
              </w:r>
              <w:r w:rsidRPr="004848F7">
                <w:rPr>
                  <w:color w:val="0563C1"/>
                  <w:szCs w:val="24"/>
                  <w:u w:val="single"/>
                  <w:lang w:eastAsia="zh-CN"/>
                </w:rPr>
                <w:t>55</w:t>
              </w:r>
            </w:hyperlink>
            <w:r w:rsidRPr="004848F7">
              <w:rPr>
                <w:color w:val="000000"/>
                <w:szCs w:val="24"/>
                <w:lang w:eastAsia="zh-CN"/>
              </w:rPr>
              <w:t>)</w:t>
            </w:r>
          </w:p>
        </w:tc>
        <w:tc>
          <w:tcPr>
            <w:tcW w:w="1450" w:type="dxa"/>
          </w:tcPr>
          <w:p w14:paraId="6FD5278A" w14:textId="5B0E37A9" w:rsidR="00CB7DAD" w:rsidRPr="004848F7" w:rsidRDefault="003A11E1" w:rsidP="00CB7DAD">
            <w:pPr>
              <w:jc w:val="center"/>
            </w:pPr>
            <w:r w:rsidRPr="004848F7">
              <w:t>BDT</w:t>
            </w:r>
          </w:p>
        </w:tc>
        <w:tc>
          <w:tcPr>
            <w:tcW w:w="1548" w:type="dxa"/>
          </w:tcPr>
          <w:p w14:paraId="5F5AD836" w14:textId="77777777" w:rsidR="00CB7DAD" w:rsidRPr="004848F7" w:rsidRDefault="00CB7DAD" w:rsidP="00CB7DAD">
            <w:pPr>
              <w:jc w:val="right"/>
            </w:pPr>
          </w:p>
        </w:tc>
      </w:tr>
      <w:tr w:rsidR="00CB7DAD" w:rsidRPr="004848F7" w14:paraId="2C886607" w14:textId="77777777" w:rsidTr="00CB7DAD">
        <w:tc>
          <w:tcPr>
            <w:tcW w:w="6063" w:type="dxa"/>
          </w:tcPr>
          <w:p w14:paraId="25A77B0A" w14:textId="6BBAA8D3" w:rsidR="00CB7DAD" w:rsidRPr="004848F7" w:rsidRDefault="003A11E1" w:rsidP="00CB7DAD">
            <w:pPr>
              <w:rPr>
                <w:szCs w:val="24"/>
              </w:rPr>
            </w:pPr>
            <w:r w:rsidRPr="004848F7">
              <w:rPr>
                <w:szCs w:val="24"/>
              </w:rPr>
              <w:lastRenderedPageBreak/>
              <w:t>3</w:t>
            </w:r>
            <w:r w:rsidR="00CB7DAD" w:rsidRPr="004848F7">
              <w:rPr>
                <w:szCs w:val="24"/>
              </w:rPr>
              <w:t>.7</w:t>
            </w:r>
            <w:r w:rsidR="00CB7DAD" w:rsidRPr="004848F7">
              <w:rPr>
                <w:szCs w:val="24"/>
              </w:rPr>
              <w:tab/>
            </w:r>
            <w:r w:rsidRPr="004848F7">
              <w:rPr>
                <w:color w:val="000000"/>
                <w:szCs w:val="24"/>
                <w:lang w:eastAsia="zh-CN"/>
              </w:rPr>
              <w:t xml:space="preserve">Consideración </w:t>
            </w:r>
            <w:r w:rsidRPr="004848F7">
              <w:t>de</w:t>
            </w:r>
            <w:r w:rsidRPr="004848F7">
              <w:rPr>
                <w:color w:val="000000"/>
                <w:szCs w:val="24"/>
                <w:lang w:eastAsia="zh-CN"/>
              </w:rPr>
              <w:t xml:space="preserve"> aspectos de género en cuestiones de las Comisiones de Estudio, según proceda</w:t>
            </w:r>
          </w:p>
        </w:tc>
        <w:tc>
          <w:tcPr>
            <w:tcW w:w="1450" w:type="dxa"/>
          </w:tcPr>
          <w:p w14:paraId="2527F73E" w14:textId="707F1CAC" w:rsidR="00CB7DAD" w:rsidRPr="004848F7" w:rsidRDefault="003A11E1" w:rsidP="00CB7DAD">
            <w:pPr>
              <w:jc w:val="center"/>
            </w:pPr>
            <w:r w:rsidRPr="004848F7">
              <w:t>BDT/TSB/BR</w:t>
            </w:r>
          </w:p>
        </w:tc>
        <w:tc>
          <w:tcPr>
            <w:tcW w:w="1548" w:type="dxa"/>
          </w:tcPr>
          <w:p w14:paraId="0944B961" w14:textId="77777777" w:rsidR="00CB7DAD" w:rsidRPr="004848F7" w:rsidRDefault="00CB7DAD" w:rsidP="00CB7DAD">
            <w:pPr>
              <w:jc w:val="right"/>
            </w:pPr>
          </w:p>
        </w:tc>
      </w:tr>
    </w:tbl>
    <w:p w14:paraId="0E5E2804" w14:textId="68848D7F" w:rsidR="0054168D" w:rsidRPr="004848F7" w:rsidRDefault="0054168D" w:rsidP="003A11E1">
      <w:pPr>
        <w:pStyle w:val="Heading1"/>
        <w:rPr>
          <w:i/>
          <w:iCs/>
          <w:u w:val="single"/>
          <w:lang w:eastAsia="zh-CN"/>
        </w:rPr>
      </w:pPr>
      <w:r w:rsidRPr="004848F7">
        <w:rPr>
          <w:i/>
          <w:iCs/>
          <w:u w:val="single"/>
          <w:lang w:eastAsia="zh-CN"/>
        </w:rPr>
        <w:t>II</w:t>
      </w:r>
      <w:r w:rsidRPr="004848F7">
        <w:rPr>
          <w:i/>
          <w:iCs/>
          <w:u w:val="single"/>
          <w:lang w:eastAsia="zh-CN"/>
        </w:rPr>
        <w:tab/>
        <w:t>Supervisión</w:t>
      </w:r>
    </w:p>
    <w:p w14:paraId="5806681A" w14:textId="39A126BF" w:rsidR="00EE76D1" w:rsidRPr="004848F7" w:rsidRDefault="003A11E1" w:rsidP="00021991">
      <w:pPr>
        <w:pStyle w:val="Heading1"/>
        <w:rPr>
          <w:rFonts w:eastAsia="SimSun"/>
        </w:rPr>
      </w:pPr>
      <w:r w:rsidRPr="004848F7">
        <w:t>4</w:t>
      </w:r>
      <w:r w:rsidRPr="004848F7">
        <w:tab/>
      </w:r>
      <w:r w:rsidR="00EE76D1" w:rsidRPr="004848F7">
        <w:t>Evaluación</w:t>
      </w:r>
      <w:r w:rsidR="00021991" w:rsidRPr="004848F7">
        <w:br/>
      </w:r>
      <w:r w:rsidR="00EE76D1" w:rsidRPr="004848F7">
        <w:rPr>
          <w:rFonts w:eastAsia="SimSun"/>
        </w:rPr>
        <w:t>2023 Estado: N/A</w:t>
      </w:r>
    </w:p>
    <w:p w14:paraId="08D47F6C" w14:textId="414A841A" w:rsidR="00EE76D1" w:rsidRPr="004848F7" w:rsidRDefault="00EE76D1" w:rsidP="003A11E1">
      <w:r w:rsidRPr="004848F7">
        <w:t xml:space="preserve">Este indicador sólo es pertinente si existe un departamento de evaluación. Para cumplir este </w:t>
      </w:r>
      <w:hyperlink r:id="rId74" w:history="1">
        <w:r w:rsidRPr="004848F7">
          <w:rPr>
            <w:rStyle w:val="Hyperlink"/>
          </w:rPr>
          <w:t>indicador de rendimiento ONU-SWAP</w:t>
        </w:r>
      </w:hyperlink>
      <w:r w:rsidRPr="004848F7">
        <w:t>, la UIT debe cumplir las normas y reglas pertinentes en materia de igualdad de género del Grupo de Evaluación de las Naciones Unidas (UNEG) en todas las evaluaciones y aplicar las indicaciones del UNEG sobre integración de derechos humanos e igualdad de género en la evaluación durante todas las fases de la evaluación. Por otro lado, se pide a todas las entidades notificantes del sistema de las Naciones Unidas que realicen al menos una evaluación para valorar el rendimiento institucional en materia de integración de cuestiones de género cada 5-8 años. Para que una evaluación "cumpla los requisitos", al menos uno de los criterios proporcionados por el UNEG (</w:t>
      </w:r>
      <w:hyperlink r:id="rId75" w:history="1">
        <w:r w:rsidRPr="004848F7">
          <w:rPr>
            <w:rStyle w:val="Hyperlink"/>
          </w:rPr>
          <w:t>ONU-SWAP EPI</w:t>
        </w:r>
      </w:hyperlink>
      <w:r w:rsidRPr="004848F7">
        <w:t>) debe considerarse "plenamente integrado".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1450"/>
        <w:gridCol w:w="1548"/>
      </w:tblGrid>
      <w:tr w:rsidR="0054168D" w:rsidRPr="004848F7" w14:paraId="3257ABFE" w14:textId="77777777" w:rsidTr="0054168D">
        <w:tc>
          <w:tcPr>
            <w:tcW w:w="6063" w:type="dxa"/>
          </w:tcPr>
          <w:p w14:paraId="126F80A1" w14:textId="3C684198" w:rsidR="0054168D" w:rsidRPr="004848F7" w:rsidRDefault="0054168D" w:rsidP="003A11E1">
            <w:pPr>
              <w:rPr>
                <w:u w:val="single"/>
              </w:rPr>
            </w:pPr>
            <w:r w:rsidRPr="004848F7">
              <w:rPr>
                <w:u w:val="single"/>
              </w:rPr>
              <w:t>Productos</w:t>
            </w:r>
          </w:p>
        </w:tc>
        <w:tc>
          <w:tcPr>
            <w:tcW w:w="1450" w:type="dxa"/>
          </w:tcPr>
          <w:p w14:paraId="5AA66E90" w14:textId="522AD5ED" w:rsidR="0054168D" w:rsidRPr="004848F7" w:rsidRDefault="0054168D" w:rsidP="0054168D">
            <w:pPr>
              <w:jc w:val="center"/>
              <w:rPr>
                <w:u w:val="single"/>
              </w:rPr>
            </w:pPr>
            <w:r w:rsidRPr="004848F7">
              <w:rPr>
                <w:u w:val="single"/>
              </w:rPr>
              <w:t>Responsable</w:t>
            </w:r>
          </w:p>
        </w:tc>
        <w:tc>
          <w:tcPr>
            <w:tcW w:w="1548" w:type="dxa"/>
          </w:tcPr>
          <w:p w14:paraId="3DEC6E7E" w14:textId="426FB0AE" w:rsidR="0054168D" w:rsidRPr="004848F7" w:rsidRDefault="0054168D" w:rsidP="0054168D">
            <w:pPr>
              <w:jc w:val="right"/>
              <w:rPr>
                <w:u w:val="single"/>
              </w:rPr>
            </w:pPr>
            <w:r w:rsidRPr="004848F7">
              <w:rPr>
                <w:u w:val="single"/>
              </w:rPr>
              <w:t>Plazo</w:t>
            </w:r>
          </w:p>
        </w:tc>
      </w:tr>
      <w:tr w:rsidR="0054168D" w:rsidRPr="004848F7" w14:paraId="4B636233" w14:textId="77777777" w:rsidTr="0054168D">
        <w:tc>
          <w:tcPr>
            <w:tcW w:w="6063" w:type="dxa"/>
          </w:tcPr>
          <w:p w14:paraId="686E0F67" w14:textId="3AF36735" w:rsidR="0054168D" w:rsidRPr="004848F7" w:rsidRDefault="0054168D" w:rsidP="0054168D">
            <w:r w:rsidRPr="004848F7">
              <w:rPr>
                <w:lang w:eastAsia="zh-CN"/>
              </w:rPr>
              <w:t>4.1</w:t>
            </w:r>
            <w:r w:rsidRPr="004848F7">
              <w:rPr>
                <w:lang w:eastAsia="zh-CN"/>
              </w:rPr>
              <w:tab/>
              <w:t>Incorporación de cuestiones de género y diversidad en las directrices de gestión y evaluación de proyectos</w:t>
            </w:r>
          </w:p>
        </w:tc>
        <w:tc>
          <w:tcPr>
            <w:tcW w:w="1450" w:type="dxa"/>
          </w:tcPr>
          <w:p w14:paraId="6151E458" w14:textId="0C3456E0" w:rsidR="0054168D" w:rsidRPr="004848F7" w:rsidRDefault="0054168D" w:rsidP="0054168D">
            <w:pPr>
              <w:jc w:val="center"/>
            </w:pPr>
            <w:r w:rsidRPr="004848F7">
              <w:t>DS/BDT</w:t>
            </w:r>
          </w:p>
        </w:tc>
        <w:tc>
          <w:tcPr>
            <w:tcW w:w="1548" w:type="dxa"/>
          </w:tcPr>
          <w:p w14:paraId="1DB1DC76" w14:textId="6A006452" w:rsidR="0054168D" w:rsidRPr="004848F7" w:rsidRDefault="0054168D" w:rsidP="0054168D">
            <w:pPr>
              <w:jc w:val="right"/>
            </w:pPr>
            <w:r w:rsidRPr="004848F7">
              <w:t>Por determinar</w:t>
            </w:r>
          </w:p>
        </w:tc>
      </w:tr>
      <w:tr w:rsidR="0054168D" w:rsidRPr="004848F7" w14:paraId="346B9D54" w14:textId="77777777" w:rsidTr="0054168D">
        <w:tc>
          <w:tcPr>
            <w:tcW w:w="6063" w:type="dxa"/>
          </w:tcPr>
          <w:p w14:paraId="3EBB155F" w14:textId="2C83D857" w:rsidR="0054168D" w:rsidRPr="004848F7" w:rsidRDefault="0054168D" w:rsidP="0054168D">
            <w:r w:rsidRPr="004848F7">
              <w:rPr>
                <w:lang w:eastAsia="zh-CN"/>
              </w:rPr>
              <w:t>4.2</w:t>
            </w:r>
            <w:r w:rsidRPr="004848F7">
              <w:rPr>
                <w:lang w:eastAsia="zh-CN"/>
              </w:rPr>
              <w:tab/>
              <w:t>Integración de las normas y reglas sobre género del UNEG en las evaluaciones de la UIT</w:t>
            </w:r>
          </w:p>
        </w:tc>
        <w:tc>
          <w:tcPr>
            <w:tcW w:w="1450" w:type="dxa"/>
          </w:tcPr>
          <w:p w14:paraId="2A2FA4FF" w14:textId="4AB12E08" w:rsidR="0054168D" w:rsidRPr="004848F7" w:rsidRDefault="0054168D" w:rsidP="0054168D">
            <w:pPr>
              <w:jc w:val="center"/>
            </w:pPr>
            <w:r w:rsidRPr="004848F7">
              <w:t>DS/BDT</w:t>
            </w:r>
          </w:p>
        </w:tc>
        <w:tc>
          <w:tcPr>
            <w:tcW w:w="1548" w:type="dxa"/>
          </w:tcPr>
          <w:p w14:paraId="00D9890E" w14:textId="64650DAD" w:rsidR="0054168D" w:rsidRPr="004848F7" w:rsidRDefault="0054168D" w:rsidP="0054168D">
            <w:pPr>
              <w:jc w:val="right"/>
            </w:pPr>
            <w:r w:rsidRPr="004848F7">
              <w:t>Por determinar</w:t>
            </w:r>
          </w:p>
        </w:tc>
      </w:tr>
      <w:tr w:rsidR="0054168D" w:rsidRPr="004848F7" w14:paraId="5D93A885" w14:textId="77777777" w:rsidTr="0054168D">
        <w:tc>
          <w:tcPr>
            <w:tcW w:w="6063" w:type="dxa"/>
          </w:tcPr>
          <w:p w14:paraId="1F7F5EAF" w14:textId="6C5358CE" w:rsidR="0054168D" w:rsidRPr="004848F7" w:rsidRDefault="0054168D" w:rsidP="0054168D">
            <w:r w:rsidRPr="004848F7">
              <w:rPr>
                <w:lang w:eastAsia="zh-CN"/>
              </w:rPr>
              <w:t>4.3</w:t>
            </w:r>
            <w:r w:rsidRPr="004848F7">
              <w:rPr>
                <w:lang w:eastAsia="zh-CN"/>
              </w:rPr>
              <w:tab/>
              <w:t>Evaluación de los proyectos pertinentes para valorar las implicaciones en materia de género (Res</w:t>
            </w:r>
            <w:r w:rsidR="00021991" w:rsidRPr="004848F7">
              <w:rPr>
                <w:lang w:eastAsia="zh-CN"/>
              </w:rPr>
              <w:t>. </w:t>
            </w:r>
            <w:r w:rsidRPr="004848F7">
              <w:rPr>
                <w:lang w:eastAsia="zh-CN"/>
              </w:rPr>
              <w:t>55)</w:t>
            </w:r>
            <w:r w:rsidR="008A56E1" w:rsidRPr="004848F7">
              <w:rPr>
                <w:rStyle w:val="FootnoteReference"/>
                <w:lang w:eastAsia="zh-CN"/>
              </w:rPr>
              <w:footnoteReference w:customMarkFollows="1" w:id="7"/>
              <w:t>4</w:t>
            </w:r>
          </w:p>
        </w:tc>
        <w:tc>
          <w:tcPr>
            <w:tcW w:w="1450" w:type="dxa"/>
          </w:tcPr>
          <w:p w14:paraId="74602345" w14:textId="0BCA529A" w:rsidR="0054168D" w:rsidRPr="004848F7" w:rsidRDefault="0054168D" w:rsidP="0054168D">
            <w:pPr>
              <w:jc w:val="center"/>
            </w:pPr>
            <w:r w:rsidRPr="004848F7">
              <w:t>DS/BDT</w:t>
            </w:r>
          </w:p>
        </w:tc>
        <w:tc>
          <w:tcPr>
            <w:tcW w:w="1548" w:type="dxa"/>
          </w:tcPr>
          <w:p w14:paraId="2735FF66" w14:textId="2FF63729" w:rsidR="0054168D" w:rsidRPr="004848F7" w:rsidRDefault="0054168D" w:rsidP="0054168D">
            <w:pPr>
              <w:jc w:val="right"/>
            </w:pPr>
            <w:r w:rsidRPr="004848F7">
              <w:t>Por determinar</w:t>
            </w:r>
          </w:p>
        </w:tc>
      </w:tr>
    </w:tbl>
    <w:p w14:paraId="2FE9BE28" w14:textId="0B8E0285" w:rsidR="00EE76D1" w:rsidRPr="004848F7" w:rsidRDefault="0054168D" w:rsidP="00021991">
      <w:pPr>
        <w:pStyle w:val="Heading1"/>
        <w:rPr>
          <w:rFonts w:eastAsia="SimSun"/>
        </w:rPr>
      </w:pPr>
      <w:r w:rsidRPr="004848F7">
        <w:t>5</w:t>
      </w:r>
      <w:r w:rsidRPr="004848F7">
        <w:tab/>
      </w:r>
      <w:r w:rsidR="00EE76D1" w:rsidRPr="004848F7">
        <w:t xml:space="preserve">Auditoría sobre cuestiones de género </w:t>
      </w:r>
      <w:r w:rsidR="00EE76D1" w:rsidRPr="004848F7">
        <w:rPr>
          <w:color w:val="FF0000"/>
        </w:rPr>
        <w:t>[INDICADOR PRIORITARIO]</w:t>
      </w:r>
      <w:r w:rsidR="00021991" w:rsidRPr="004848F7">
        <w:br/>
      </w:r>
      <w:r w:rsidR="00EE76D1" w:rsidRPr="004848F7">
        <w:rPr>
          <w:rFonts w:eastAsia="SimSun"/>
        </w:rPr>
        <w:t>Situación en 2023: Cumplimiento de requisitos</w:t>
      </w:r>
    </w:p>
    <w:p w14:paraId="3530E078" w14:textId="1DB6EC69" w:rsidR="00EE76D1" w:rsidRPr="004848F7" w:rsidRDefault="00EE76D1" w:rsidP="0054168D">
      <w:r w:rsidRPr="004848F7">
        <w:t xml:space="preserve">Para cumplir este </w:t>
      </w:r>
      <w:hyperlink r:id="rId76" w:history="1">
        <w:r w:rsidRPr="004848F7">
          <w:rPr>
            <w:rStyle w:val="Hyperlink"/>
          </w:rPr>
          <w:t>indicador de rendimiento ONU-SWAP</w:t>
        </w:r>
      </w:hyperlink>
      <w:r w:rsidRPr="004848F7">
        <w:t>, la Dependencia de Supervisión (DS) de la UIT debe disponer de herramientas para auditar aspectos relativos a la igualdad de género y al empoderamiento de la mujer (en particular, cumplimiento de políticas y calidad de los informes), y aplicarlas según proceda en todas las fases de auditoría pertinentes. Puesto que la última auditoría específica se realizó en 2017, se requiere una nueva auditoría a tal efecto con objeto de cumplir los requisitos establecidos.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1450"/>
        <w:gridCol w:w="1548"/>
      </w:tblGrid>
      <w:tr w:rsidR="0054168D" w:rsidRPr="004848F7" w14:paraId="5B342A24" w14:textId="77777777" w:rsidTr="0054168D">
        <w:tc>
          <w:tcPr>
            <w:tcW w:w="6063" w:type="dxa"/>
          </w:tcPr>
          <w:p w14:paraId="466FCC7D" w14:textId="5A8E6E0E" w:rsidR="0054168D" w:rsidRPr="004848F7" w:rsidRDefault="0054168D" w:rsidP="0054168D">
            <w:pPr>
              <w:rPr>
                <w:u w:val="single"/>
              </w:rPr>
            </w:pPr>
            <w:r w:rsidRPr="004848F7">
              <w:rPr>
                <w:u w:val="single"/>
              </w:rPr>
              <w:t>Productos</w:t>
            </w:r>
          </w:p>
        </w:tc>
        <w:tc>
          <w:tcPr>
            <w:tcW w:w="1450" w:type="dxa"/>
          </w:tcPr>
          <w:p w14:paraId="4A04B6B8" w14:textId="106ED91F" w:rsidR="0054168D" w:rsidRPr="004848F7" w:rsidRDefault="0054168D" w:rsidP="0054168D">
            <w:pPr>
              <w:jc w:val="center"/>
              <w:rPr>
                <w:u w:val="single"/>
              </w:rPr>
            </w:pPr>
            <w:r w:rsidRPr="004848F7">
              <w:rPr>
                <w:u w:val="single"/>
              </w:rPr>
              <w:t>Responsable</w:t>
            </w:r>
          </w:p>
        </w:tc>
        <w:tc>
          <w:tcPr>
            <w:tcW w:w="1548" w:type="dxa"/>
          </w:tcPr>
          <w:p w14:paraId="31E28C7B" w14:textId="549B95D0" w:rsidR="0054168D" w:rsidRPr="004848F7" w:rsidRDefault="0054168D" w:rsidP="0054168D">
            <w:pPr>
              <w:jc w:val="right"/>
              <w:rPr>
                <w:u w:val="single"/>
              </w:rPr>
            </w:pPr>
            <w:r w:rsidRPr="004848F7">
              <w:rPr>
                <w:u w:val="single"/>
              </w:rPr>
              <w:t>Plazo</w:t>
            </w:r>
          </w:p>
        </w:tc>
      </w:tr>
      <w:tr w:rsidR="0054168D" w:rsidRPr="004848F7" w14:paraId="657722C5" w14:textId="77777777" w:rsidTr="0054168D">
        <w:tc>
          <w:tcPr>
            <w:tcW w:w="6063" w:type="dxa"/>
          </w:tcPr>
          <w:p w14:paraId="7B4190A6" w14:textId="2658DAD4" w:rsidR="0054168D" w:rsidRPr="004848F7" w:rsidRDefault="0054168D" w:rsidP="0054168D">
            <w:r w:rsidRPr="004848F7">
              <w:rPr>
                <w:lang w:eastAsia="zh-CN"/>
              </w:rPr>
              <w:lastRenderedPageBreak/>
              <w:t>5.1</w:t>
            </w:r>
            <w:r w:rsidRPr="004848F7">
              <w:rPr>
                <w:lang w:eastAsia="zh-CN"/>
              </w:rPr>
              <w:tab/>
              <w:t>Revisión de los riesgos relacionados con cuestiones de género en la planificación anual de la labor de auditoría; aplicación a todas las fases pertinentes</w:t>
            </w:r>
          </w:p>
        </w:tc>
        <w:tc>
          <w:tcPr>
            <w:tcW w:w="1450" w:type="dxa"/>
          </w:tcPr>
          <w:p w14:paraId="1D572DE3" w14:textId="1084A88B" w:rsidR="0054168D" w:rsidRPr="004848F7" w:rsidRDefault="0054168D" w:rsidP="0054168D">
            <w:pPr>
              <w:jc w:val="center"/>
            </w:pPr>
            <w:r w:rsidRPr="004848F7">
              <w:t>DS</w:t>
            </w:r>
          </w:p>
        </w:tc>
        <w:tc>
          <w:tcPr>
            <w:tcW w:w="1548" w:type="dxa"/>
          </w:tcPr>
          <w:p w14:paraId="3488216D" w14:textId="4DD705B7" w:rsidR="0054168D" w:rsidRPr="004848F7" w:rsidRDefault="0054168D" w:rsidP="0054168D">
            <w:pPr>
              <w:jc w:val="right"/>
            </w:pPr>
            <w:r w:rsidRPr="004848F7">
              <w:t>Anual</w:t>
            </w:r>
          </w:p>
        </w:tc>
      </w:tr>
      <w:tr w:rsidR="0054168D" w:rsidRPr="004848F7" w14:paraId="58741F89" w14:textId="77777777" w:rsidTr="0054168D">
        <w:tc>
          <w:tcPr>
            <w:tcW w:w="6063" w:type="dxa"/>
          </w:tcPr>
          <w:p w14:paraId="267DC70B" w14:textId="39CFACE4" w:rsidR="0054168D" w:rsidRPr="004848F7" w:rsidRDefault="0054168D" w:rsidP="0054168D">
            <w:r w:rsidRPr="004848F7">
              <w:rPr>
                <w:lang w:eastAsia="zh-CN"/>
              </w:rPr>
              <w:t>5.2</w:t>
            </w:r>
            <w:r w:rsidRPr="004848F7">
              <w:rPr>
                <w:lang w:eastAsia="zh-CN"/>
              </w:rPr>
              <w:tab/>
              <w:t>Auditoría específica sobre igualdad de género (cada 5 años; la última tuvo lugar en 2017)</w:t>
            </w:r>
          </w:p>
        </w:tc>
        <w:tc>
          <w:tcPr>
            <w:tcW w:w="1450" w:type="dxa"/>
          </w:tcPr>
          <w:p w14:paraId="4249C4EA" w14:textId="38022573" w:rsidR="0054168D" w:rsidRPr="004848F7" w:rsidRDefault="0054168D" w:rsidP="0054168D">
            <w:pPr>
              <w:jc w:val="center"/>
            </w:pPr>
            <w:r w:rsidRPr="004848F7">
              <w:t>DS</w:t>
            </w:r>
          </w:p>
        </w:tc>
        <w:tc>
          <w:tcPr>
            <w:tcW w:w="1548" w:type="dxa"/>
          </w:tcPr>
          <w:p w14:paraId="23142FA2" w14:textId="6F28714E" w:rsidR="0054168D" w:rsidRPr="004848F7" w:rsidRDefault="0054168D" w:rsidP="0054168D">
            <w:pPr>
              <w:jc w:val="right"/>
            </w:pPr>
            <w:r w:rsidRPr="004848F7">
              <w:t>2T</w:t>
            </w:r>
            <w:r w:rsidR="008A56E1" w:rsidRPr="004848F7">
              <w:t xml:space="preserve"> </w:t>
            </w:r>
            <w:r w:rsidRPr="004848F7">
              <w:t>2024</w:t>
            </w:r>
          </w:p>
        </w:tc>
      </w:tr>
      <w:tr w:rsidR="0054168D" w:rsidRPr="004848F7" w14:paraId="079C6AF2" w14:textId="77777777" w:rsidTr="0054168D">
        <w:tc>
          <w:tcPr>
            <w:tcW w:w="6063" w:type="dxa"/>
          </w:tcPr>
          <w:p w14:paraId="79EAA1C2" w14:textId="40AC19C5" w:rsidR="0054168D" w:rsidRPr="004848F7" w:rsidRDefault="0054168D" w:rsidP="0054168D">
            <w:r w:rsidRPr="004848F7">
              <w:rPr>
                <w:lang w:eastAsia="zh-CN"/>
              </w:rPr>
              <w:t>5.3</w:t>
            </w:r>
            <w:r w:rsidRPr="004848F7">
              <w:rPr>
                <w:lang w:eastAsia="zh-CN"/>
              </w:rPr>
              <w:tab/>
              <w:t>Inclusión de aspectos de género en el Informe de la DS al Consejo</w:t>
            </w:r>
          </w:p>
        </w:tc>
        <w:tc>
          <w:tcPr>
            <w:tcW w:w="1450" w:type="dxa"/>
          </w:tcPr>
          <w:p w14:paraId="394C8B42" w14:textId="17C29AF8" w:rsidR="0054168D" w:rsidRPr="004848F7" w:rsidRDefault="0054168D" w:rsidP="0054168D">
            <w:pPr>
              <w:jc w:val="center"/>
            </w:pPr>
            <w:r w:rsidRPr="004848F7">
              <w:t>DS</w:t>
            </w:r>
          </w:p>
        </w:tc>
        <w:tc>
          <w:tcPr>
            <w:tcW w:w="1548" w:type="dxa"/>
          </w:tcPr>
          <w:p w14:paraId="48873F83" w14:textId="4F2AA55A" w:rsidR="0054168D" w:rsidRPr="004848F7" w:rsidRDefault="0054168D" w:rsidP="0054168D">
            <w:pPr>
              <w:jc w:val="right"/>
            </w:pPr>
            <w:r w:rsidRPr="004848F7">
              <w:t>Anual</w:t>
            </w:r>
          </w:p>
        </w:tc>
      </w:tr>
    </w:tbl>
    <w:p w14:paraId="459F2FF5" w14:textId="36B6DFBB" w:rsidR="00EE76D1" w:rsidRPr="004848F7" w:rsidRDefault="00EE76D1" w:rsidP="0054168D">
      <w:pPr>
        <w:pStyle w:val="Heading1"/>
        <w:rPr>
          <w:i/>
          <w:iCs/>
          <w:u w:val="single"/>
        </w:rPr>
      </w:pPr>
      <w:r w:rsidRPr="004848F7">
        <w:rPr>
          <w:i/>
          <w:iCs/>
          <w:u w:val="single"/>
        </w:rPr>
        <w:t>III</w:t>
      </w:r>
      <w:r w:rsidRPr="004848F7">
        <w:rPr>
          <w:i/>
          <w:iCs/>
          <w:u w:val="single"/>
        </w:rPr>
        <w:tab/>
        <w:t>Fortalecimiento institucional para facilitar el cumplimiento de los resultados</w:t>
      </w:r>
    </w:p>
    <w:p w14:paraId="06FFB455" w14:textId="7F84AA37" w:rsidR="00EE76D1" w:rsidRPr="004848F7" w:rsidRDefault="0054168D" w:rsidP="0054168D">
      <w:pPr>
        <w:pStyle w:val="Heading1"/>
        <w:rPr>
          <w:rFonts w:eastAsia="SimSun"/>
          <w:lang w:eastAsia="zh-CN"/>
        </w:rPr>
      </w:pPr>
      <w:r w:rsidRPr="004848F7">
        <w:rPr>
          <w:bCs/>
          <w:lang w:eastAsia="zh-CN"/>
        </w:rPr>
        <w:t>6</w:t>
      </w:r>
      <w:r w:rsidRPr="004848F7">
        <w:rPr>
          <w:bCs/>
          <w:lang w:eastAsia="zh-CN"/>
        </w:rPr>
        <w:tab/>
      </w:r>
      <w:r w:rsidR="00EE76D1" w:rsidRPr="004848F7">
        <w:rPr>
          <w:bCs/>
          <w:lang w:eastAsia="zh-CN"/>
        </w:rPr>
        <w:t>Política</w:t>
      </w:r>
      <w:r w:rsidR="009F592D" w:rsidRPr="004848F7">
        <w:rPr>
          <w:rFonts w:ascii="Times New Roman" w:eastAsia="SimSun" w:hAnsi="Times New Roman"/>
          <w:lang w:eastAsia="zh-CN"/>
        </w:rPr>
        <w:br/>
      </w:r>
      <w:r w:rsidR="00EE76D1" w:rsidRPr="004848F7">
        <w:rPr>
          <w:rFonts w:eastAsia="SimSun"/>
          <w:bCs/>
          <w:lang w:eastAsia="zh-CN"/>
        </w:rPr>
        <w:t xml:space="preserve">Situación en 2023: </w:t>
      </w:r>
      <w:r w:rsidR="00EE76D1" w:rsidRPr="004848F7">
        <w:rPr>
          <w:rFonts w:eastAsia="SimSun"/>
          <w:lang w:eastAsia="zh-CN"/>
        </w:rPr>
        <w:t>Cumplimiento casi íntegro de requisitos</w:t>
      </w:r>
    </w:p>
    <w:p w14:paraId="1AB5CAB1" w14:textId="561BB973" w:rsidR="00EE76D1" w:rsidRPr="004848F7" w:rsidRDefault="00EE76D1" w:rsidP="0054168D">
      <w:r w:rsidRPr="004848F7">
        <w:t xml:space="preserve">Para cumplir este </w:t>
      </w:r>
      <w:hyperlink r:id="rId77" w:history="1">
        <w:r w:rsidRPr="004848F7">
          <w:rPr>
            <w:rStyle w:val="Hyperlink"/>
          </w:rPr>
          <w:t>indicador de rendimiento ONU-SWAP</w:t>
        </w:r>
      </w:hyperlink>
      <w:r w:rsidRPr="004848F7">
        <w:t>, la UIT debe implantar una política y un plan actualizados en materia de igualdad de género y empleo para la mujer (desarrollado, reformulado o revisado en los últimos cinco años) que aborde tanto la integración de las cuestiones de género como la representación equitativa de la mujer. Su contenido ha de armonizarse con los requisitos del ONU-SWAP e incluir la rendición de cuentas a todos los niveles, incluida la alta dirección. Para cumplir los requisitos, es necesario contar con una estrategia de aplicación que abarque: i) un plan de aplicación; ii) un calendario de implantación; iii) los recursos necesarios para su aplicación; y iv) la rendición de cuentas a diversos niveles de personal, incluida la alta dirección, a los efectos de promoción de la igualdad de género y del empoderamiento de la mujer, que incluya la integración de las cuestiones de género, las intervenciones relativas a las mismas y la representación equitativa de mujeres en los miembros del persona</w:t>
      </w:r>
      <w:r w:rsidR="002709F3" w:rsidRPr="004848F7">
        <w:t>l</w:t>
      </w:r>
      <w:r w:rsidRPr="004848F7">
        <w:t xml:space="preserve"> de forma clara. Las medidas de rendición de cuentas deben incluir la evaluación del rendimiento y los contratos de la alta dirección, en los que se especifiquen sus responsabilidades. Por otro lado, la supervisión y evaluación de la política y el plan de acción deben ser claras, llevarse a cabo con arreglo a plazos, contar con mecanismos que garanticen las actividades de supervisión y evaluación y velar por que los resultados se consideren en las actividades de programación. Además, las políticas deberán incluir una sección sobre los principales resultados de la IGEM, vinculados a los ODS, que puede ser un resumen pormenorizado del documento principal de planificación estratégica. Para cumplir los requisitos sobre la representación equitativa de las mujeres, la UIT debe aplicar políticas que apoyen la representación de las mujeres en todos los niveles de la organización y una estrategia general que propicie el equilibrio de género.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559"/>
        <w:gridCol w:w="1416"/>
      </w:tblGrid>
      <w:tr w:rsidR="0054168D" w:rsidRPr="004848F7" w14:paraId="0872C9A8" w14:textId="77777777" w:rsidTr="009F592D">
        <w:tc>
          <w:tcPr>
            <w:tcW w:w="6096" w:type="dxa"/>
          </w:tcPr>
          <w:p w14:paraId="07A4CB3A" w14:textId="7AB7A600" w:rsidR="0054168D" w:rsidRPr="004848F7" w:rsidRDefault="0054168D" w:rsidP="0054168D">
            <w:pPr>
              <w:rPr>
                <w:u w:val="single"/>
              </w:rPr>
            </w:pPr>
            <w:r w:rsidRPr="004848F7">
              <w:rPr>
                <w:u w:val="single"/>
              </w:rPr>
              <w:t>Productos</w:t>
            </w:r>
          </w:p>
        </w:tc>
        <w:tc>
          <w:tcPr>
            <w:tcW w:w="1559" w:type="dxa"/>
          </w:tcPr>
          <w:p w14:paraId="58152245" w14:textId="2FEBD8E3" w:rsidR="0054168D" w:rsidRPr="004848F7" w:rsidRDefault="0054168D" w:rsidP="0054168D">
            <w:pPr>
              <w:jc w:val="center"/>
              <w:rPr>
                <w:u w:val="single"/>
              </w:rPr>
            </w:pPr>
            <w:r w:rsidRPr="004848F7">
              <w:rPr>
                <w:u w:val="single"/>
              </w:rPr>
              <w:t>Responsable</w:t>
            </w:r>
          </w:p>
        </w:tc>
        <w:tc>
          <w:tcPr>
            <w:tcW w:w="1416" w:type="dxa"/>
          </w:tcPr>
          <w:p w14:paraId="3DD0A5BB" w14:textId="73B17A8F" w:rsidR="0054168D" w:rsidRPr="004848F7" w:rsidRDefault="0054168D" w:rsidP="0054168D">
            <w:pPr>
              <w:jc w:val="right"/>
              <w:rPr>
                <w:u w:val="single"/>
              </w:rPr>
            </w:pPr>
            <w:r w:rsidRPr="004848F7">
              <w:rPr>
                <w:u w:val="single"/>
              </w:rPr>
              <w:t>Plazo</w:t>
            </w:r>
          </w:p>
        </w:tc>
      </w:tr>
      <w:tr w:rsidR="0054168D" w:rsidRPr="004848F7" w14:paraId="4E207E5E" w14:textId="77777777" w:rsidTr="009F592D">
        <w:tc>
          <w:tcPr>
            <w:tcW w:w="6096" w:type="dxa"/>
          </w:tcPr>
          <w:p w14:paraId="36AEF9E3" w14:textId="2A39187E" w:rsidR="0054168D" w:rsidRPr="004848F7" w:rsidRDefault="009F592D" w:rsidP="0054168D">
            <w:pPr>
              <w:rPr>
                <w:szCs w:val="24"/>
              </w:rPr>
            </w:pPr>
            <w:r w:rsidRPr="004848F7">
              <w:rPr>
                <w:szCs w:val="24"/>
                <w:lang w:eastAsia="zh-CN"/>
              </w:rPr>
              <w:t>6.1</w:t>
            </w:r>
            <w:r w:rsidRPr="004848F7">
              <w:rPr>
                <w:szCs w:val="24"/>
                <w:lang w:eastAsia="zh-CN"/>
              </w:rPr>
              <w:tab/>
            </w:r>
            <w:r w:rsidR="0054168D" w:rsidRPr="004848F7">
              <w:rPr>
                <w:szCs w:val="24"/>
                <w:lang w:eastAsia="zh-CN"/>
              </w:rPr>
              <w:t xml:space="preserve">Actualización del plan sobre igualdad entre hombres y mujeres e integración de aspectos de género (GEM) </w:t>
            </w:r>
            <w:r w:rsidR="0054168D" w:rsidRPr="004848F7">
              <w:rPr>
                <w:color w:val="000000"/>
                <w:szCs w:val="24"/>
                <w:lang w:eastAsia="zh-CN"/>
              </w:rPr>
              <w:t>para su aprobación</w:t>
            </w:r>
          </w:p>
        </w:tc>
        <w:tc>
          <w:tcPr>
            <w:tcW w:w="1559" w:type="dxa"/>
          </w:tcPr>
          <w:p w14:paraId="71B55AB8" w14:textId="6B419F5A" w:rsidR="0054168D" w:rsidRPr="004848F7" w:rsidRDefault="0054168D" w:rsidP="0054168D">
            <w:pPr>
              <w:jc w:val="center"/>
              <w:rPr>
                <w:szCs w:val="24"/>
              </w:rPr>
            </w:pPr>
            <w:r w:rsidRPr="004848F7">
              <w:rPr>
                <w:color w:val="000000"/>
                <w:szCs w:val="24"/>
                <w:lang w:eastAsia="zh-CN"/>
              </w:rPr>
              <w:t>SPM/UIT/EO</w:t>
            </w:r>
          </w:p>
        </w:tc>
        <w:tc>
          <w:tcPr>
            <w:tcW w:w="1416" w:type="dxa"/>
          </w:tcPr>
          <w:p w14:paraId="55663C34" w14:textId="769ADE2B" w:rsidR="0054168D" w:rsidRPr="004848F7" w:rsidRDefault="0054168D" w:rsidP="0054168D">
            <w:pPr>
              <w:jc w:val="right"/>
            </w:pPr>
            <w:r w:rsidRPr="004848F7">
              <w:t>2T</w:t>
            </w:r>
            <w:r w:rsidR="002709F3" w:rsidRPr="004848F7">
              <w:t xml:space="preserve"> </w:t>
            </w:r>
            <w:r w:rsidRPr="004848F7">
              <w:t>2024</w:t>
            </w:r>
          </w:p>
        </w:tc>
      </w:tr>
      <w:tr w:rsidR="0054168D" w:rsidRPr="004848F7" w14:paraId="2964B186" w14:textId="77777777" w:rsidTr="009F592D">
        <w:tc>
          <w:tcPr>
            <w:tcW w:w="6096" w:type="dxa"/>
          </w:tcPr>
          <w:p w14:paraId="4F9CB011" w14:textId="3079F70F" w:rsidR="0054168D" w:rsidRPr="004848F7" w:rsidRDefault="009F592D" w:rsidP="0054168D">
            <w:pPr>
              <w:rPr>
                <w:szCs w:val="24"/>
              </w:rPr>
            </w:pPr>
            <w:r w:rsidRPr="004848F7">
              <w:rPr>
                <w:color w:val="000000"/>
                <w:szCs w:val="24"/>
                <w:lang w:eastAsia="zh-CN"/>
              </w:rPr>
              <w:t>6.2</w:t>
            </w:r>
            <w:r w:rsidRPr="004848F7">
              <w:rPr>
                <w:color w:val="000000"/>
                <w:szCs w:val="24"/>
                <w:lang w:eastAsia="zh-CN"/>
              </w:rPr>
              <w:tab/>
            </w:r>
            <w:r w:rsidR="0054168D" w:rsidRPr="004848F7">
              <w:rPr>
                <w:color w:val="000000"/>
                <w:szCs w:val="24"/>
                <w:lang w:eastAsia="zh-CN"/>
              </w:rPr>
              <w:t xml:space="preserve">Proyecto de plan sobre </w:t>
            </w:r>
            <w:hyperlink r:id="rId78">
              <w:r w:rsidR="0054168D" w:rsidRPr="004848F7">
                <w:rPr>
                  <w:color w:val="0563C1"/>
                  <w:szCs w:val="24"/>
                  <w:u w:val="single"/>
                  <w:lang w:eastAsia="zh-CN"/>
                </w:rPr>
                <w:t>paridad de género</w:t>
              </w:r>
            </w:hyperlink>
            <w:r w:rsidR="0054168D" w:rsidRPr="004848F7">
              <w:rPr>
                <w:color w:val="000000"/>
                <w:szCs w:val="24"/>
                <w:lang w:eastAsia="zh-CN"/>
              </w:rPr>
              <w:t xml:space="preserve"> con objetivos definidos</w:t>
            </w:r>
          </w:p>
        </w:tc>
        <w:tc>
          <w:tcPr>
            <w:tcW w:w="1559" w:type="dxa"/>
          </w:tcPr>
          <w:p w14:paraId="491B66CC" w14:textId="2E0799A1" w:rsidR="0054168D" w:rsidRPr="004848F7" w:rsidRDefault="0054168D" w:rsidP="0054168D">
            <w:pPr>
              <w:jc w:val="center"/>
              <w:rPr>
                <w:szCs w:val="24"/>
              </w:rPr>
            </w:pPr>
            <w:r w:rsidRPr="004848F7">
              <w:rPr>
                <w:color w:val="000000"/>
                <w:szCs w:val="24"/>
                <w:lang w:eastAsia="zh-CN"/>
              </w:rPr>
              <w:t>HRMD</w:t>
            </w:r>
          </w:p>
        </w:tc>
        <w:tc>
          <w:tcPr>
            <w:tcW w:w="1416" w:type="dxa"/>
          </w:tcPr>
          <w:p w14:paraId="3B438C28" w14:textId="449C5C39" w:rsidR="0054168D" w:rsidRPr="004848F7" w:rsidRDefault="0054168D" w:rsidP="0054168D">
            <w:pPr>
              <w:jc w:val="right"/>
            </w:pPr>
            <w:r w:rsidRPr="004848F7">
              <w:t>2024</w:t>
            </w:r>
          </w:p>
        </w:tc>
      </w:tr>
      <w:tr w:rsidR="0054168D" w:rsidRPr="004848F7" w14:paraId="179DD13D" w14:textId="77777777" w:rsidTr="009F592D">
        <w:tc>
          <w:tcPr>
            <w:tcW w:w="6096" w:type="dxa"/>
          </w:tcPr>
          <w:p w14:paraId="16FB371A" w14:textId="76ACEE1F" w:rsidR="0054168D" w:rsidRPr="004848F7" w:rsidRDefault="009F592D" w:rsidP="0054168D">
            <w:pPr>
              <w:rPr>
                <w:szCs w:val="24"/>
              </w:rPr>
            </w:pPr>
            <w:r w:rsidRPr="004848F7">
              <w:rPr>
                <w:color w:val="000000"/>
                <w:szCs w:val="24"/>
                <w:lang w:eastAsia="zh-CN"/>
              </w:rPr>
              <w:lastRenderedPageBreak/>
              <w:t>6.3</w:t>
            </w:r>
            <w:r w:rsidRPr="004848F7">
              <w:rPr>
                <w:color w:val="000000"/>
                <w:szCs w:val="24"/>
                <w:lang w:eastAsia="zh-CN"/>
              </w:rPr>
              <w:tab/>
            </w:r>
            <w:r w:rsidR="0054168D" w:rsidRPr="004848F7">
              <w:rPr>
                <w:color w:val="000000"/>
                <w:szCs w:val="24"/>
                <w:lang w:eastAsia="zh-CN"/>
              </w:rPr>
              <w:t>Actualización de los pan</w:t>
            </w:r>
            <w:r w:rsidR="004848F7">
              <w:rPr>
                <w:color w:val="000000"/>
                <w:szCs w:val="24"/>
                <w:lang w:eastAsia="zh-CN"/>
              </w:rPr>
              <w:t>e</w:t>
            </w:r>
            <w:r w:rsidR="0054168D" w:rsidRPr="004848F7">
              <w:rPr>
                <w:color w:val="000000"/>
                <w:szCs w:val="24"/>
                <w:lang w:eastAsia="zh-CN"/>
              </w:rPr>
              <w:t xml:space="preserve">les de control sobre </w:t>
            </w:r>
            <w:hyperlink r:id="rId79" w:history="1">
              <w:r w:rsidR="0054168D" w:rsidRPr="004848F7">
                <w:rPr>
                  <w:color w:val="0563C1"/>
                  <w:szCs w:val="24"/>
                  <w:u w:val="single"/>
                  <w:lang w:eastAsia="zh-CN"/>
                </w:rPr>
                <w:t>género y consejo</w:t>
              </w:r>
            </w:hyperlink>
            <w:r w:rsidR="0054168D" w:rsidRPr="004848F7">
              <w:rPr>
                <w:color w:val="000000"/>
                <w:szCs w:val="24"/>
                <w:lang w:eastAsia="zh-CN"/>
              </w:rPr>
              <w:t xml:space="preserve"> para supervisar la representación equitativa del personal</w:t>
            </w:r>
          </w:p>
        </w:tc>
        <w:tc>
          <w:tcPr>
            <w:tcW w:w="1559" w:type="dxa"/>
          </w:tcPr>
          <w:p w14:paraId="3E7D969E" w14:textId="20F85D5B" w:rsidR="0054168D" w:rsidRPr="004848F7" w:rsidRDefault="0054168D" w:rsidP="0054168D">
            <w:pPr>
              <w:jc w:val="center"/>
              <w:rPr>
                <w:szCs w:val="24"/>
              </w:rPr>
            </w:pPr>
            <w:r w:rsidRPr="004848F7">
              <w:rPr>
                <w:color w:val="000000"/>
                <w:szCs w:val="24"/>
                <w:lang w:eastAsia="zh-CN"/>
              </w:rPr>
              <w:t>SPM/HRMD</w:t>
            </w:r>
          </w:p>
        </w:tc>
        <w:tc>
          <w:tcPr>
            <w:tcW w:w="1416" w:type="dxa"/>
          </w:tcPr>
          <w:p w14:paraId="730811BF" w14:textId="4B703A79" w:rsidR="0054168D" w:rsidRPr="004848F7" w:rsidRDefault="0054168D" w:rsidP="0054168D">
            <w:pPr>
              <w:jc w:val="right"/>
            </w:pPr>
            <w:r w:rsidRPr="004848F7">
              <w:t>Automati</w:t>
            </w:r>
            <w:r w:rsidR="009F592D" w:rsidRPr="004848F7">
              <w:t>-</w:t>
            </w:r>
            <w:r w:rsidRPr="004848F7">
              <w:t>zado</w:t>
            </w:r>
          </w:p>
        </w:tc>
      </w:tr>
      <w:tr w:rsidR="002709F3" w:rsidRPr="004848F7" w14:paraId="3BB49E83" w14:textId="77777777" w:rsidTr="009F592D">
        <w:tc>
          <w:tcPr>
            <w:tcW w:w="6096" w:type="dxa"/>
          </w:tcPr>
          <w:p w14:paraId="65D3E94B" w14:textId="2C2E2954" w:rsidR="002709F3" w:rsidRPr="004848F7" w:rsidRDefault="002709F3" w:rsidP="0054168D">
            <w:pPr>
              <w:rPr>
                <w:color w:val="000000"/>
                <w:szCs w:val="24"/>
                <w:lang w:eastAsia="zh-CN"/>
              </w:rPr>
            </w:pPr>
            <w:r w:rsidRPr="004848F7">
              <w:rPr>
                <w:color w:val="000000"/>
                <w:szCs w:val="24"/>
                <w:lang w:eastAsia="zh-CN"/>
              </w:rPr>
              <w:t>6.4</w:t>
            </w:r>
            <w:r w:rsidRPr="004848F7">
              <w:rPr>
                <w:color w:val="000000"/>
                <w:szCs w:val="24"/>
                <w:lang w:eastAsia="zh-CN"/>
              </w:rPr>
              <w:tab/>
            </w:r>
            <w:r w:rsidRPr="004848F7">
              <w:rPr>
                <w:color w:val="000000"/>
                <w:szCs w:val="24"/>
                <w:lang w:eastAsia="zh-CN"/>
              </w:rPr>
              <w:t>Proyecto de marco de rendición de cuentas en materia de supervisión 6.2</w:t>
            </w:r>
          </w:p>
        </w:tc>
        <w:tc>
          <w:tcPr>
            <w:tcW w:w="1559" w:type="dxa"/>
          </w:tcPr>
          <w:p w14:paraId="0DA9C6CE" w14:textId="51744392" w:rsidR="002709F3" w:rsidRPr="004848F7" w:rsidRDefault="002709F3" w:rsidP="0054168D">
            <w:pPr>
              <w:jc w:val="center"/>
              <w:rPr>
                <w:color w:val="000000"/>
                <w:szCs w:val="24"/>
                <w:lang w:eastAsia="zh-CN"/>
              </w:rPr>
            </w:pPr>
            <w:r w:rsidRPr="004848F7">
              <w:rPr>
                <w:color w:val="000000"/>
                <w:szCs w:val="24"/>
                <w:lang w:eastAsia="zh-CN"/>
              </w:rPr>
              <w:t>SPM/HRMD</w:t>
            </w:r>
          </w:p>
        </w:tc>
        <w:tc>
          <w:tcPr>
            <w:tcW w:w="1416" w:type="dxa"/>
          </w:tcPr>
          <w:p w14:paraId="453C772C" w14:textId="7E0728A4" w:rsidR="002709F3" w:rsidRPr="004848F7" w:rsidRDefault="002709F3" w:rsidP="0054168D">
            <w:pPr>
              <w:jc w:val="right"/>
            </w:pPr>
            <w:r w:rsidRPr="004848F7">
              <w:t>2025</w:t>
            </w:r>
          </w:p>
        </w:tc>
      </w:tr>
    </w:tbl>
    <w:p w14:paraId="14FC964B" w14:textId="1F7EDCC5" w:rsidR="00EE76D1" w:rsidRPr="004848F7" w:rsidRDefault="009F592D" w:rsidP="009F592D">
      <w:pPr>
        <w:pStyle w:val="Heading1"/>
        <w:rPr>
          <w:rFonts w:eastAsia="SimSun"/>
          <w:lang w:eastAsia="zh-CN"/>
        </w:rPr>
      </w:pPr>
      <w:r w:rsidRPr="004848F7">
        <w:rPr>
          <w:bCs/>
          <w:lang w:eastAsia="zh-CN"/>
        </w:rPr>
        <w:t>7</w:t>
      </w:r>
      <w:r w:rsidRPr="004848F7">
        <w:rPr>
          <w:bCs/>
          <w:lang w:eastAsia="zh-CN"/>
        </w:rPr>
        <w:tab/>
      </w:r>
      <w:r w:rsidR="00EE76D1" w:rsidRPr="004848F7">
        <w:rPr>
          <w:bCs/>
          <w:lang w:eastAsia="zh-CN"/>
        </w:rPr>
        <w:t>Liderazgo</w:t>
      </w:r>
      <w:r w:rsidR="002709F3" w:rsidRPr="004848F7">
        <w:rPr>
          <w:rFonts w:ascii="Times New Roman" w:eastAsia="SimSun" w:hAnsi="Times New Roman"/>
          <w:lang w:eastAsia="zh-CN"/>
        </w:rPr>
        <w:br/>
      </w:r>
      <w:r w:rsidR="00EE76D1" w:rsidRPr="004848F7">
        <w:rPr>
          <w:rFonts w:eastAsia="SimSun"/>
          <w:bCs/>
          <w:lang w:eastAsia="zh-CN"/>
        </w:rPr>
        <w:t xml:space="preserve">Situación en 2023: </w:t>
      </w:r>
      <w:r w:rsidR="00EE76D1" w:rsidRPr="004848F7">
        <w:rPr>
          <w:rFonts w:eastAsia="SimSun"/>
          <w:lang w:eastAsia="zh-CN"/>
        </w:rPr>
        <w:t>Cumplimiento de los requisitos</w:t>
      </w:r>
    </w:p>
    <w:p w14:paraId="391E89EC" w14:textId="1BD9138B" w:rsidR="00EE76D1" w:rsidRPr="004848F7" w:rsidRDefault="00EE76D1" w:rsidP="009F592D">
      <w:r w:rsidRPr="004848F7">
        <w:t xml:space="preserve">Para cumplir este </w:t>
      </w:r>
      <w:hyperlink r:id="rId80">
        <w:r w:rsidRPr="004848F7">
          <w:rPr>
            <w:rStyle w:val="Hyperlink"/>
          </w:rPr>
          <w:t>indicador de rendimiento ONU-SWAP</w:t>
        </w:r>
      </w:hyperlink>
      <w:r w:rsidRPr="004848F7">
        <w:t>, la alta dirección de la UIT (de nivel</w:t>
      </w:r>
      <w:r w:rsidR="002709F3" w:rsidRPr="004848F7">
        <w:t> </w:t>
      </w:r>
      <w:r w:rsidRPr="004848F7">
        <w:t>D1 o superiores, en particular la Secretaria General (SG) y el Vicesecretario General (DSG)) deben abogar tanto de forma interna como pública por la promoción de la igualdad de género y del empoderamiento de la mujer. La promoción a nivel interno comprende el establecimiento de una visión de las formas en que la entidad facilitará la promoción de la igualdad de género y el empoderamiento de la mujer como norma central de las Naciones Unidas y garantizará que los objetivos de la organización reflejen esa visión, al tiempo que se evitan prejuicios de género en el marco de la entidad para promover un cambio de actitud y actuar de forma ejemplar (también por medio de los IGC). Por otro lado, la alta dirección deberá velar por que se apliquen mecanismos de rendición de cuentas para que la entidad alcance igualdad de representación de las mujeres en cuanto a dotación de personal en un plazo adecuado, en particular a nivel P4 o superiores. Además, la promoción de la igualdad de género debe manifestarse en al menos 2 de los 5 aspectos siguientes: 1) Establecimiento de un discurso público o equiparable al respecto, que no sea una alocución en el Día Internacional de la Mujer, como visión clara de la forma de cumplir el mandato en cuanto a igualdad de género y empoderamiento de la mujer en la entidad. 2) Promoción, en colaboración con otras entidades de las Naciones Unidas, de la importancia que reviste el fomento de la igualdad de género y el empoderamiento de la mujer. 3) Promoción de la representación equitativa de mujeres en las delegaciones de órganos rectores, asambleas y foros intergubernamentales. 4) Promoción de programas de tutorías sobre igualdad de género y empoderamiento de la mujer, en particular a nivel de alta dirección o equivalente. 5) Inclusión de la atención sustantiva a la igualdad de género y del empoderamiento de la mujer en todos los compromisos pertinentes de la alta dirección. La UIT debe demostrar que los fondos se destinan prioritariamente al cumplimiento del mandato de la entidad en materia de igualdad de género y empoderamiento de la mujer mediante la asignación de fondos y recursos humanos adicionales, y la reasignación de fondos internos, en consonancia con la autoridad de toma de decisiones.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gridCol w:w="1584"/>
        <w:gridCol w:w="1404"/>
      </w:tblGrid>
      <w:tr w:rsidR="00D45BD7" w:rsidRPr="004848F7" w14:paraId="61A140D8" w14:textId="77777777" w:rsidTr="00D45BD7">
        <w:tc>
          <w:tcPr>
            <w:tcW w:w="6096" w:type="dxa"/>
          </w:tcPr>
          <w:p w14:paraId="034A7062" w14:textId="433FD809" w:rsidR="00D45BD7" w:rsidRPr="004848F7" w:rsidRDefault="00D45BD7" w:rsidP="009F592D">
            <w:pPr>
              <w:rPr>
                <w:u w:val="single"/>
              </w:rPr>
            </w:pPr>
            <w:r w:rsidRPr="004848F7">
              <w:rPr>
                <w:u w:val="single"/>
              </w:rPr>
              <w:t>Productos</w:t>
            </w:r>
          </w:p>
        </w:tc>
        <w:tc>
          <w:tcPr>
            <w:tcW w:w="1559" w:type="dxa"/>
          </w:tcPr>
          <w:p w14:paraId="59C61027" w14:textId="0DEC89B5" w:rsidR="00D45BD7" w:rsidRPr="004848F7" w:rsidRDefault="00D45BD7" w:rsidP="00B864F0">
            <w:pPr>
              <w:jc w:val="center"/>
              <w:rPr>
                <w:u w:val="single"/>
              </w:rPr>
            </w:pPr>
            <w:r w:rsidRPr="004848F7">
              <w:rPr>
                <w:u w:val="single"/>
              </w:rPr>
              <w:t>Responsable</w:t>
            </w:r>
          </w:p>
        </w:tc>
        <w:tc>
          <w:tcPr>
            <w:tcW w:w="1406" w:type="dxa"/>
          </w:tcPr>
          <w:p w14:paraId="1E669CFC" w14:textId="52B613CB" w:rsidR="00D45BD7" w:rsidRPr="004848F7" w:rsidRDefault="00D45BD7" w:rsidP="00B864F0">
            <w:pPr>
              <w:jc w:val="right"/>
              <w:rPr>
                <w:u w:val="single"/>
              </w:rPr>
            </w:pPr>
            <w:r w:rsidRPr="004848F7">
              <w:rPr>
                <w:u w:val="single"/>
              </w:rPr>
              <w:t>Plazo</w:t>
            </w:r>
          </w:p>
        </w:tc>
      </w:tr>
      <w:tr w:rsidR="00D45BD7" w:rsidRPr="004848F7" w14:paraId="6BC83C75" w14:textId="77777777" w:rsidTr="00D45BD7">
        <w:tc>
          <w:tcPr>
            <w:tcW w:w="6096" w:type="dxa"/>
          </w:tcPr>
          <w:p w14:paraId="02417B62" w14:textId="1D358070" w:rsidR="00D45BD7" w:rsidRPr="004848F7" w:rsidRDefault="00B864F0" w:rsidP="00B864F0">
            <w:pPr>
              <w:rPr>
                <w:szCs w:val="24"/>
              </w:rPr>
            </w:pPr>
            <w:r w:rsidRPr="004848F7">
              <w:rPr>
                <w:szCs w:val="24"/>
              </w:rPr>
              <w:t>7.1</w:t>
            </w:r>
            <w:r w:rsidRPr="004848F7">
              <w:rPr>
                <w:szCs w:val="24"/>
              </w:rPr>
              <w:tab/>
            </w:r>
            <w:hyperlink r:id="rId81">
              <w:r w:rsidRPr="004848F7">
                <w:rPr>
                  <w:color w:val="0563C1"/>
                  <w:szCs w:val="24"/>
                  <w:u w:val="single"/>
                  <w:lang w:eastAsia="zh-CN"/>
                </w:rPr>
                <w:t>Compromisos</w:t>
              </w:r>
            </w:hyperlink>
            <w:r w:rsidRPr="004848F7">
              <w:rPr>
                <w:color w:val="000000"/>
                <w:szCs w:val="24"/>
                <w:lang w:eastAsia="zh-CN"/>
              </w:rPr>
              <w:t xml:space="preserve"> de la SG en </w:t>
            </w:r>
            <w:hyperlink r:id="rId82">
              <w:r w:rsidRPr="004848F7">
                <w:rPr>
                  <w:color w:val="0563C1"/>
                  <w:szCs w:val="24"/>
                  <w:u w:val="single"/>
                  <w:lang w:eastAsia="zh-CN"/>
                </w:rPr>
                <w:t>2024</w:t>
              </w:r>
            </w:hyperlink>
            <w:r w:rsidRPr="004848F7">
              <w:rPr>
                <w:color w:val="000000"/>
                <w:szCs w:val="24"/>
                <w:lang w:eastAsia="zh-CN"/>
              </w:rPr>
              <w:t xml:space="preserve"> para la promoción internacional de la igualdad de género</w:t>
            </w:r>
          </w:p>
        </w:tc>
        <w:tc>
          <w:tcPr>
            <w:tcW w:w="1559" w:type="dxa"/>
          </w:tcPr>
          <w:p w14:paraId="25271B12" w14:textId="6A2D4114" w:rsidR="00D45BD7" w:rsidRPr="004848F7" w:rsidRDefault="00B864F0" w:rsidP="00B864F0">
            <w:pPr>
              <w:jc w:val="center"/>
              <w:rPr>
                <w:szCs w:val="24"/>
              </w:rPr>
            </w:pPr>
            <w:r w:rsidRPr="004848F7">
              <w:rPr>
                <w:szCs w:val="24"/>
              </w:rPr>
              <w:t>SGO</w:t>
            </w:r>
          </w:p>
        </w:tc>
        <w:tc>
          <w:tcPr>
            <w:tcW w:w="1406" w:type="dxa"/>
          </w:tcPr>
          <w:p w14:paraId="68464B6B" w14:textId="71CF73C4" w:rsidR="00D45BD7" w:rsidRPr="004848F7" w:rsidRDefault="00B864F0" w:rsidP="00B864F0">
            <w:pPr>
              <w:jc w:val="right"/>
              <w:rPr>
                <w:szCs w:val="24"/>
              </w:rPr>
            </w:pPr>
            <w:r w:rsidRPr="004848F7">
              <w:rPr>
                <w:szCs w:val="24"/>
              </w:rPr>
              <w:t>1T</w:t>
            </w:r>
            <w:r w:rsidR="002709F3" w:rsidRPr="004848F7">
              <w:rPr>
                <w:szCs w:val="24"/>
              </w:rPr>
              <w:t xml:space="preserve"> </w:t>
            </w:r>
            <w:r w:rsidRPr="004848F7">
              <w:rPr>
                <w:szCs w:val="24"/>
              </w:rPr>
              <w:t>anual</w:t>
            </w:r>
          </w:p>
        </w:tc>
      </w:tr>
      <w:tr w:rsidR="00D45BD7" w:rsidRPr="004848F7" w14:paraId="729DAEC6" w14:textId="77777777" w:rsidTr="00D45BD7">
        <w:tc>
          <w:tcPr>
            <w:tcW w:w="6096" w:type="dxa"/>
          </w:tcPr>
          <w:p w14:paraId="7BC4469E" w14:textId="75727E1D" w:rsidR="00D45BD7" w:rsidRPr="004848F7" w:rsidRDefault="00B864F0" w:rsidP="00B864F0">
            <w:pPr>
              <w:rPr>
                <w:szCs w:val="24"/>
              </w:rPr>
            </w:pPr>
            <w:r w:rsidRPr="004848F7">
              <w:rPr>
                <w:color w:val="000000"/>
                <w:szCs w:val="24"/>
                <w:lang w:eastAsia="zh-CN"/>
              </w:rPr>
              <w:t>7.2</w:t>
            </w:r>
            <w:r w:rsidRPr="004848F7">
              <w:rPr>
                <w:color w:val="000000"/>
                <w:szCs w:val="24"/>
                <w:lang w:eastAsia="zh-CN"/>
              </w:rPr>
              <w:tab/>
              <w:t>Compromisos internos y públicos de la alta dirección de la UIT en materia de género</w:t>
            </w:r>
          </w:p>
        </w:tc>
        <w:tc>
          <w:tcPr>
            <w:tcW w:w="1559" w:type="dxa"/>
          </w:tcPr>
          <w:p w14:paraId="33D60DD1" w14:textId="3474636F" w:rsidR="00D45BD7" w:rsidRPr="004848F7" w:rsidRDefault="00B864F0" w:rsidP="00B864F0">
            <w:pPr>
              <w:jc w:val="center"/>
              <w:rPr>
                <w:szCs w:val="24"/>
              </w:rPr>
            </w:pPr>
            <w:r w:rsidRPr="004848F7">
              <w:rPr>
                <w:szCs w:val="24"/>
              </w:rPr>
              <w:t>OE</w:t>
            </w:r>
          </w:p>
        </w:tc>
        <w:tc>
          <w:tcPr>
            <w:tcW w:w="1406" w:type="dxa"/>
          </w:tcPr>
          <w:p w14:paraId="35DCCC7D" w14:textId="61300CB7" w:rsidR="00D45BD7" w:rsidRPr="004848F7" w:rsidRDefault="00B864F0" w:rsidP="00B864F0">
            <w:pPr>
              <w:jc w:val="right"/>
              <w:rPr>
                <w:szCs w:val="24"/>
              </w:rPr>
            </w:pPr>
            <w:r w:rsidRPr="004848F7">
              <w:rPr>
                <w:szCs w:val="24"/>
              </w:rPr>
              <w:t>Anual</w:t>
            </w:r>
          </w:p>
        </w:tc>
      </w:tr>
      <w:tr w:rsidR="00D45BD7" w:rsidRPr="004848F7" w14:paraId="00ED6AAA" w14:textId="77777777" w:rsidTr="00D45BD7">
        <w:tc>
          <w:tcPr>
            <w:tcW w:w="6096" w:type="dxa"/>
          </w:tcPr>
          <w:p w14:paraId="2646DA31" w14:textId="3A6BED68" w:rsidR="00D45BD7" w:rsidRPr="004848F7" w:rsidRDefault="00B864F0" w:rsidP="00B864F0">
            <w:pPr>
              <w:rPr>
                <w:szCs w:val="24"/>
              </w:rPr>
            </w:pPr>
            <w:r w:rsidRPr="004848F7">
              <w:rPr>
                <w:color w:val="000000"/>
                <w:szCs w:val="24"/>
                <w:lang w:eastAsia="zh-CN"/>
              </w:rPr>
              <w:t>7.3</w:t>
            </w:r>
            <w:r w:rsidRPr="004848F7">
              <w:rPr>
                <w:color w:val="000000"/>
                <w:szCs w:val="24"/>
                <w:lang w:eastAsia="zh-CN"/>
              </w:rPr>
              <w:tab/>
              <w:t>Consideración de aspectos de género en discursos y alocuciones de la SG, el DSG y Directores</w:t>
            </w:r>
          </w:p>
        </w:tc>
        <w:tc>
          <w:tcPr>
            <w:tcW w:w="1559" w:type="dxa"/>
          </w:tcPr>
          <w:p w14:paraId="072D51D0" w14:textId="7FB1F56E" w:rsidR="00D45BD7" w:rsidRPr="004848F7" w:rsidRDefault="00B864F0" w:rsidP="00B864F0">
            <w:pPr>
              <w:jc w:val="center"/>
              <w:rPr>
                <w:szCs w:val="24"/>
              </w:rPr>
            </w:pPr>
            <w:r w:rsidRPr="004848F7">
              <w:rPr>
                <w:szCs w:val="24"/>
              </w:rPr>
              <w:t>CCD</w:t>
            </w:r>
          </w:p>
        </w:tc>
        <w:tc>
          <w:tcPr>
            <w:tcW w:w="1406" w:type="dxa"/>
          </w:tcPr>
          <w:p w14:paraId="70A83B07" w14:textId="709036CC" w:rsidR="00D45BD7" w:rsidRPr="004848F7" w:rsidRDefault="00B864F0" w:rsidP="00B864F0">
            <w:pPr>
              <w:jc w:val="right"/>
              <w:rPr>
                <w:szCs w:val="24"/>
              </w:rPr>
            </w:pPr>
            <w:r w:rsidRPr="004848F7">
              <w:rPr>
                <w:szCs w:val="24"/>
              </w:rPr>
              <w:t>Anual</w:t>
            </w:r>
          </w:p>
        </w:tc>
      </w:tr>
      <w:tr w:rsidR="00D45BD7" w:rsidRPr="004848F7" w14:paraId="4C25EAE4" w14:textId="77777777" w:rsidTr="00D45BD7">
        <w:tc>
          <w:tcPr>
            <w:tcW w:w="6096" w:type="dxa"/>
          </w:tcPr>
          <w:p w14:paraId="2F21BD9F" w14:textId="5AC900AD" w:rsidR="00D45BD7" w:rsidRPr="004848F7" w:rsidRDefault="00B864F0" w:rsidP="00B864F0">
            <w:pPr>
              <w:rPr>
                <w:szCs w:val="24"/>
              </w:rPr>
            </w:pPr>
            <w:r w:rsidRPr="004848F7">
              <w:rPr>
                <w:color w:val="000000"/>
                <w:szCs w:val="24"/>
                <w:lang w:eastAsia="zh-CN"/>
              </w:rPr>
              <w:lastRenderedPageBreak/>
              <w:t>7.4</w:t>
            </w:r>
            <w:r w:rsidRPr="004848F7">
              <w:rPr>
                <w:color w:val="000000"/>
                <w:szCs w:val="24"/>
                <w:lang w:eastAsia="zh-CN"/>
              </w:rPr>
              <w:tab/>
              <w:t>Establecimiento de la Red de Ministras Digitales, coordinada por la SG</w:t>
            </w:r>
          </w:p>
        </w:tc>
        <w:tc>
          <w:tcPr>
            <w:tcW w:w="1559" w:type="dxa"/>
          </w:tcPr>
          <w:p w14:paraId="3C7449A4" w14:textId="7E77007E" w:rsidR="00D45BD7" w:rsidRPr="004848F7" w:rsidRDefault="00B864F0" w:rsidP="00B864F0">
            <w:pPr>
              <w:jc w:val="center"/>
              <w:rPr>
                <w:szCs w:val="24"/>
              </w:rPr>
            </w:pPr>
            <w:r w:rsidRPr="004848F7">
              <w:rPr>
                <w:szCs w:val="24"/>
              </w:rPr>
              <w:t>SGO</w:t>
            </w:r>
          </w:p>
        </w:tc>
        <w:tc>
          <w:tcPr>
            <w:tcW w:w="1406" w:type="dxa"/>
          </w:tcPr>
          <w:p w14:paraId="5439E57E" w14:textId="3E990FDA" w:rsidR="00D45BD7" w:rsidRPr="004848F7" w:rsidRDefault="00B864F0" w:rsidP="00B864F0">
            <w:pPr>
              <w:jc w:val="right"/>
              <w:rPr>
                <w:szCs w:val="24"/>
              </w:rPr>
            </w:pPr>
            <w:r w:rsidRPr="004848F7">
              <w:rPr>
                <w:szCs w:val="24"/>
              </w:rPr>
              <w:t>2T</w:t>
            </w:r>
            <w:r w:rsidR="002709F3" w:rsidRPr="004848F7">
              <w:rPr>
                <w:szCs w:val="24"/>
              </w:rPr>
              <w:t xml:space="preserve"> </w:t>
            </w:r>
            <w:r w:rsidRPr="004848F7">
              <w:rPr>
                <w:szCs w:val="24"/>
              </w:rPr>
              <w:t>2024</w:t>
            </w:r>
          </w:p>
        </w:tc>
      </w:tr>
      <w:tr w:rsidR="00D45BD7" w:rsidRPr="004848F7" w14:paraId="0F2A4C64" w14:textId="77777777" w:rsidTr="00D45BD7">
        <w:tc>
          <w:tcPr>
            <w:tcW w:w="6096" w:type="dxa"/>
          </w:tcPr>
          <w:p w14:paraId="65B0F7AE" w14:textId="442BFDC6" w:rsidR="00D45BD7" w:rsidRPr="004848F7" w:rsidRDefault="00B864F0" w:rsidP="00B864F0">
            <w:pPr>
              <w:rPr>
                <w:szCs w:val="24"/>
              </w:rPr>
            </w:pPr>
            <w:r w:rsidRPr="004848F7">
              <w:rPr>
                <w:color w:val="000000"/>
                <w:szCs w:val="24"/>
                <w:lang w:eastAsia="zh-CN"/>
              </w:rPr>
              <w:t>7.5</w:t>
            </w:r>
            <w:r w:rsidRPr="004848F7">
              <w:rPr>
                <w:color w:val="000000"/>
                <w:szCs w:val="24"/>
                <w:lang w:eastAsia="zh-CN"/>
              </w:rPr>
              <w:tab/>
              <w:t>Armonización de las actividades compartidas entre redes de mujeres</w:t>
            </w:r>
          </w:p>
        </w:tc>
        <w:tc>
          <w:tcPr>
            <w:tcW w:w="1559" w:type="dxa"/>
          </w:tcPr>
          <w:p w14:paraId="511AB9A8" w14:textId="17E27410" w:rsidR="00D45BD7" w:rsidRPr="004848F7" w:rsidRDefault="00B864F0" w:rsidP="00B864F0">
            <w:pPr>
              <w:jc w:val="center"/>
              <w:rPr>
                <w:szCs w:val="24"/>
              </w:rPr>
            </w:pPr>
            <w:r w:rsidRPr="004848F7">
              <w:rPr>
                <w:szCs w:val="24"/>
              </w:rPr>
              <w:t>SPM/Sectores</w:t>
            </w:r>
          </w:p>
        </w:tc>
        <w:tc>
          <w:tcPr>
            <w:tcW w:w="1406" w:type="dxa"/>
          </w:tcPr>
          <w:p w14:paraId="09514E02" w14:textId="1930CB15" w:rsidR="00D45BD7" w:rsidRPr="004848F7" w:rsidRDefault="00B864F0" w:rsidP="00B864F0">
            <w:pPr>
              <w:jc w:val="right"/>
              <w:rPr>
                <w:szCs w:val="24"/>
              </w:rPr>
            </w:pPr>
            <w:r w:rsidRPr="004848F7">
              <w:rPr>
                <w:szCs w:val="24"/>
              </w:rPr>
              <w:t>Anual</w:t>
            </w:r>
          </w:p>
        </w:tc>
      </w:tr>
    </w:tbl>
    <w:p w14:paraId="6BABC78B" w14:textId="1441BB2F" w:rsidR="00EE76D1" w:rsidRPr="004848F7" w:rsidRDefault="00B864F0" w:rsidP="00B864F0">
      <w:pPr>
        <w:pStyle w:val="Heading1"/>
        <w:rPr>
          <w:rFonts w:eastAsia="SimSun" w:cs="Arial"/>
          <w:lang w:eastAsia="zh-CN"/>
        </w:rPr>
      </w:pPr>
      <w:r w:rsidRPr="004848F7">
        <w:rPr>
          <w:lang w:eastAsia="zh-CN"/>
        </w:rPr>
        <w:t>8</w:t>
      </w:r>
      <w:r w:rsidRPr="004848F7">
        <w:rPr>
          <w:lang w:eastAsia="zh-CN"/>
        </w:rPr>
        <w:tab/>
      </w:r>
      <w:r w:rsidR="00EE76D1" w:rsidRPr="004848F7">
        <w:rPr>
          <w:lang w:eastAsia="zh-CN"/>
        </w:rPr>
        <w:t>Gestión del rendimiento en materia de aspectos de género</w:t>
      </w:r>
      <w:r w:rsidR="002709F3" w:rsidRPr="004848F7">
        <w:rPr>
          <w:rFonts w:ascii="Times New Roman" w:eastAsia="SimSun" w:hAnsi="Times New Roman" w:cs="Arial"/>
          <w:lang w:eastAsia="zh-CN"/>
        </w:rPr>
        <w:br/>
      </w:r>
      <w:r w:rsidR="00EE76D1" w:rsidRPr="004848F7">
        <w:rPr>
          <w:rFonts w:eastAsia="SimSun" w:cs="Arial"/>
          <w:lang w:eastAsia="zh-CN"/>
        </w:rPr>
        <w:t>Situación en 2023: Cumplimiento de los requisitos</w:t>
      </w:r>
    </w:p>
    <w:p w14:paraId="38131668" w14:textId="19436DE6" w:rsidR="00EE76D1" w:rsidRPr="004848F7" w:rsidRDefault="00EE76D1" w:rsidP="00B864F0">
      <w:r w:rsidRPr="004848F7">
        <w:t xml:space="preserve">Para satisfacer este </w:t>
      </w:r>
      <w:hyperlink r:id="rId83" w:history="1">
        <w:r w:rsidRPr="004848F7">
          <w:rPr>
            <w:rStyle w:val="Hyperlink"/>
          </w:rPr>
          <w:t>indicador de rendimiento ONU-SWAP</w:t>
        </w:r>
      </w:hyperlink>
      <w:r w:rsidRPr="004848F7">
        <w:t>, la evaluación de la igualdad de género y el empoderamiento de las mujeres debe integrarse en los valores fundamentales y las competencias de todo el personal, en particular a niveles P4 o superiores, y ponerse de manifiesto de forma pertinente. En relación con la igualdad de representación de mujeres y hombres, el requisito de base es que el respeto a la diversidad se integre en las competencias institucionales y normas éticas relativas a la descripción de todos los puestos y anuncios de vacantes. La igualdad de representación de mujeres y hombres en todos los niveles de la UIT debe constituir un valor fundamental. Por otro lado, la UIT debe identificar los medios necesarios para recompensar el rendimiento del personal como forma de promover la igualdad de género y el empoderamiento de la mujer.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B864F0" w:rsidRPr="004848F7" w14:paraId="30EF3AFC" w14:textId="77777777" w:rsidTr="00B864F0">
        <w:tc>
          <w:tcPr>
            <w:tcW w:w="6096" w:type="dxa"/>
          </w:tcPr>
          <w:p w14:paraId="5F56D4CF" w14:textId="5007A1E0" w:rsidR="00B864F0" w:rsidRPr="004848F7" w:rsidRDefault="00B864F0" w:rsidP="00B864F0">
            <w:pPr>
              <w:rPr>
                <w:u w:val="single"/>
              </w:rPr>
            </w:pPr>
            <w:r w:rsidRPr="004848F7">
              <w:rPr>
                <w:u w:val="single"/>
              </w:rPr>
              <w:t>Productos</w:t>
            </w:r>
          </w:p>
        </w:tc>
        <w:tc>
          <w:tcPr>
            <w:tcW w:w="1559" w:type="dxa"/>
          </w:tcPr>
          <w:p w14:paraId="212EF2A0" w14:textId="38B42F25" w:rsidR="00B864F0" w:rsidRPr="004848F7" w:rsidRDefault="00B864F0" w:rsidP="00B864F0">
            <w:pPr>
              <w:jc w:val="center"/>
              <w:rPr>
                <w:u w:val="single"/>
              </w:rPr>
            </w:pPr>
            <w:r w:rsidRPr="004848F7">
              <w:rPr>
                <w:u w:val="single"/>
              </w:rPr>
              <w:t>Responsable</w:t>
            </w:r>
          </w:p>
        </w:tc>
        <w:tc>
          <w:tcPr>
            <w:tcW w:w="1406" w:type="dxa"/>
          </w:tcPr>
          <w:p w14:paraId="211EAD68" w14:textId="52C91406" w:rsidR="00B864F0" w:rsidRPr="004848F7" w:rsidRDefault="00B864F0" w:rsidP="00B864F0">
            <w:pPr>
              <w:jc w:val="right"/>
              <w:rPr>
                <w:u w:val="single"/>
              </w:rPr>
            </w:pPr>
            <w:r w:rsidRPr="004848F7">
              <w:rPr>
                <w:u w:val="single"/>
              </w:rPr>
              <w:t>Plazo</w:t>
            </w:r>
          </w:p>
        </w:tc>
      </w:tr>
      <w:tr w:rsidR="00B864F0" w:rsidRPr="004848F7" w14:paraId="6EED7459" w14:textId="77777777" w:rsidTr="00B864F0">
        <w:tc>
          <w:tcPr>
            <w:tcW w:w="6096" w:type="dxa"/>
          </w:tcPr>
          <w:p w14:paraId="64B6A4F8" w14:textId="3FF01910" w:rsidR="00B864F0" w:rsidRPr="004848F7" w:rsidRDefault="00B864F0" w:rsidP="00B864F0">
            <w:r w:rsidRPr="004848F7">
              <w:rPr>
                <w:lang w:eastAsia="zh-CN"/>
              </w:rPr>
              <w:t>8.1</w:t>
            </w:r>
            <w:r w:rsidRPr="004848F7">
              <w:rPr>
                <w:lang w:eastAsia="zh-CN"/>
              </w:rPr>
              <w:tab/>
              <w:t>Neutralidad de género de todos los anuncios de vacantes</w:t>
            </w:r>
          </w:p>
        </w:tc>
        <w:tc>
          <w:tcPr>
            <w:tcW w:w="1559" w:type="dxa"/>
          </w:tcPr>
          <w:p w14:paraId="4DE3AC9D" w14:textId="14759DED" w:rsidR="00B864F0" w:rsidRPr="004848F7" w:rsidRDefault="00B864F0" w:rsidP="00B864F0">
            <w:pPr>
              <w:jc w:val="center"/>
            </w:pPr>
            <w:r w:rsidRPr="004848F7">
              <w:t>HRMD</w:t>
            </w:r>
          </w:p>
        </w:tc>
        <w:tc>
          <w:tcPr>
            <w:tcW w:w="1406" w:type="dxa"/>
          </w:tcPr>
          <w:p w14:paraId="3261D9CE" w14:textId="762BAC6D" w:rsidR="00B864F0" w:rsidRPr="004848F7" w:rsidRDefault="00B864F0" w:rsidP="00B864F0">
            <w:pPr>
              <w:jc w:val="right"/>
            </w:pPr>
            <w:r w:rsidRPr="004848F7">
              <w:t>Implantado</w:t>
            </w:r>
          </w:p>
        </w:tc>
      </w:tr>
      <w:tr w:rsidR="00B864F0" w:rsidRPr="004848F7" w14:paraId="48093937" w14:textId="77777777" w:rsidTr="00B864F0">
        <w:tc>
          <w:tcPr>
            <w:tcW w:w="6096" w:type="dxa"/>
          </w:tcPr>
          <w:p w14:paraId="2695633C" w14:textId="5073157D" w:rsidR="00B864F0" w:rsidRPr="004848F7" w:rsidRDefault="00B864F0" w:rsidP="00B864F0">
            <w:r w:rsidRPr="004848F7">
              <w:rPr>
                <w:color w:val="000000"/>
                <w:lang w:eastAsia="zh-CN"/>
              </w:rPr>
              <w:t>8.2</w:t>
            </w:r>
            <w:r w:rsidRPr="004848F7">
              <w:rPr>
                <w:color w:val="000000"/>
                <w:lang w:eastAsia="zh-CN"/>
              </w:rPr>
              <w:tab/>
              <w:t>Evaluación sistemática por los grupos de entrevistadores de la sensibilidad de los candidatos con respecto a cuestiones de género</w:t>
            </w:r>
          </w:p>
        </w:tc>
        <w:tc>
          <w:tcPr>
            <w:tcW w:w="1559" w:type="dxa"/>
          </w:tcPr>
          <w:p w14:paraId="4C0CB3A9" w14:textId="180F5BB5" w:rsidR="00B864F0" w:rsidRPr="004848F7" w:rsidRDefault="00B864F0" w:rsidP="00B864F0">
            <w:pPr>
              <w:jc w:val="center"/>
            </w:pPr>
            <w:r w:rsidRPr="004848F7">
              <w:t>HRMD</w:t>
            </w:r>
          </w:p>
        </w:tc>
        <w:tc>
          <w:tcPr>
            <w:tcW w:w="1406" w:type="dxa"/>
          </w:tcPr>
          <w:p w14:paraId="1E554372" w14:textId="6CFCEE4A" w:rsidR="00B864F0" w:rsidRPr="004848F7" w:rsidRDefault="00B864F0" w:rsidP="00B864F0">
            <w:pPr>
              <w:jc w:val="right"/>
            </w:pPr>
            <w:r w:rsidRPr="004848F7">
              <w:t>2025</w:t>
            </w:r>
          </w:p>
        </w:tc>
      </w:tr>
      <w:tr w:rsidR="00B864F0" w:rsidRPr="004848F7" w14:paraId="2AD21786" w14:textId="77777777" w:rsidTr="00B864F0">
        <w:tc>
          <w:tcPr>
            <w:tcW w:w="6096" w:type="dxa"/>
          </w:tcPr>
          <w:p w14:paraId="2A786EB6" w14:textId="5621CC9F" w:rsidR="00B864F0" w:rsidRPr="004848F7" w:rsidRDefault="00B864F0" w:rsidP="00B864F0">
            <w:r w:rsidRPr="004848F7">
              <w:rPr>
                <w:color w:val="000000"/>
                <w:lang w:eastAsia="zh-CN"/>
              </w:rPr>
              <w:t>8.3</w:t>
            </w:r>
            <w:r w:rsidRPr="004848F7">
              <w:rPr>
                <w:color w:val="000000"/>
                <w:lang w:eastAsia="zh-CN"/>
              </w:rPr>
              <w:tab/>
              <w:t>Inclusión en ePMDS de objetivos de gestión relacionados con cuestiones de género</w:t>
            </w:r>
          </w:p>
        </w:tc>
        <w:tc>
          <w:tcPr>
            <w:tcW w:w="1559" w:type="dxa"/>
          </w:tcPr>
          <w:p w14:paraId="693C0133" w14:textId="76E90500" w:rsidR="00B864F0" w:rsidRPr="004848F7" w:rsidRDefault="00B864F0" w:rsidP="00B864F0">
            <w:pPr>
              <w:jc w:val="center"/>
            </w:pPr>
            <w:r w:rsidRPr="004848F7">
              <w:t>HRMD</w:t>
            </w:r>
          </w:p>
        </w:tc>
        <w:tc>
          <w:tcPr>
            <w:tcW w:w="1406" w:type="dxa"/>
          </w:tcPr>
          <w:p w14:paraId="3E06ED80" w14:textId="73E63D0A" w:rsidR="00B864F0" w:rsidRPr="004848F7" w:rsidRDefault="00B864F0" w:rsidP="00B864F0">
            <w:pPr>
              <w:jc w:val="right"/>
            </w:pPr>
            <w:r w:rsidRPr="004848F7">
              <w:t>2025</w:t>
            </w:r>
          </w:p>
        </w:tc>
      </w:tr>
    </w:tbl>
    <w:p w14:paraId="75CAC08D" w14:textId="3826131C" w:rsidR="00EE76D1" w:rsidRPr="004848F7" w:rsidRDefault="00B864F0" w:rsidP="00B864F0">
      <w:pPr>
        <w:pStyle w:val="Heading1"/>
        <w:rPr>
          <w:rFonts w:eastAsia="SimSun"/>
          <w:lang w:eastAsia="zh-CN"/>
        </w:rPr>
      </w:pPr>
      <w:r w:rsidRPr="004848F7">
        <w:rPr>
          <w:lang w:eastAsia="zh-CN"/>
        </w:rPr>
        <w:t>9</w:t>
      </w:r>
      <w:r w:rsidRPr="004848F7">
        <w:rPr>
          <w:lang w:eastAsia="zh-CN"/>
        </w:rPr>
        <w:tab/>
      </w:r>
      <w:r w:rsidR="00EE76D1" w:rsidRPr="004848F7">
        <w:rPr>
          <w:lang w:eastAsia="zh-CN"/>
        </w:rPr>
        <w:t>Supervisión de los recursos financieros</w:t>
      </w:r>
      <w:r w:rsidRPr="004848F7">
        <w:rPr>
          <w:rFonts w:eastAsia="SimSun"/>
          <w:lang w:eastAsia="zh-CN"/>
        </w:rPr>
        <w:br/>
      </w:r>
      <w:r w:rsidR="00EE76D1" w:rsidRPr="004848F7">
        <w:rPr>
          <w:rFonts w:eastAsia="SimSun"/>
          <w:lang w:eastAsia="zh-CN"/>
        </w:rPr>
        <w:t xml:space="preserve">Situación en 2023: </w:t>
      </w:r>
      <w:r w:rsidR="00EE76D1" w:rsidRPr="004848F7">
        <w:rPr>
          <w:rFonts w:eastAsia="SimSun" w:cs="Arial"/>
          <w:lang w:eastAsia="zh-CN"/>
        </w:rPr>
        <w:t>Cumplimiento de los requisitos</w:t>
      </w:r>
    </w:p>
    <w:p w14:paraId="7E49E1A5" w14:textId="05343632" w:rsidR="00EE76D1" w:rsidRPr="004848F7" w:rsidRDefault="00EE76D1" w:rsidP="00C5275A">
      <w:r w:rsidRPr="004848F7">
        <w:t xml:space="preserve">Para cumplir este </w:t>
      </w:r>
      <w:hyperlink r:id="rId84" w:history="1">
        <w:r w:rsidRPr="004848F7">
          <w:rPr>
            <w:rStyle w:val="Hyperlink"/>
          </w:rPr>
          <w:t>indicador de rendimiento ONU-SWAP</w:t>
        </w:r>
      </w:hyperlink>
      <w:r w:rsidRPr="004848F7">
        <w:t>, la UIT debe disponer de un sistema de supervisión financiera (por ejemplo, un indicador sobre aspectos de género) con objeto de cuantificar los fondos asignados a la promoción de la igualdad de género y el empoderamiento de la mujer. Ello conlleva la supervisión de los fondos que hacen hincapié en la promoción de la igualdad de género y de los fondos asignados a la integración de cuestiones de género.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C5275A" w:rsidRPr="004848F7" w14:paraId="169C5407" w14:textId="77777777" w:rsidTr="00C5275A">
        <w:tc>
          <w:tcPr>
            <w:tcW w:w="6096" w:type="dxa"/>
          </w:tcPr>
          <w:p w14:paraId="15D41D19" w14:textId="67C69995" w:rsidR="00C5275A" w:rsidRPr="004848F7" w:rsidRDefault="00C5275A" w:rsidP="00C5275A">
            <w:pPr>
              <w:rPr>
                <w:u w:val="single"/>
              </w:rPr>
            </w:pPr>
            <w:r w:rsidRPr="004848F7">
              <w:rPr>
                <w:u w:val="single"/>
              </w:rPr>
              <w:t>Productos</w:t>
            </w:r>
          </w:p>
        </w:tc>
        <w:tc>
          <w:tcPr>
            <w:tcW w:w="1559" w:type="dxa"/>
          </w:tcPr>
          <w:p w14:paraId="056CFAF6" w14:textId="2C871F68" w:rsidR="00C5275A" w:rsidRPr="004848F7" w:rsidRDefault="00C5275A" w:rsidP="00C5275A">
            <w:pPr>
              <w:jc w:val="center"/>
              <w:rPr>
                <w:u w:val="single"/>
              </w:rPr>
            </w:pPr>
            <w:r w:rsidRPr="004848F7">
              <w:rPr>
                <w:u w:val="single"/>
              </w:rPr>
              <w:t>Responsable</w:t>
            </w:r>
          </w:p>
        </w:tc>
        <w:tc>
          <w:tcPr>
            <w:tcW w:w="1406" w:type="dxa"/>
          </w:tcPr>
          <w:p w14:paraId="40E46FA8" w14:textId="37E97083" w:rsidR="00C5275A" w:rsidRPr="004848F7" w:rsidRDefault="00C5275A" w:rsidP="00C5275A">
            <w:pPr>
              <w:jc w:val="right"/>
              <w:rPr>
                <w:u w:val="single"/>
              </w:rPr>
            </w:pPr>
            <w:r w:rsidRPr="004848F7">
              <w:rPr>
                <w:u w:val="single"/>
              </w:rPr>
              <w:t>Plazo</w:t>
            </w:r>
          </w:p>
        </w:tc>
      </w:tr>
      <w:tr w:rsidR="00C5275A" w:rsidRPr="004848F7" w14:paraId="0C80C7FA" w14:textId="77777777" w:rsidTr="00C5275A">
        <w:tc>
          <w:tcPr>
            <w:tcW w:w="6096" w:type="dxa"/>
          </w:tcPr>
          <w:p w14:paraId="06505BC6" w14:textId="3B1FBC61" w:rsidR="00C5275A" w:rsidRPr="004848F7" w:rsidRDefault="00C5275A" w:rsidP="00C5275A">
            <w:r w:rsidRPr="004848F7">
              <w:rPr>
                <w:lang w:eastAsia="zh-CN"/>
              </w:rPr>
              <w:t>9.1</w:t>
            </w:r>
            <w:r w:rsidRPr="004848F7">
              <w:rPr>
                <w:lang w:eastAsia="zh-CN"/>
              </w:rPr>
              <w:tab/>
              <w:t>Informe (¿automatizado?) relativo a los resultados del indicador sobre aspectos de género y asignación de recursos a los mismos</w:t>
            </w:r>
          </w:p>
        </w:tc>
        <w:tc>
          <w:tcPr>
            <w:tcW w:w="1559" w:type="dxa"/>
          </w:tcPr>
          <w:p w14:paraId="53DD7C7E" w14:textId="18201359" w:rsidR="00C5275A" w:rsidRPr="004848F7" w:rsidRDefault="00C5275A" w:rsidP="00C5275A">
            <w:pPr>
              <w:jc w:val="center"/>
            </w:pPr>
            <w:r w:rsidRPr="004848F7">
              <w:t>FRMD</w:t>
            </w:r>
          </w:p>
        </w:tc>
        <w:tc>
          <w:tcPr>
            <w:tcW w:w="1406" w:type="dxa"/>
          </w:tcPr>
          <w:p w14:paraId="72FDC523" w14:textId="0CB067AD" w:rsidR="00C5275A" w:rsidRPr="004848F7" w:rsidRDefault="00151C39" w:rsidP="00C5275A">
            <w:pPr>
              <w:jc w:val="right"/>
            </w:pPr>
            <w:r w:rsidRPr="004848F7">
              <w:rPr>
                <w:color w:val="FF0000"/>
              </w:rPr>
              <w:t>¿?</w:t>
            </w:r>
            <w:r w:rsidRPr="004848F7">
              <w:t xml:space="preserve"> T </w:t>
            </w:r>
            <w:r w:rsidR="00C5275A" w:rsidRPr="004848F7">
              <w:t>2024</w:t>
            </w:r>
          </w:p>
        </w:tc>
      </w:tr>
      <w:tr w:rsidR="00C5275A" w:rsidRPr="004848F7" w14:paraId="68B8BDA4" w14:textId="77777777" w:rsidTr="00C5275A">
        <w:tc>
          <w:tcPr>
            <w:tcW w:w="6096" w:type="dxa"/>
          </w:tcPr>
          <w:p w14:paraId="438489D4" w14:textId="2D74BBA3" w:rsidR="00C5275A" w:rsidRPr="004848F7" w:rsidRDefault="00C5275A" w:rsidP="00C5275A">
            <w:r w:rsidRPr="004848F7">
              <w:rPr>
                <w:lang w:eastAsia="zh-CN"/>
              </w:rPr>
              <w:t>9.2</w:t>
            </w:r>
            <w:r w:rsidRPr="004848F7">
              <w:rPr>
                <w:lang w:eastAsia="zh-CN"/>
              </w:rPr>
              <w:tab/>
              <w:t>Desarrollo y aplicación de un mecanismo para supervisar y evaluar la precisión de codificación</w:t>
            </w:r>
          </w:p>
        </w:tc>
        <w:tc>
          <w:tcPr>
            <w:tcW w:w="1559" w:type="dxa"/>
          </w:tcPr>
          <w:p w14:paraId="4EA852D8" w14:textId="55BFDEA2" w:rsidR="00C5275A" w:rsidRPr="004848F7" w:rsidRDefault="00C5275A" w:rsidP="00C5275A">
            <w:pPr>
              <w:jc w:val="center"/>
            </w:pPr>
            <w:r w:rsidRPr="004848F7">
              <w:t>FRMD</w:t>
            </w:r>
          </w:p>
        </w:tc>
        <w:tc>
          <w:tcPr>
            <w:tcW w:w="1406" w:type="dxa"/>
          </w:tcPr>
          <w:p w14:paraId="2A7F1797" w14:textId="70D5E0B9" w:rsidR="00C5275A" w:rsidRPr="004848F7" w:rsidRDefault="00C5275A" w:rsidP="00C5275A">
            <w:pPr>
              <w:jc w:val="right"/>
            </w:pPr>
            <w:r w:rsidRPr="004848F7">
              <w:t>2024</w:t>
            </w:r>
          </w:p>
        </w:tc>
      </w:tr>
      <w:tr w:rsidR="00C5275A" w:rsidRPr="004848F7" w14:paraId="3766AE90" w14:textId="77777777" w:rsidTr="00C5275A">
        <w:tc>
          <w:tcPr>
            <w:tcW w:w="6096" w:type="dxa"/>
          </w:tcPr>
          <w:p w14:paraId="6CC75591" w14:textId="2AEFA218" w:rsidR="00C5275A" w:rsidRPr="004848F7" w:rsidRDefault="00C5275A" w:rsidP="00C5275A">
            <w:r w:rsidRPr="004848F7">
              <w:rPr>
                <w:lang w:eastAsia="zh-CN"/>
              </w:rPr>
              <w:lastRenderedPageBreak/>
              <w:t>9.3</w:t>
            </w:r>
            <w:r w:rsidRPr="004848F7">
              <w:rPr>
                <w:lang w:eastAsia="zh-CN"/>
              </w:rPr>
              <w:tab/>
              <w:t>Revisión del indicador o indicadores sobre aspectos de género y de las posibilidades de mejora</w:t>
            </w:r>
          </w:p>
        </w:tc>
        <w:tc>
          <w:tcPr>
            <w:tcW w:w="1559" w:type="dxa"/>
          </w:tcPr>
          <w:p w14:paraId="362A9DD4" w14:textId="3CCCCC16" w:rsidR="00C5275A" w:rsidRPr="004848F7" w:rsidRDefault="00C5275A" w:rsidP="00C5275A">
            <w:pPr>
              <w:jc w:val="center"/>
            </w:pPr>
            <w:r w:rsidRPr="004848F7">
              <w:t>FRMD</w:t>
            </w:r>
          </w:p>
        </w:tc>
        <w:tc>
          <w:tcPr>
            <w:tcW w:w="1406" w:type="dxa"/>
          </w:tcPr>
          <w:p w14:paraId="1BF59520" w14:textId="13E0212E" w:rsidR="00C5275A" w:rsidRPr="004848F7" w:rsidRDefault="00C5275A" w:rsidP="00C5275A">
            <w:pPr>
              <w:jc w:val="right"/>
            </w:pPr>
            <w:r w:rsidRPr="004848F7">
              <w:t>2024</w:t>
            </w:r>
          </w:p>
        </w:tc>
      </w:tr>
    </w:tbl>
    <w:p w14:paraId="0DCB89BE" w14:textId="0DA4813A" w:rsidR="00EE76D1" w:rsidRPr="004848F7" w:rsidRDefault="00C5275A" w:rsidP="00C5275A">
      <w:pPr>
        <w:pStyle w:val="Heading1"/>
        <w:rPr>
          <w:rFonts w:eastAsia="SimSun" w:cs="Calibri"/>
          <w:color w:val="FF0000"/>
          <w:lang w:eastAsia="zh-CN"/>
        </w:rPr>
      </w:pPr>
      <w:r w:rsidRPr="004848F7">
        <w:rPr>
          <w:color w:val="000000"/>
          <w:lang w:eastAsia="zh-CN"/>
        </w:rPr>
        <w:t>10</w:t>
      </w:r>
      <w:r w:rsidRPr="004848F7">
        <w:rPr>
          <w:color w:val="000000"/>
          <w:lang w:eastAsia="zh-CN"/>
        </w:rPr>
        <w:tab/>
      </w:r>
      <w:r w:rsidR="00EE76D1" w:rsidRPr="004848F7">
        <w:rPr>
          <w:color w:val="000000"/>
          <w:lang w:eastAsia="zh-CN"/>
        </w:rPr>
        <w:t xml:space="preserve">Asignación de recursos financieros </w:t>
      </w:r>
      <w:r w:rsidR="00151C39" w:rsidRPr="004848F7">
        <w:rPr>
          <w:color w:val="FF0000"/>
          <w:lang w:eastAsia="zh-CN"/>
        </w:rPr>
        <w:t>[</w:t>
      </w:r>
      <w:r w:rsidR="00EE76D1" w:rsidRPr="004848F7">
        <w:rPr>
          <w:color w:val="FF0000"/>
          <w:lang w:eastAsia="zh-CN"/>
        </w:rPr>
        <w:t>INDICADOR PRIORITARIO</w:t>
      </w:r>
      <w:r w:rsidR="00151C39" w:rsidRPr="004848F7">
        <w:rPr>
          <w:color w:val="FF0000"/>
          <w:lang w:eastAsia="zh-CN"/>
        </w:rPr>
        <w:t>]</w:t>
      </w:r>
      <w:r w:rsidRPr="004848F7">
        <w:rPr>
          <w:lang w:eastAsia="zh-CN"/>
        </w:rPr>
        <w:br/>
      </w:r>
      <w:r w:rsidR="00EE76D1" w:rsidRPr="004848F7">
        <w:rPr>
          <w:rFonts w:eastAsia="SimSun" w:cs="Calibri"/>
          <w:color w:val="FF0000"/>
          <w:lang w:eastAsia="zh-CN"/>
        </w:rPr>
        <w:t xml:space="preserve">Situación en </w:t>
      </w:r>
      <w:r w:rsidR="00EE76D1" w:rsidRPr="004848F7">
        <w:rPr>
          <w:rFonts w:eastAsia="SimSun" w:cs="Arial"/>
          <w:color w:val="FF0000"/>
          <w:lang w:eastAsia="zh-CN"/>
        </w:rPr>
        <w:t>2023: sin información</w:t>
      </w:r>
    </w:p>
    <w:p w14:paraId="546FEFB3" w14:textId="357690C5" w:rsidR="00EE76D1" w:rsidRPr="004848F7" w:rsidRDefault="00EE76D1" w:rsidP="00C5275A">
      <w:r w:rsidRPr="004848F7">
        <w:t xml:space="preserve">Para cumplir este </w:t>
      </w:r>
      <w:hyperlink r:id="rId85" w:history="1">
        <w:r w:rsidRPr="004848F7">
          <w:rPr>
            <w:rStyle w:val="Hyperlink"/>
          </w:rPr>
          <w:t>indicador de rendimiento ONU-SWAP</w:t>
        </w:r>
      </w:hyperlink>
      <w:r w:rsidRPr="004848F7">
        <w:t>, la UIT debe establecer y alcanzar un objetivo financiero porcentual a tenor de su mandato de igualdad de género y empoderamiento de la mujer con respecto a todos los presupuestos, incluidos los recursos ordinarios, de base y extrapresupuestarios. Ese proceso es iterativo, y las entidades deben prever no sólo cumplir sistemáticamente un objetivo establecido, sino también reevaluar periódicamente si se asignan recursos suficientes a la igualdad de género y al empoderamiento de la mujer y, de ser necesario, ajustar el objetivo al alza.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C5275A" w:rsidRPr="004848F7" w14:paraId="00AB8C57" w14:textId="77777777" w:rsidTr="00703603">
        <w:tc>
          <w:tcPr>
            <w:tcW w:w="6096" w:type="dxa"/>
          </w:tcPr>
          <w:p w14:paraId="25CCB8A0" w14:textId="77777777" w:rsidR="00C5275A" w:rsidRPr="004848F7" w:rsidRDefault="00C5275A" w:rsidP="00703603">
            <w:pPr>
              <w:rPr>
                <w:u w:val="single"/>
              </w:rPr>
            </w:pPr>
            <w:r w:rsidRPr="004848F7">
              <w:rPr>
                <w:u w:val="single"/>
              </w:rPr>
              <w:t>Productos</w:t>
            </w:r>
          </w:p>
        </w:tc>
        <w:tc>
          <w:tcPr>
            <w:tcW w:w="1559" w:type="dxa"/>
          </w:tcPr>
          <w:p w14:paraId="39D38A06" w14:textId="77777777" w:rsidR="00C5275A" w:rsidRPr="004848F7" w:rsidRDefault="00C5275A" w:rsidP="00703603">
            <w:pPr>
              <w:jc w:val="center"/>
              <w:rPr>
                <w:u w:val="single"/>
              </w:rPr>
            </w:pPr>
            <w:r w:rsidRPr="004848F7">
              <w:rPr>
                <w:u w:val="single"/>
              </w:rPr>
              <w:t>Responsable</w:t>
            </w:r>
          </w:p>
        </w:tc>
        <w:tc>
          <w:tcPr>
            <w:tcW w:w="1406" w:type="dxa"/>
          </w:tcPr>
          <w:p w14:paraId="0362CEFE" w14:textId="77777777" w:rsidR="00C5275A" w:rsidRPr="004848F7" w:rsidRDefault="00C5275A" w:rsidP="00703603">
            <w:pPr>
              <w:jc w:val="right"/>
              <w:rPr>
                <w:u w:val="single"/>
              </w:rPr>
            </w:pPr>
            <w:r w:rsidRPr="004848F7">
              <w:rPr>
                <w:u w:val="single"/>
              </w:rPr>
              <w:t>Plazo</w:t>
            </w:r>
          </w:p>
        </w:tc>
      </w:tr>
      <w:tr w:rsidR="00C5275A" w:rsidRPr="004848F7" w14:paraId="2E8A499D" w14:textId="77777777" w:rsidTr="00703603">
        <w:tc>
          <w:tcPr>
            <w:tcW w:w="6096" w:type="dxa"/>
          </w:tcPr>
          <w:p w14:paraId="5033A392" w14:textId="2AD6EA63" w:rsidR="00C5275A" w:rsidRPr="004848F7" w:rsidRDefault="00C5275A" w:rsidP="00703603">
            <w:r w:rsidRPr="004848F7">
              <w:rPr>
                <w:lang w:eastAsia="zh-CN"/>
              </w:rPr>
              <w:t>10.1</w:t>
            </w:r>
            <w:r w:rsidRPr="004848F7">
              <w:rPr>
                <w:lang w:eastAsia="zh-CN"/>
              </w:rPr>
              <w:tab/>
              <w:t>Establecimiento de un objetivo financiero sobre igualdad de género como porcentaje de los ingresos totales</w:t>
            </w:r>
          </w:p>
        </w:tc>
        <w:tc>
          <w:tcPr>
            <w:tcW w:w="1559" w:type="dxa"/>
          </w:tcPr>
          <w:p w14:paraId="6816FA32" w14:textId="77777777" w:rsidR="00C5275A" w:rsidRPr="004848F7" w:rsidRDefault="00C5275A" w:rsidP="00703603">
            <w:pPr>
              <w:jc w:val="center"/>
            </w:pPr>
            <w:r w:rsidRPr="004848F7">
              <w:t>FRMD</w:t>
            </w:r>
          </w:p>
        </w:tc>
        <w:tc>
          <w:tcPr>
            <w:tcW w:w="1406" w:type="dxa"/>
          </w:tcPr>
          <w:p w14:paraId="54893385" w14:textId="410EAAFF" w:rsidR="00C5275A" w:rsidRPr="004848F7" w:rsidRDefault="00717AF8" w:rsidP="00703603">
            <w:pPr>
              <w:jc w:val="right"/>
            </w:pPr>
            <w:r w:rsidRPr="004848F7">
              <w:rPr>
                <w:color w:val="FF0000"/>
              </w:rPr>
              <w:t>¿?</w:t>
            </w:r>
            <w:r w:rsidRPr="004848F7">
              <w:t xml:space="preserve"> T </w:t>
            </w:r>
            <w:r w:rsidR="00C5275A" w:rsidRPr="004848F7">
              <w:t>2024</w:t>
            </w:r>
          </w:p>
        </w:tc>
      </w:tr>
      <w:tr w:rsidR="00C5275A" w:rsidRPr="004848F7" w14:paraId="1399C534" w14:textId="77777777" w:rsidTr="00703603">
        <w:tc>
          <w:tcPr>
            <w:tcW w:w="6096" w:type="dxa"/>
          </w:tcPr>
          <w:p w14:paraId="0A36CCC7" w14:textId="206E0950" w:rsidR="00C5275A" w:rsidRPr="004848F7" w:rsidRDefault="00C5275A" w:rsidP="00703603">
            <w:r w:rsidRPr="004848F7">
              <w:rPr>
                <w:lang w:eastAsia="zh-CN"/>
              </w:rPr>
              <w:t>10.2</w:t>
            </w:r>
            <w:r w:rsidRPr="004848F7">
              <w:rPr>
                <w:lang w:eastAsia="zh-CN"/>
              </w:rPr>
              <w:tab/>
              <w:t>Notificación financiera con carácter anual para cumplir el mandato de la UIT en cuanto a igualdad de género</w:t>
            </w:r>
          </w:p>
        </w:tc>
        <w:tc>
          <w:tcPr>
            <w:tcW w:w="1559" w:type="dxa"/>
          </w:tcPr>
          <w:p w14:paraId="735A9F5E" w14:textId="77777777" w:rsidR="00C5275A" w:rsidRPr="004848F7" w:rsidRDefault="00C5275A" w:rsidP="00703603">
            <w:pPr>
              <w:jc w:val="center"/>
            </w:pPr>
            <w:r w:rsidRPr="004848F7">
              <w:t>FRMD</w:t>
            </w:r>
          </w:p>
        </w:tc>
        <w:tc>
          <w:tcPr>
            <w:tcW w:w="1406" w:type="dxa"/>
          </w:tcPr>
          <w:p w14:paraId="76A0D860" w14:textId="532A91F1" w:rsidR="00C5275A" w:rsidRPr="004848F7" w:rsidRDefault="00717AF8" w:rsidP="00703603">
            <w:pPr>
              <w:jc w:val="right"/>
            </w:pPr>
            <w:r w:rsidRPr="004848F7">
              <w:rPr>
                <w:color w:val="FF0000"/>
              </w:rPr>
              <w:t>¿?</w:t>
            </w:r>
            <w:r w:rsidRPr="004848F7">
              <w:t xml:space="preserve"> T 2024</w:t>
            </w:r>
          </w:p>
        </w:tc>
      </w:tr>
      <w:tr w:rsidR="00C5275A" w:rsidRPr="004848F7" w14:paraId="486BDE7B" w14:textId="77777777" w:rsidTr="00703603">
        <w:tc>
          <w:tcPr>
            <w:tcW w:w="6096" w:type="dxa"/>
          </w:tcPr>
          <w:p w14:paraId="0D2F05C7" w14:textId="407D2F8B" w:rsidR="00C5275A" w:rsidRPr="004848F7" w:rsidRDefault="00C5275A" w:rsidP="00703603">
            <w:r w:rsidRPr="004848F7">
              <w:rPr>
                <w:lang w:eastAsia="zh-CN"/>
              </w:rPr>
              <w:t>10.3</w:t>
            </w:r>
            <w:r w:rsidRPr="004848F7">
              <w:rPr>
                <w:lang w:eastAsia="zh-CN"/>
              </w:rPr>
              <w:tab/>
              <w:t>Revisión periódica de los recursos financieros asignados a actividades</w:t>
            </w:r>
            <w:r w:rsidR="00717AF8" w:rsidRPr="004848F7">
              <w:rPr>
                <w:lang w:eastAsia="zh-CN"/>
              </w:rPr>
              <w:t xml:space="preserve"> GEM</w:t>
            </w:r>
          </w:p>
        </w:tc>
        <w:tc>
          <w:tcPr>
            <w:tcW w:w="1559" w:type="dxa"/>
          </w:tcPr>
          <w:p w14:paraId="5FFD6B5F" w14:textId="1D95CCE0" w:rsidR="00C5275A" w:rsidRPr="004848F7" w:rsidRDefault="00C5275A" w:rsidP="00703603">
            <w:pPr>
              <w:jc w:val="center"/>
            </w:pPr>
          </w:p>
        </w:tc>
        <w:tc>
          <w:tcPr>
            <w:tcW w:w="1406" w:type="dxa"/>
          </w:tcPr>
          <w:p w14:paraId="180D11AD" w14:textId="3403D164" w:rsidR="00C5275A" w:rsidRPr="004848F7" w:rsidRDefault="00C5275A" w:rsidP="00703603">
            <w:pPr>
              <w:jc w:val="right"/>
            </w:pPr>
          </w:p>
        </w:tc>
      </w:tr>
    </w:tbl>
    <w:p w14:paraId="4C879A30" w14:textId="6AF967BB" w:rsidR="00EE76D1" w:rsidRPr="004848F7" w:rsidRDefault="00C5275A" w:rsidP="00C5275A">
      <w:pPr>
        <w:pStyle w:val="Heading1"/>
        <w:rPr>
          <w:rFonts w:eastAsia="SimSun"/>
          <w:lang w:eastAsia="zh-CN"/>
        </w:rPr>
      </w:pPr>
      <w:r w:rsidRPr="004848F7">
        <w:rPr>
          <w:lang w:eastAsia="zh-CN"/>
        </w:rPr>
        <w:t>11</w:t>
      </w:r>
      <w:r w:rsidRPr="004848F7">
        <w:rPr>
          <w:lang w:eastAsia="zh-CN"/>
        </w:rPr>
        <w:tab/>
      </w:r>
      <w:r w:rsidR="00EE76D1" w:rsidRPr="004848F7">
        <w:rPr>
          <w:lang w:eastAsia="zh-CN"/>
        </w:rPr>
        <w:t>Estructura de las actividades sobre cuestiones de género</w:t>
      </w:r>
      <w:r w:rsidRPr="004848F7">
        <w:rPr>
          <w:rFonts w:ascii="Times New Roman" w:eastAsia="SimSun" w:hAnsi="Times New Roman"/>
          <w:lang w:eastAsia="zh-CN"/>
        </w:rPr>
        <w:br/>
      </w:r>
      <w:r w:rsidR="00EE76D1" w:rsidRPr="004848F7">
        <w:rPr>
          <w:rFonts w:eastAsia="SimSun"/>
          <w:lang w:eastAsia="zh-CN"/>
        </w:rPr>
        <w:t>Situación del SWAP en 2023: cumplimiento casi íntegro de requisitos</w:t>
      </w:r>
    </w:p>
    <w:p w14:paraId="0933067F" w14:textId="5DDCFAEC" w:rsidR="00EE76D1" w:rsidRPr="004848F7" w:rsidRDefault="00EE76D1" w:rsidP="00C5275A">
      <w:r w:rsidRPr="004848F7">
        <w:t xml:space="preserve">Para cumplir este </w:t>
      </w:r>
      <w:hyperlink r:id="rId86" w:history="1">
        <w:r w:rsidRPr="004848F7">
          <w:rPr>
            <w:rStyle w:val="Hyperlink"/>
          </w:rPr>
          <w:t>indicador de rendimiento ONU-SWAP</w:t>
        </w:r>
      </w:hyperlink>
      <w:r w:rsidRPr="004848F7">
        <w:t>, es necesario que la UIT cuente con coordinadores de género en la sede y en las regiones, con mandatos establecidos por escrito, y al menos el 20% de su tiempo asignado al desempeño de funciones de coordinación de género. Se requiere una dependencia o un departamento para cuestiones de género con todos los recursos necesarios, es decir, que disponga de los recursos humanos y financieros adecuados para apoyar a la UIT en el cumplimiento de su mandato en materia de igualdad de género y empoderamiento de la mujer.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C5275A" w:rsidRPr="004848F7" w14:paraId="7C176A91" w14:textId="77777777" w:rsidTr="00703603">
        <w:tc>
          <w:tcPr>
            <w:tcW w:w="6096" w:type="dxa"/>
          </w:tcPr>
          <w:p w14:paraId="7631F13C" w14:textId="77777777" w:rsidR="00C5275A" w:rsidRPr="004848F7" w:rsidRDefault="00C5275A" w:rsidP="00703603">
            <w:pPr>
              <w:rPr>
                <w:u w:val="single"/>
              </w:rPr>
            </w:pPr>
            <w:r w:rsidRPr="004848F7">
              <w:rPr>
                <w:u w:val="single"/>
              </w:rPr>
              <w:t>Productos</w:t>
            </w:r>
          </w:p>
        </w:tc>
        <w:tc>
          <w:tcPr>
            <w:tcW w:w="1559" w:type="dxa"/>
          </w:tcPr>
          <w:p w14:paraId="75008E98" w14:textId="77777777" w:rsidR="00C5275A" w:rsidRPr="004848F7" w:rsidRDefault="00C5275A" w:rsidP="00703603">
            <w:pPr>
              <w:jc w:val="center"/>
              <w:rPr>
                <w:u w:val="single"/>
              </w:rPr>
            </w:pPr>
            <w:r w:rsidRPr="004848F7">
              <w:rPr>
                <w:u w:val="single"/>
              </w:rPr>
              <w:t>Responsable</w:t>
            </w:r>
          </w:p>
        </w:tc>
        <w:tc>
          <w:tcPr>
            <w:tcW w:w="1406" w:type="dxa"/>
          </w:tcPr>
          <w:p w14:paraId="316B4A8A" w14:textId="77777777" w:rsidR="00C5275A" w:rsidRPr="004848F7" w:rsidRDefault="00C5275A" w:rsidP="00703603">
            <w:pPr>
              <w:jc w:val="right"/>
              <w:rPr>
                <w:u w:val="single"/>
              </w:rPr>
            </w:pPr>
            <w:r w:rsidRPr="004848F7">
              <w:rPr>
                <w:u w:val="single"/>
              </w:rPr>
              <w:t>Plazo</w:t>
            </w:r>
          </w:p>
        </w:tc>
      </w:tr>
      <w:tr w:rsidR="00C5275A" w:rsidRPr="004848F7" w14:paraId="004890DF" w14:textId="77777777" w:rsidTr="00703603">
        <w:tc>
          <w:tcPr>
            <w:tcW w:w="6096" w:type="dxa"/>
          </w:tcPr>
          <w:p w14:paraId="29604619" w14:textId="18D116B9" w:rsidR="00C5275A" w:rsidRPr="004848F7" w:rsidRDefault="00C5275A" w:rsidP="00703603">
            <w:r w:rsidRPr="004848F7">
              <w:rPr>
                <w:lang w:eastAsia="zh-CN"/>
              </w:rPr>
              <w:t>11.1</w:t>
            </w:r>
            <w:r w:rsidRPr="004848F7">
              <w:rPr>
                <w:lang w:eastAsia="zh-CN"/>
              </w:rPr>
              <w:tab/>
              <w:t>Establecimiento de una dependencia funcional dotada de recursos para abordar cuestiones de género en SGO</w:t>
            </w:r>
          </w:p>
        </w:tc>
        <w:tc>
          <w:tcPr>
            <w:tcW w:w="1559" w:type="dxa"/>
          </w:tcPr>
          <w:p w14:paraId="6D6DE5A7" w14:textId="63AB8A8F" w:rsidR="00C5275A" w:rsidRPr="004848F7" w:rsidRDefault="00C5275A" w:rsidP="00703603">
            <w:pPr>
              <w:jc w:val="center"/>
            </w:pPr>
            <w:r w:rsidRPr="004848F7">
              <w:t>SG/</w:t>
            </w:r>
            <w:r w:rsidR="00717AF8" w:rsidRPr="004848F7">
              <w:t>F</w:t>
            </w:r>
            <w:r w:rsidRPr="004848F7">
              <w:t>RMD</w:t>
            </w:r>
          </w:p>
        </w:tc>
        <w:tc>
          <w:tcPr>
            <w:tcW w:w="1406" w:type="dxa"/>
          </w:tcPr>
          <w:p w14:paraId="2C1016D4" w14:textId="46EF7181" w:rsidR="00C5275A" w:rsidRPr="004848F7" w:rsidRDefault="00C5275A" w:rsidP="00703603">
            <w:pPr>
              <w:jc w:val="right"/>
            </w:pPr>
          </w:p>
        </w:tc>
      </w:tr>
      <w:tr w:rsidR="00C5275A" w:rsidRPr="004848F7" w14:paraId="013CA67F" w14:textId="77777777" w:rsidTr="00703603">
        <w:tc>
          <w:tcPr>
            <w:tcW w:w="6096" w:type="dxa"/>
          </w:tcPr>
          <w:p w14:paraId="7AEA63EB" w14:textId="3F7408A6" w:rsidR="00C5275A" w:rsidRPr="004848F7" w:rsidRDefault="00C5275A" w:rsidP="00703603">
            <w:r w:rsidRPr="004848F7">
              <w:rPr>
                <w:lang w:eastAsia="zh-CN"/>
              </w:rPr>
              <w:t>11.2</w:t>
            </w:r>
            <w:r w:rsidRPr="004848F7">
              <w:rPr>
                <w:lang w:eastAsia="zh-CN"/>
              </w:rPr>
              <w:tab/>
              <w:t>Actualización de los coordinadores GTF; organización de sesiones informativas a los nuevos miembros</w:t>
            </w:r>
          </w:p>
        </w:tc>
        <w:tc>
          <w:tcPr>
            <w:tcW w:w="1559" w:type="dxa"/>
          </w:tcPr>
          <w:p w14:paraId="0D083552" w14:textId="6AA32E11" w:rsidR="00C5275A" w:rsidRPr="004848F7" w:rsidRDefault="00C5275A" w:rsidP="00703603">
            <w:pPr>
              <w:jc w:val="center"/>
            </w:pPr>
            <w:r w:rsidRPr="004848F7">
              <w:t>SPM</w:t>
            </w:r>
          </w:p>
        </w:tc>
        <w:tc>
          <w:tcPr>
            <w:tcW w:w="1406" w:type="dxa"/>
          </w:tcPr>
          <w:p w14:paraId="0EF251E6" w14:textId="00965242" w:rsidR="00C5275A" w:rsidRPr="004848F7" w:rsidRDefault="00C5275A" w:rsidP="00703603">
            <w:pPr>
              <w:jc w:val="right"/>
            </w:pPr>
            <w:r w:rsidRPr="004848F7">
              <w:t>Según sea necesario</w:t>
            </w:r>
          </w:p>
        </w:tc>
      </w:tr>
      <w:tr w:rsidR="00C5275A" w:rsidRPr="004848F7" w14:paraId="49F33FA2" w14:textId="77777777" w:rsidTr="00703603">
        <w:tc>
          <w:tcPr>
            <w:tcW w:w="6096" w:type="dxa"/>
          </w:tcPr>
          <w:p w14:paraId="0ECC039F" w14:textId="0306B268" w:rsidR="00C5275A" w:rsidRPr="004848F7" w:rsidRDefault="00C5275A" w:rsidP="00703603">
            <w:r w:rsidRPr="004848F7">
              <w:rPr>
                <w:lang w:eastAsia="zh-CN"/>
              </w:rPr>
              <w:t>11.3</w:t>
            </w:r>
            <w:r w:rsidRPr="004848F7">
              <w:rPr>
                <w:lang w:eastAsia="zh-CN"/>
              </w:rPr>
              <w:tab/>
              <w:t>Revisión de los mandatos y funcionamiento del GTF para posibles mejoras y aumentar la eficacia</w:t>
            </w:r>
          </w:p>
        </w:tc>
        <w:tc>
          <w:tcPr>
            <w:tcW w:w="1559" w:type="dxa"/>
          </w:tcPr>
          <w:p w14:paraId="43B3A80E" w14:textId="7D58E10D" w:rsidR="00C5275A" w:rsidRPr="004848F7" w:rsidRDefault="00C5275A" w:rsidP="00703603">
            <w:pPr>
              <w:jc w:val="center"/>
            </w:pPr>
            <w:r w:rsidRPr="004848F7">
              <w:t>GTF/SPM</w:t>
            </w:r>
          </w:p>
        </w:tc>
        <w:tc>
          <w:tcPr>
            <w:tcW w:w="1406" w:type="dxa"/>
          </w:tcPr>
          <w:p w14:paraId="5E42F664" w14:textId="7E0B6076" w:rsidR="00C5275A" w:rsidRPr="004848F7" w:rsidRDefault="00C5275A" w:rsidP="00703603">
            <w:pPr>
              <w:jc w:val="right"/>
            </w:pPr>
            <w:r w:rsidRPr="004848F7">
              <w:t>2024</w:t>
            </w:r>
          </w:p>
        </w:tc>
      </w:tr>
    </w:tbl>
    <w:p w14:paraId="4C72C72D" w14:textId="2D222861" w:rsidR="00EE76D1" w:rsidRPr="004848F7" w:rsidRDefault="00C5275A" w:rsidP="00B87D2F">
      <w:pPr>
        <w:pStyle w:val="Heading1"/>
        <w:rPr>
          <w:rFonts w:eastAsia="SimSun"/>
        </w:rPr>
      </w:pPr>
      <w:r w:rsidRPr="004848F7">
        <w:lastRenderedPageBreak/>
        <w:t>12</w:t>
      </w:r>
      <w:r w:rsidRPr="004848F7">
        <w:tab/>
      </w:r>
      <w:r w:rsidR="00EE76D1" w:rsidRPr="004848F7">
        <w:t xml:space="preserve">Igualdad de representación de las mujeres </w:t>
      </w:r>
      <w:r w:rsidR="00717AF8" w:rsidRPr="004848F7">
        <w:rPr>
          <w:color w:val="FF0000"/>
        </w:rPr>
        <w:t>[</w:t>
      </w:r>
      <w:r w:rsidR="00EE76D1" w:rsidRPr="004848F7">
        <w:rPr>
          <w:color w:val="FF0000"/>
        </w:rPr>
        <w:t>INDICADOR PRIORITARIO</w:t>
      </w:r>
      <w:r w:rsidR="00717AF8" w:rsidRPr="004848F7">
        <w:rPr>
          <w:color w:val="FF0000"/>
        </w:rPr>
        <w:t>]</w:t>
      </w:r>
      <w:r w:rsidR="00B87D2F" w:rsidRPr="004848F7">
        <w:rPr>
          <w:rFonts w:eastAsia="SimSun"/>
        </w:rPr>
        <w:br/>
      </w:r>
      <w:r w:rsidR="00EE76D1" w:rsidRPr="004848F7">
        <w:rPr>
          <w:rFonts w:eastAsia="SimSun"/>
          <w:color w:val="FF0000"/>
        </w:rPr>
        <w:t>Situación del SWAP en 2023: sin información</w:t>
      </w:r>
    </w:p>
    <w:p w14:paraId="6A4FF2C5" w14:textId="2CC95643" w:rsidR="00EE76D1" w:rsidRPr="004848F7" w:rsidRDefault="00EE76D1" w:rsidP="00C5275A">
      <w:r w:rsidRPr="004848F7">
        <w:t xml:space="preserve">Para cumplir este </w:t>
      </w:r>
      <w:hyperlink r:id="rId87" w:history="1">
        <w:r w:rsidRPr="004848F7">
          <w:rPr>
            <w:rStyle w:val="Hyperlink"/>
          </w:rPr>
          <w:t>indicador de rendimiento ONU-SWAP</w:t>
        </w:r>
      </w:hyperlink>
      <w:r w:rsidRPr="004848F7">
        <w:t>, la UIT debe alcanzar los hitos y objetivos establecidos en un plan sobre paridad de género y, a tenor de ello, presentar las estadísticas actualizadas pertinentes relativas al personal a todos los niveles. Para superar los requisitos, la UIT debe poseer una representación paritaria en los niveles superiores de las oficinas sobre el terreno, así como en órganos consultivos y comités, entre otros órganos.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1553"/>
        <w:gridCol w:w="1655"/>
      </w:tblGrid>
      <w:tr w:rsidR="000A2157" w:rsidRPr="004848F7" w14:paraId="4A825E46" w14:textId="77777777" w:rsidTr="00703603">
        <w:tc>
          <w:tcPr>
            <w:tcW w:w="6096" w:type="dxa"/>
          </w:tcPr>
          <w:p w14:paraId="4F22C3A7" w14:textId="77777777" w:rsidR="000A2157" w:rsidRPr="004848F7" w:rsidRDefault="000A2157" w:rsidP="00703603">
            <w:pPr>
              <w:rPr>
                <w:u w:val="single"/>
              </w:rPr>
            </w:pPr>
            <w:r w:rsidRPr="004848F7">
              <w:rPr>
                <w:u w:val="single"/>
              </w:rPr>
              <w:t>Productos</w:t>
            </w:r>
          </w:p>
        </w:tc>
        <w:tc>
          <w:tcPr>
            <w:tcW w:w="1559" w:type="dxa"/>
          </w:tcPr>
          <w:p w14:paraId="03B8B749" w14:textId="77777777" w:rsidR="000A2157" w:rsidRPr="004848F7" w:rsidRDefault="000A2157" w:rsidP="00703603">
            <w:pPr>
              <w:jc w:val="center"/>
              <w:rPr>
                <w:u w:val="single"/>
              </w:rPr>
            </w:pPr>
            <w:r w:rsidRPr="004848F7">
              <w:rPr>
                <w:u w:val="single"/>
              </w:rPr>
              <w:t>Responsable</w:t>
            </w:r>
          </w:p>
        </w:tc>
        <w:tc>
          <w:tcPr>
            <w:tcW w:w="1406" w:type="dxa"/>
          </w:tcPr>
          <w:p w14:paraId="605C2849" w14:textId="77777777" w:rsidR="000A2157" w:rsidRPr="004848F7" w:rsidRDefault="000A2157" w:rsidP="00703603">
            <w:pPr>
              <w:jc w:val="right"/>
              <w:rPr>
                <w:u w:val="single"/>
              </w:rPr>
            </w:pPr>
            <w:r w:rsidRPr="004848F7">
              <w:rPr>
                <w:u w:val="single"/>
              </w:rPr>
              <w:t>Plazo</w:t>
            </w:r>
          </w:p>
        </w:tc>
      </w:tr>
      <w:tr w:rsidR="000A2157" w:rsidRPr="004848F7" w14:paraId="1B42537B" w14:textId="77777777" w:rsidTr="00703603">
        <w:tc>
          <w:tcPr>
            <w:tcW w:w="6096" w:type="dxa"/>
          </w:tcPr>
          <w:p w14:paraId="06677089" w14:textId="7C4F39FD" w:rsidR="000A2157" w:rsidRPr="004848F7" w:rsidRDefault="000A2157" w:rsidP="00703603">
            <w:pPr>
              <w:rPr>
                <w:szCs w:val="24"/>
              </w:rPr>
            </w:pPr>
            <w:r w:rsidRPr="004848F7">
              <w:rPr>
                <w:szCs w:val="24"/>
                <w:lang w:eastAsia="zh-CN"/>
              </w:rPr>
              <w:t>12.1</w:t>
            </w:r>
            <w:r w:rsidRPr="004848F7">
              <w:rPr>
                <w:szCs w:val="24"/>
                <w:lang w:eastAsia="zh-CN"/>
              </w:rPr>
              <w:tab/>
            </w:r>
            <w:r w:rsidRPr="004848F7">
              <w:rPr>
                <w:color w:val="000000"/>
                <w:szCs w:val="24"/>
                <w:lang w:eastAsia="zh-CN"/>
              </w:rPr>
              <w:t xml:space="preserve">Proyecto de plan sobre </w:t>
            </w:r>
            <w:hyperlink r:id="rId88">
              <w:r w:rsidRPr="004848F7">
                <w:rPr>
                  <w:color w:val="0563C1"/>
                  <w:szCs w:val="24"/>
                  <w:u w:val="single"/>
                  <w:lang w:eastAsia="zh-CN"/>
                </w:rPr>
                <w:t>paridad de género</w:t>
              </w:r>
            </w:hyperlink>
            <w:r w:rsidRPr="004848F7">
              <w:rPr>
                <w:color w:val="000000"/>
                <w:szCs w:val="24"/>
                <w:lang w:eastAsia="zh-CN"/>
              </w:rPr>
              <w:t xml:space="preserve"> con objetivos establecidos</w:t>
            </w:r>
          </w:p>
        </w:tc>
        <w:tc>
          <w:tcPr>
            <w:tcW w:w="1559" w:type="dxa"/>
          </w:tcPr>
          <w:p w14:paraId="4954E7B9" w14:textId="2951A995" w:rsidR="000A2157" w:rsidRPr="004848F7" w:rsidRDefault="000A2157" w:rsidP="00703603">
            <w:pPr>
              <w:jc w:val="center"/>
              <w:rPr>
                <w:szCs w:val="24"/>
              </w:rPr>
            </w:pPr>
            <w:r w:rsidRPr="004848F7">
              <w:rPr>
                <w:szCs w:val="24"/>
              </w:rPr>
              <w:t>HRMD</w:t>
            </w:r>
          </w:p>
        </w:tc>
        <w:tc>
          <w:tcPr>
            <w:tcW w:w="1406" w:type="dxa"/>
          </w:tcPr>
          <w:p w14:paraId="594A87A3" w14:textId="77777777" w:rsidR="000A2157" w:rsidRPr="004848F7" w:rsidRDefault="000A2157" w:rsidP="00703603">
            <w:pPr>
              <w:jc w:val="right"/>
              <w:rPr>
                <w:szCs w:val="24"/>
              </w:rPr>
            </w:pPr>
            <w:r w:rsidRPr="004848F7">
              <w:rPr>
                <w:szCs w:val="24"/>
              </w:rPr>
              <w:t>2024</w:t>
            </w:r>
          </w:p>
        </w:tc>
      </w:tr>
      <w:tr w:rsidR="000A2157" w:rsidRPr="004848F7" w14:paraId="272CEA24" w14:textId="77777777" w:rsidTr="00703603">
        <w:tc>
          <w:tcPr>
            <w:tcW w:w="6096" w:type="dxa"/>
          </w:tcPr>
          <w:p w14:paraId="5A89524D" w14:textId="1273CCE2" w:rsidR="000A2157" w:rsidRPr="004848F7" w:rsidRDefault="000A2157" w:rsidP="00703603">
            <w:pPr>
              <w:rPr>
                <w:szCs w:val="24"/>
              </w:rPr>
            </w:pPr>
            <w:r w:rsidRPr="004848F7">
              <w:rPr>
                <w:szCs w:val="24"/>
                <w:lang w:eastAsia="zh-CN"/>
              </w:rPr>
              <w:t>12.2</w:t>
            </w:r>
            <w:r w:rsidRPr="004848F7">
              <w:rPr>
                <w:szCs w:val="24"/>
                <w:lang w:eastAsia="zh-CN"/>
              </w:rPr>
              <w:tab/>
              <w:t>Revisión de los procedimientos de contratación de la UIT en consonancia con lo establecido en la Res.</w:t>
            </w:r>
            <w:r w:rsidR="00717AF8" w:rsidRPr="004848F7">
              <w:rPr>
                <w:szCs w:val="24"/>
                <w:lang w:eastAsia="zh-CN"/>
              </w:rPr>
              <w:t> </w:t>
            </w:r>
            <w:r w:rsidRPr="004848F7">
              <w:rPr>
                <w:szCs w:val="24"/>
                <w:lang w:eastAsia="zh-CN"/>
              </w:rPr>
              <w:t>70</w:t>
            </w:r>
          </w:p>
        </w:tc>
        <w:tc>
          <w:tcPr>
            <w:tcW w:w="1559" w:type="dxa"/>
          </w:tcPr>
          <w:p w14:paraId="61272BC9" w14:textId="0F775318" w:rsidR="000A2157" w:rsidRPr="004848F7" w:rsidRDefault="000A2157" w:rsidP="00703603">
            <w:pPr>
              <w:jc w:val="center"/>
              <w:rPr>
                <w:szCs w:val="24"/>
              </w:rPr>
            </w:pPr>
            <w:r w:rsidRPr="004848F7">
              <w:rPr>
                <w:szCs w:val="24"/>
              </w:rPr>
              <w:t>HRMD</w:t>
            </w:r>
          </w:p>
        </w:tc>
        <w:tc>
          <w:tcPr>
            <w:tcW w:w="1406" w:type="dxa"/>
          </w:tcPr>
          <w:p w14:paraId="36C7B9BA" w14:textId="0B2937F9" w:rsidR="000A2157" w:rsidRPr="004848F7" w:rsidRDefault="000A2157" w:rsidP="00703603">
            <w:pPr>
              <w:jc w:val="right"/>
              <w:rPr>
                <w:szCs w:val="24"/>
              </w:rPr>
            </w:pPr>
            <w:r w:rsidRPr="004848F7">
              <w:rPr>
                <w:szCs w:val="24"/>
              </w:rPr>
              <w:t>Implementado</w:t>
            </w:r>
          </w:p>
        </w:tc>
      </w:tr>
      <w:tr w:rsidR="000A2157" w:rsidRPr="004848F7" w14:paraId="0FBF48E4" w14:textId="77777777" w:rsidTr="00703603">
        <w:tc>
          <w:tcPr>
            <w:tcW w:w="6096" w:type="dxa"/>
          </w:tcPr>
          <w:p w14:paraId="011F2B31" w14:textId="792509E3" w:rsidR="000A2157" w:rsidRPr="004848F7" w:rsidRDefault="000A2157" w:rsidP="00703603">
            <w:pPr>
              <w:rPr>
                <w:szCs w:val="24"/>
              </w:rPr>
            </w:pPr>
            <w:r w:rsidRPr="004848F7">
              <w:rPr>
                <w:szCs w:val="24"/>
                <w:lang w:eastAsia="zh-CN"/>
              </w:rPr>
              <w:t>12.3</w:t>
            </w:r>
            <w:r w:rsidRPr="004848F7">
              <w:rPr>
                <w:szCs w:val="24"/>
                <w:lang w:eastAsia="zh-CN"/>
              </w:rPr>
              <w:tab/>
              <w:t>Formación para que los responsables de contratación aborden prejuicios inconscientes</w:t>
            </w:r>
          </w:p>
        </w:tc>
        <w:tc>
          <w:tcPr>
            <w:tcW w:w="1559" w:type="dxa"/>
          </w:tcPr>
          <w:p w14:paraId="23C8AE8D" w14:textId="2CE4EACF" w:rsidR="000A2157" w:rsidRPr="004848F7" w:rsidRDefault="000A2157" w:rsidP="00703603">
            <w:pPr>
              <w:jc w:val="center"/>
              <w:rPr>
                <w:szCs w:val="24"/>
              </w:rPr>
            </w:pPr>
            <w:r w:rsidRPr="004848F7">
              <w:rPr>
                <w:szCs w:val="24"/>
              </w:rPr>
              <w:t>HRMD</w:t>
            </w:r>
          </w:p>
        </w:tc>
        <w:tc>
          <w:tcPr>
            <w:tcW w:w="1406" w:type="dxa"/>
          </w:tcPr>
          <w:p w14:paraId="64DD1018" w14:textId="51FB00CC" w:rsidR="000A2157" w:rsidRPr="004848F7" w:rsidRDefault="000A2157" w:rsidP="00703603">
            <w:pPr>
              <w:jc w:val="right"/>
              <w:rPr>
                <w:szCs w:val="24"/>
              </w:rPr>
            </w:pPr>
            <w:r w:rsidRPr="004848F7">
              <w:rPr>
                <w:szCs w:val="24"/>
              </w:rPr>
              <w:t>2025</w:t>
            </w:r>
          </w:p>
        </w:tc>
      </w:tr>
      <w:tr w:rsidR="000A2157" w:rsidRPr="004848F7" w14:paraId="21CCF810" w14:textId="77777777" w:rsidTr="00703603">
        <w:tc>
          <w:tcPr>
            <w:tcW w:w="6096" w:type="dxa"/>
          </w:tcPr>
          <w:p w14:paraId="5F121D05" w14:textId="449218C6" w:rsidR="000A2157" w:rsidRPr="004848F7" w:rsidRDefault="000A2157" w:rsidP="00703603">
            <w:pPr>
              <w:rPr>
                <w:szCs w:val="24"/>
                <w:lang w:eastAsia="zh-CN"/>
              </w:rPr>
            </w:pPr>
            <w:r w:rsidRPr="004848F7">
              <w:rPr>
                <w:szCs w:val="24"/>
                <w:lang w:eastAsia="zh-CN"/>
              </w:rPr>
              <w:t>12.4</w:t>
            </w:r>
            <w:r w:rsidRPr="004848F7">
              <w:rPr>
                <w:szCs w:val="24"/>
                <w:lang w:eastAsia="zh-CN"/>
              </w:rPr>
              <w:tab/>
              <w:t xml:space="preserve">Informes periódicos para su inclusión en el </w:t>
            </w:r>
            <w:hyperlink r:id="rId89" w:history="1">
              <w:r w:rsidRPr="004848F7">
                <w:rPr>
                  <w:color w:val="0563C1"/>
                  <w:szCs w:val="24"/>
                  <w:u w:val="single"/>
                  <w:lang w:eastAsia="zh-CN"/>
                </w:rPr>
                <w:t>panel de control de las Naciones Unidas sobre paridad de género</w:t>
              </w:r>
            </w:hyperlink>
          </w:p>
        </w:tc>
        <w:tc>
          <w:tcPr>
            <w:tcW w:w="1559" w:type="dxa"/>
          </w:tcPr>
          <w:p w14:paraId="54F0414D" w14:textId="500EC018" w:rsidR="000A2157" w:rsidRPr="004848F7" w:rsidRDefault="000A2157" w:rsidP="00703603">
            <w:pPr>
              <w:jc w:val="center"/>
              <w:rPr>
                <w:szCs w:val="24"/>
              </w:rPr>
            </w:pPr>
            <w:r w:rsidRPr="004848F7">
              <w:rPr>
                <w:szCs w:val="24"/>
              </w:rPr>
              <w:t>HRMD</w:t>
            </w:r>
          </w:p>
        </w:tc>
        <w:tc>
          <w:tcPr>
            <w:tcW w:w="1406" w:type="dxa"/>
          </w:tcPr>
          <w:p w14:paraId="200603D0" w14:textId="33706BBB" w:rsidR="000A2157" w:rsidRPr="004848F7" w:rsidRDefault="000A2157" w:rsidP="00703603">
            <w:pPr>
              <w:jc w:val="right"/>
              <w:rPr>
                <w:szCs w:val="24"/>
              </w:rPr>
            </w:pPr>
            <w:r w:rsidRPr="004848F7">
              <w:rPr>
                <w:szCs w:val="24"/>
              </w:rPr>
              <w:t>Anual</w:t>
            </w:r>
          </w:p>
        </w:tc>
      </w:tr>
      <w:tr w:rsidR="000A2157" w:rsidRPr="004848F7" w14:paraId="6954AF26" w14:textId="77777777" w:rsidTr="00703603">
        <w:tc>
          <w:tcPr>
            <w:tcW w:w="6096" w:type="dxa"/>
          </w:tcPr>
          <w:p w14:paraId="18DDE9D4" w14:textId="1430465F" w:rsidR="000A2157" w:rsidRPr="004848F7" w:rsidRDefault="000A2157" w:rsidP="00703603">
            <w:pPr>
              <w:rPr>
                <w:szCs w:val="24"/>
                <w:lang w:eastAsia="zh-CN"/>
              </w:rPr>
            </w:pPr>
            <w:r w:rsidRPr="004848F7">
              <w:rPr>
                <w:color w:val="000000"/>
                <w:szCs w:val="24"/>
                <w:lang w:eastAsia="zh-CN"/>
              </w:rPr>
              <w:t>12.5</w:t>
            </w:r>
            <w:r w:rsidRPr="004848F7">
              <w:rPr>
                <w:color w:val="000000"/>
                <w:szCs w:val="24"/>
                <w:lang w:eastAsia="zh-CN"/>
              </w:rPr>
              <w:tab/>
              <w:t xml:space="preserve">Actualización del </w:t>
            </w:r>
            <w:hyperlink r:id="rId90" w:history="1">
              <w:r w:rsidRPr="004848F7">
                <w:rPr>
                  <w:color w:val="0563C1"/>
                  <w:szCs w:val="24"/>
                  <w:u w:val="single"/>
                  <w:lang w:eastAsia="zh-CN"/>
                </w:rPr>
                <w:t>panel de control de la UIT</w:t>
              </w:r>
            </w:hyperlink>
            <w:r w:rsidRPr="004848F7">
              <w:rPr>
                <w:color w:val="000000"/>
                <w:szCs w:val="24"/>
                <w:lang w:eastAsia="zh-CN"/>
              </w:rPr>
              <w:t xml:space="preserve"> sobre cuestiones de género y personal</w:t>
            </w:r>
          </w:p>
        </w:tc>
        <w:tc>
          <w:tcPr>
            <w:tcW w:w="1559" w:type="dxa"/>
          </w:tcPr>
          <w:p w14:paraId="146022BD" w14:textId="0984B04D" w:rsidR="000A2157" w:rsidRPr="004848F7" w:rsidRDefault="000A2157" w:rsidP="00703603">
            <w:pPr>
              <w:jc w:val="center"/>
              <w:rPr>
                <w:szCs w:val="24"/>
              </w:rPr>
            </w:pPr>
            <w:r w:rsidRPr="004848F7">
              <w:rPr>
                <w:szCs w:val="24"/>
              </w:rPr>
              <w:t>HRMD/SPM</w:t>
            </w:r>
          </w:p>
        </w:tc>
        <w:tc>
          <w:tcPr>
            <w:tcW w:w="1406" w:type="dxa"/>
          </w:tcPr>
          <w:p w14:paraId="47217364" w14:textId="4BE4CEC2" w:rsidR="000A2157" w:rsidRPr="004848F7" w:rsidRDefault="000A2157" w:rsidP="00703603">
            <w:pPr>
              <w:jc w:val="right"/>
              <w:rPr>
                <w:szCs w:val="24"/>
              </w:rPr>
            </w:pPr>
            <w:r w:rsidRPr="004848F7">
              <w:rPr>
                <w:szCs w:val="24"/>
              </w:rPr>
              <w:t>Automatizado</w:t>
            </w:r>
          </w:p>
        </w:tc>
      </w:tr>
      <w:tr w:rsidR="000A2157" w:rsidRPr="004848F7" w14:paraId="7B809C0C" w14:textId="77777777" w:rsidTr="00703603">
        <w:tc>
          <w:tcPr>
            <w:tcW w:w="6096" w:type="dxa"/>
          </w:tcPr>
          <w:p w14:paraId="2351B44F" w14:textId="7389B16B" w:rsidR="000A2157" w:rsidRPr="004848F7" w:rsidRDefault="000A2157" w:rsidP="00703603">
            <w:pPr>
              <w:rPr>
                <w:szCs w:val="24"/>
                <w:lang w:eastAsia="zh-CN"/>
              </w:rPr>
            </w:pPr>
            <w:r w:rsidRPr="004848F7">
              <w:rPr>
                <w:color w:val="000000"/>
                <w:szCs w:val="24"/>
                <w:lang w:eastAsia="zh-CN"/>
              </w:rPr>
              <w:t>12.6</w:t>
            </w:r>
            <w:r w:rsidRPr="004848F7">
              <w:rPr>
                <w:color w:val="000000"/>
                <w:szCs w:val="24"/>
                <w:lang w:eastAsia="zh-CN"/>
              </w:rPr>
              <w:tab/>
              <w:t>Informe sobre la aplicación de la estrategia sobre paridad de género a la CEB</w:t>
            </w:r>
          </w:p>
        </w:tc>
        <w:tc>
          <w:tcPr>
            <w:tcW w:w="1559" w:type="dxa"/>
          </w:tcPr>
          <w:p w14:paraId="107F0D20" w14:textId="62EBCC22" w:rsidR="000A2157" w:rsidRPr="004848F7" w:rsidRDefault="000A2157" w:rsidP="00703603">
            <w:pPr>
              <w:jc w:val="center"/>
              <w:rPr>
                <w:szCs w:val="24"/>
              </w:rPr>
            </w:pPr>
            <w:r w:rsidRPr="004848F7">
              <w:rPr>
                <w:szCs w:val="24"/>
              </w:rPr>
              <w:t>HRMD</w:t>
            </w:r>
          </w:p>
        </w:tc>
        <w:tc>
          <w:tcPr>
            <w:tcW w:w="1406" w:type="dxa"/>
          </w:tcPr>
          <w:p w14:paraId="7527309B" w14:textId="09978E50" w:rsidR="000A2157" w:rsidRPr="004848F7" w:rsidRDefault="000A2157" w:rsidP="00703603">
            <w:pPr>
              <w:jc w:val="right"/>
              <w:rPr>
                <w:szCs w:val="24"/>
              </w:rPr>
            </w:pPr>
            <w:r w:rsidRPr="004848F7">
              <w:rPr>
                <w:szCs w:val="24"/>
              </w:rPr>
              <w:t>Anual</w:t>
            </w:r>
          </w:p>
        </w:tc>
      </w:tr>
      <w:tr w:rsidR="000A2157" w:rsidRPr="004848F7" w14:paraId="1AF39C9E" w14:textId="77777777" w:rsidTr="00703603">
        <w:tc>
          <w:tcPr>
            <w:tcW w:w="6096" w:type="dxa"/>
          </w:tcPr>
          <w:p w14:paraId="0876E4E1" w14:textId="7BC670FB" w:rsidR="000A2157" w:rsidRPr="004848F7" w:rsidRDefault="000A2157" w:rsidP="00703603">
            <w:pPr>
              <w:rPr>
                <w:szCs w:val="24"/>
                <w:lang w:eastAsia="zh-CN"/>
              </w:rPr>
            </w:pPr>
            <w:r w:rsidRPr="004848F7">
              <w:rPr>
                <w:rFonts w:eastAsia="SimSun" w:cs="Arial"/>
                <w:szCs w:val="24"/>
                <w:lang w:eastAsia="zh-CN"/>
              </w:rPr>
              <w:t>12.7</w:t>
            </w:r>
            <w:r w:rsidRPr="004848F7">
              <w:rPr>
                <w:rFonts w:eastAsia="SimSun" w:cs="Arial"/>
                <w:szCs w:val="24"/>
                <w:lang w:eastAsia="zh-CN"/>
              </w:rPr>
              <w:tab/>
              <w:t>Desarrollo de una estrategia de divulgación para atraer a más mujeres candidatas</w:t>
            </w:r>
          </w:p>
        </w:tc>
        <w:tc>
          <w:tcPr>
            <w:tcW w:w="1559" w:type="dxa"/>
          </w:tcPr>
          <w:p w14:paraId="54375205" w14:textId="3220EE93" w:rsidR="000A2157" w:rsidRPr="004848F7" w:rsidRDefault="000A2157" w:rsidP="00703603">
            <w:pPr>
              <w:jc w:val="center"/>
              <w:rPr>
                <w:szCs w:val="24"/>
              </w:rPr>
            </w:pPr>
            <w:r w:rsidRPr="004848F7">
              <w:rPr>
                <w:szCs w:val="24"/>
              </w:rPr>
              <w:t>HRMD</w:t>
            </w:r>
          </w:p>
        </w:tc>
        <w:tc>
          <w:tcPr>
            <w:tcW w:w="1406" w:type="dxa"/>
          </w:tcPr>
          <w:p w14:paraId="69527230" w14:textId="36795E7B" w:rsidR="000A2157" w:rsidRPr="004848F7" w:rsidRDefault="000A2157" w:rsidP="00703603">
            <w:pPr>
              <w:jc w:val="right"/>
              <w:rPr>
                <w:szCs w:val="24"/>
              </w:rPr>
            </w:pPr>
            <w:r w:rsidRPr="004848F7">
              <w:rPr>
                <w:szCs w:val="24"/>
              </w:rPr>
              <w:t>2025</w:t>
            </w:r>
          </w:p>
        </w:tc>
      </w:tr>
      <w:tr w:rsidR="000A2157" w:rsidRPr="004848F7" w14:paraId="22BF55DD" w14:textId="77777777" w:rsidTr="00703603">
        <w:tc>
          <w:tcPr>
            <w:tcW w:w="6096" w:type="dxa"/>
          </w:tcPr>
          <w:p w14:paraId="21804B63" w14:textId="24C3584E" w:rsidR="000A2157" w:rsidRPr="004848F7" w:rsidRDefault="000A2157" w:rsidP="00703603">
            <w:pPr>
              <w:rPr>
                <w:szCs w:val="24"/>
                <w:lang w:eastAsia="zh-CN"/>
              </w:rPr>
            </w:pPr>
            <w:r w:rsidRPr="004848F7">
              <w:rPr>
                <w:szCs w:val="24"/>
                <w:lang w:eastAsia="zh-CN"/>
              </w:rPr>
              <w:t>12.8</w:t>
            </w:r>
            <w:r w:rsidRPr="004848F7">
              <w:rPr>
                <w:szCs w:val="24"/>
                <w:lang w:eastAsia="zh-CN"/>
              </w:rPr>
              <w:tab/>
              <w:t xml:space="preserve">Actividades para alentar a mujeres en delegaciones y eventos de la UIT; actividades de </w:t>
            </w:r>
            <w:hyperlink r:id="rId91" w:history="1">
              <w:r w:rsidRPr="004848F7">
                <w:rPr>
                  <w:color w:val="0563C1"/>
                  <w:szCs w:val="24"/>
                  <w:u w:val="single"/>
                  <w:lang w:eastAsia="zh-CN"/>
                </w:rPr>
                <w:t>supervisión y notificación</w:t>
              </w:r>
            </w:hyperlink>
            <w:r w:rsidRPr="004848F7">
              <w:rPr>
                <w:rFonts w:eastAsia="SimSun" w:cs="Arial"/>
                <w:szCs w:val="24"/>
                <w:lang w:eastAsia="zh-CN"/>
              </w:rPr>
              <w:t xml:space="preserve"> (incl. en relación con la Res</w:t>
            </w:r>
            <w:r w:rsidR="00787E76" w:rsidRPr="004848F7">
              <w:rPr>
                <w:rFonts w:eastAsia="SimSun" w:cs="Arial"/>
                <w:szCs w:val="24"/>
                <w:lang w:eastAsia="zh-CN"/>
              </w:rPr>
              <w:t xml:space="preserve">. </w:t>
            </w:r>
            <w:r w:rsidRPr="004848F7">
              <w:rPr>
                <w:rFonts w:eastAsia="SimSun" w:cs="Arial"/>
                <w:szCs w:val="24"/>
                <w:lang w:eastAsia="zh-CN"/>
              </w:rPr>
              <w:t>167)</w:t>
            </w:r>
          </w:p>
        </w:tc>
        <w:tc>
          <w:tcPr>
            <w:tcW w:w="1559" w:type="dxa"/>
          </w:tcPr>
          <w:p w14:paraId="51D8E19E" w14:textId="60B42A0C" w:rsidR="000A2157" w:rsidRPr="004848F7" w:rsidRDefault="000A2157" w:rsidP="00703603">
            <w:pPr>
              <w:jc w:val="center"/>
              <w:rPr>
                <w:szCs w:val="24"/>
              </w:rPr>
            </w:pPr>
          </w:p>
        </w:tc>
        <w:tc>
          <w:tcPr>
            <w:tcW w:w="1406" w:type="dxa"/>
          </w:tcPr>
          <w:p w14:paraId="08543D46" w14:textId="7B1D5E8A" w:rsidR="000A2157" w:rsidRPr="004848F7" w:rsidRDefault="000A2157" w:rsidP="00703603">
            <w:pPr>
              <w:jc w:val="right"/>
              <w:rPr>
                <w:szCs w:val="24"/>
              </w:rPr>
            </w:pPr>
            <w:r w:rsidRPr="004848F7">
              <w:rPr>
                <w:szCs w:val="24"/>
              </w:rPr>
              <w:t>En curso</w:t>
            </w:r>
          </w:p>
        </w:tc>
      </w:tr>
      <w:tr w:rsidR="000A2157" w:rsidRPr="004848F7" w14:paraId="0712AB98" w14:textId="77777777" w:rsidTr="00703603">
        <w:tc>
          <w:tcPr>
            <w:tcW w:w="6096" w:type="dxa"/>
          </w:tcPr>
          <w:p w14:paraId="06CB9F2F" w14:textId="4DD0DCD1" w:rsidR="000A2157" w:rsidRPr="004848F7" w:rsidRDefault="000A2157" w:rsidP="00703603">
            <w:pPr>
              <w:rPr>
                <w:szCs w:val="24"/>
                <w:lang w:eastAsia="zh-CN"/>
              </w:rPr>
            </w:pPr>
            <w:r w:rsidRPr="004848F7">
              <w:rPr>
                <w:color w:val="000000"/>
                <w:szCs w:val="24"/>
                <w:lang w:eastAsia="zh-CN"/>
              </w:rPr>
              <w:t>12.9</w:t>
            </w:r>
            <w:r w:rsidRPr="004848F7">
              <w:rPr>
                <w:color w:val="000000"/>
                <w:szCs w:val="24"/>
                <w:lang w:eastAsia="zh-CN"/>
              </w:rPr>
              <w:tab/>
              <w:t>Fomento d</w:t>
            </w:r>
            <w:r w:rsidRPr="004848F7">
              <w:rPr>
                <w:szCs w:val="24"/>
                <w:lang w:eastAsia="zh-CN"/>
              </w:rPr>
              <w:t xml:space="preserve">el equilibrio de </w:t>
            </w:r>
            <w:r w:rsidRPr="004848F7">
              <w:rPr>
                <w:color w:val="000000"/>
                <w:szCs w:val="24"/>
                <w:lang w:eastAsia="zh-CN"/>
              </w:rPr>
              <w:t xml:space="preserve">género </w:t>
            </w:r>
            <w:r w:rsidRPr="004848F7">
              <w:rPr>
                <w:szCs w:val="24"/>
                <w:lang w:eastAsia="zh-CN"/>
              </w:rPr>
              <w:t xml:space="preserve">en los comités reglamentarios de la UIT </w:t>
            </w:r>
            <w:r w:rsidRPr="004848F7">
              <w:rPr>
                <w:color w:val="000000"/>
                <w:szCs w:val="24"/>
                <w:lang w:eastAsia="zh-CN"/>
              </w:rPr>
              <w:t>(Res. 70)</w:t>
            </w:r>
          </w:p>
        </w:tc>
        <w:tc>
          <w:tcPr>
            <w:tcW w:w="1559" w:type="dxa"/>
          </w:tcPr>
          <w:p w14:paraId="4CA673D6" w14:textId="578B43FA" w:rsidR="000A2157" w:rsidRPr="004848F7" w:rsidRDefault="000A2157" w:rsidP="00703603">
            <w:pPr>
              <w:jc w:val="center"/>
              <w:rPr>
                <w:szCs w:val="24"/>
              </w:rPr>
            </w:pPr>
            <w:r w:rsidRPr="004848F7">
              <w:rPr>
                <w:szCs w:val="24"/>
              </w:rPr>
              <w:t>OE/HRMD</w:t>
            </w:r>
          </w:p>
        </w:tc>
        <w:tc>
          <w:tcPr>
            <w:tcW w:w="1406" w:type="dxa"/>
          </w:tcPr>
          <w:p w14:paraId="28B6C790" w14:textId="5F1DFC75" w:rsidR="000A2157" w:rsidRPr="004848F7" w:rsidRDefault="000A2157" w:rsidP="00703603">
            <w:pPr>
              <w:jc w:val="right"/>
              <w:rPr>
                <w:szCs w:val="24"/>
              </w:rPr>
            </w:pPr>
            <w:r w:rsidRPr="004848F7">
              <w:rPr>
                <w:szCs w:val="24"/>
              </w:rPr>
              <w:t>En curso</w:t>
            </w:r>
          </w:p>
        </w:tc>
      </w:tr>
    </w:tbl>
    <w:p w14:paraId="2C044C7A" w14:textId="17713BD2" w:rsidR="00EE76D1" w:rsidRPr="004848F7" w:rsidRDefault="007B6C54" w:rsidP="007B6C54">
      <w:pPr>
        <w:pStyle w:val="Heading1"/>
        <w:rPr>
          <w:rFonts w:eastAsia="SimSun"/>
          <w:lang w:eastAsia="zh-CN"/>
        </w:rPr>
      </w:pPr>
      <w:r w:rsidRPr="004848F7">
        <w:rPr>
          <w:lang w:eastAsia="zh-CN"/>
        </w:rPr>
        <w:t>13</w:t>
      </w:r>
      <w:r w:rsidRPr="004848F7">
        <w:rPr>
          <w:lang w:eastAsia="zh-CN"/>
        </w:rPr>
        <w:tab/>
      </w:r>
      <w:r w:rsidR="00EE76D1" w:rsidRPr="004848F7">
        <w:rPr>
          <w:lang w:eastAsia="zh-CN"/>
        </w:rPr>
        <w:t xml:space="preserve">Cultura institucional </w:t>
      </w:r>
      <w:r w:rsidR="00787E76" w:rsidRPr="004848F7">
        <w:rPr>
          <w:color w:val="FF0000"/>
          <w:lang w:eastAsia="zh-CN"/>
        </w:rPr>
        <w:t>[</w:t>
      </w:r>
      <w:r w:rsidR="00EE76D1" w:rsidRPr="004848F7">
        <w:rPr>
          <w:color w:val="FF0000"/>
          <w:lang w:eastAsia="zh-CN"/>
        </w:rPr>
        <w:t>INDICADOR PRIORITARIO</w:t>
      </w:r>
      <w:r w:rsidR="00787E76" w:rsidRPr="004848F7">
        <w:rPr>
          <w:color w:val="FF0000"/>
          <w:lang w:eastAsia="zh-CN"/>
        </w:rPr>
        <w:t>]</w:t>
      </w:r>
      <w:r w:rsidR="00B87D2F" w:rsidRPr="004848F7">
        <w:rPr>
          <w:rFonts w:ascii="Times New Roman" w:eastAsia="SimSun" w:hAnsi="Times New Roman"/>
          <w:lang w:eastAsia="zh-CN"/>
        </w:rPr>
        <w:br/>
      </w:r>
      <w:r w:rsidR="00EE76D1" w:rsidRPr="004848F7">
        <w:rPr>
          <w:rFonts w:eastAsia="SimSun"/>
          <w:lang w:eastAsia="zh-CN"/>
        </w:rPr>
        <w:t>Situación del SWAP en 2023: cumplimiento casi íntegro de requisitos</w:t>
      </w:r>
    </w:p>
    <w:p w14:paraId="3BF6AC2D" w14:textId="7E0D1E6B" w:rsidR="00EE76D1" w:rsidRPr="004848F7" w:rsidRDefault="00EE76D1" w:rsidP="007B6C54">
      <w:r w:rsidRPr="004848F7">
        <w:t xml:space="preserve">Para cumplir este </w:t>
      </w:r>
      <w:hyperlink r:id="rId92" w:history="1">
        <w:r w:rsidRPr="004848F7">
          <w:rPr>
            <w:rStyle w:val="Hyperlink"/>
          </w:rPr>
          <w:t>indicador de rendimiento ONU-SWAP</w:t>
        </w:r>
      </w:hyperlink>
      <w:r w:rsidRPr="004848F7">
        <w:t xml:space="preserve">, la UIT debe demostrar que su cultura institucional fomenta plenamente la promoción de la igualdad de género y el empoderamiento de la mujer. Ello conlleva: 1) la aplicación de normas y reglamentos de las Naciones Unidas relacionados con la ética, con formación obligatoria sobre ética y tolerancia cero en los casos de comportamiento no ético; 2) la implantación de políticas para la prevención de la discriminación y del acoso, incluidas medidas específicas para evitar la explotación y el abuso sexuales, el establecimiento de una oficina de ética, la aplicación de medidas frente al abuso de autoridad, la administración de justicia, la resolución de controversias y la protección contra las represalias; 3) la aplicación, promoción y notificación de políticas que faciliten los permisos parentales, de adopción, familiares y de casos de emergencia, la lactancia materna y el cuidado de los hijos; 4) la implantación, promoción y </w:t>
      </w:r>
      <w:r w:rsidRPr="004848F7">
        <w:lastRenderedPageBreak/>
        <w:t>evaluación de políticas relacionadas con la compaginación de la vida laboral y la familiar, incluido el trabajo a tiempo parcial, los horarios de trabajo escalonados, el teletrabajo, los per</w:t>
      </w:r>
      <w:r w:rsidR="00787E76" w:rsidRPr="004848F7">
        <w:t>i</w:t>
      </w:r>
      <w:r w:rsidRPr="004848F7">
        <w:t xml:space="preserve">odos programados para actividades de aprendizaje prolongadas, horarios de trabajo concentrados, apoyo financiero a los padres que viajan con hijos y jubilación escalonada; 5) promoción de las normas y los reglamentos en vigor en la ONU sobre conciliación de la vida laboral y familiar mediante un mecanismo interno disponible para realizar un seguimiento de su aplicación y accesibilidad por género y grado; 6) programación de reuniones periódicas del personal por dependencia durante las horas de trabajo principales y en días laborables del personal que trabaja a tiempo parcial, al tiempo que se promocionan activamente las reuniones por teleconferencia u otros medios informáticos; 7) realización de encuestas globales periódicas y entrevistas de fin de servicio obligatorias, y difusión de los resultados e información al respecto, para obtener y analizar datos pertinentes en el marco de evaluaciones de los aspectos cualitativos de la cultura institucional y analizar las cuestiones que repercuten en la contratación, la retención y la experiencia del personal; </w:t>
      </w:r>
      <w:r w:rsidR="000703C0" w:rsidRPr="004848F7">
        <w:t>8</w:t>
      </w:r>
      <w:r w:rsidRPr="004848F7">
        <w:t>) demostración del cumplimiento de todas las políticas contra el acoso sexual específicas y de todo el sistema. Para superar los requisitos, la UIT debe llevar a cabo una auditoría participativa de la OIT sobre aspectos de género.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1553"/>
        <w:gridCol w:w="1655"/>
      </w:tblGrid>
      <w:tr w:rsidR="007B6C54" w:rsidRPr="004848F7" w14:paraId="7AC86368" w14:textId="77777777" w:rsidTr="007B6C54">
        <w:tc>
          <w:tcPr>
            <w:tcW w:w="5863" w:type="dxa"/>
          </w:tcPr>
          <w:p w14:paraId="55FA99F2" w14:textId="77777777" w:rsidR="007B6C54" w:rsidRPr="004848F7" w:rsidRDefault="007B6C54" w:rsidP="00703603">
            <w:pPr>
              <w:rPr>
                <w:u w:val="single"/>
              </w:rPr>
            </w:pPr>
            <w:r w:rsidRPr="004848F7">
              <w:rPr>
                <w:u w:val="single"/>
              </w:rPr>
              <w:t>Productos</w:t>
            </w:r>
          </w:p>
        </w:tc>
        <w:tc>
          <w:tcPr>
            <w:tcW w:w="1553" w:type="dxa"/>
          </w:tcPr>
          <w:p w14:paraId="09F0B2C2" w14:textId="77777777" w:rsidR="007B6C54" w:rsidRPr="004848F7" w:rsidRDefault="007B6C54" w:rsidP="00703603">
            <w:pPr>
              <w:jc w:val="center"/>
              <w:rPr>
                <w:u w:val="single"/>
              </w:rPr>
            </w:pPr>
            <w:r w:rsidRPr="004848F7">
              <w:rPr>
                <w:u w:val="single"/>
              </w:rPr>
              <w:t>Responsable</w:t>
            </w:r>
          </w:p>
        </w:tc>
        <w:tc>
          <w:tcPr>
            <w:tcW w:w="1655" w:type="dxa"/>
          </w:tcPr>
          <w:p w14:paraId="720667C8" w14:textId="77777777" w:rsidR="007B6C54" w:rsidRPr="004848F7" w:rsidRDefault="007B6C54" w:rsidP="00703603">
            <w:pPr>
              <w:jc w:val="right"/>
              <w:rPr>
                <w:u w:val="single"/>
              </w:rPr>
            </w:pPr>
            <w:r w:rsidRPr="004848F7">
              <w:rPr>
                <w:u w:val="single"/>
              </w:rPr>
              <w:t>Plazo</w:t>
            </w:r>
          </w:p>
        </w:tc>
      </w:tr>
      <w:tr w:rsidR="007B6C54" w:rsidRPr="004848F7" w14:paraId="516BE70E" w14:textId="77777777" w:rsidTr="007B6C54">
        <w:tc>
          <w:tcPr>
            <w:tcW w:w="5863" w:type="dxa"/>
          </w:tcPr>
          <w:p w14:paraId="749A8171" w14:textId="45B82619" w:rsidR="007B6C54" w:rsidRPr="004848F7" w:rsidRDefault="007B6C54" w:rsidP="00703603">
            <w:pPr>
              <w:rPr>
                <w:szCs w:val="24"/>
              </w:rPr>
            </w:pPr>
            <w:r w:rsidRPr="004848F7">
              <w:rPr>
                <w:szCs w:val="24"/>
                <w:lang w:eastAsia="zh-CN"/>
              </w:rPr>
              <w:t>13.1</w:t>
            </w:r>
            <w:r w:rsidRPr="004848F7">
              <w:rPr>
                <w:szCs w:val="24"/>
                <w:lang w:eastAsia="zh-CN"/>
              </w:rPr>
              <w:tab/>
            </w:r>
            <w:r w:rsidRPr="004848F7">
              <w:rPr>
                <w:rFonts w:eastAsia="SimSun" w:cs="Arial"/>
                <w:color w:val="000000"/>
                <w:szCs w:val="24"/>
                <w:lang w:eastAsia="zh-CN"/>
              </w:rPr>
              <w:t>Supervisión del cumplimiento y de las actividades de formación obligatorias relacionadas con la ética</w:t>
            </w:r>
          </w:p>
        </w:tc>
        <w:tc>
          <w:tcPr>
            <w:tcW w:w="1553" w:type="dxa"/>
          </w:tcPr>
          <w:p w14:paraId="6664C535" w14:textId="524389AF" w:rsidR="007B6C54" w:rsidRPr="004848F7" w:rsidRDefault="007B6C54" w:rsidP="00703603">
            <w:pPr>
              <w:jc w:val="center"/>
              <w:rPr>
                <w:szCs w:val="24"/>
              </w:rPr>
            </w:pPr>
            <w:r w:rsidRPr="004848F7">
              <w:rPr>
                <w:szCs w:val="24"/>
              </w:rPr>
              <w:t>ÉTICA</w:t>
            </w:r>
          </w:p>
        </w:tc>
        <w:tc>
          <w:tcPr>
            <w:tcW w:w="1655" w:type="dxa"/>
          </w:tcPr>
          <w:p w14:paraId="42EE7784" w14:textId="349562D4" w:rsidR="007B6C54" w:rsidRPr="004848F7" w:rsidRDefault="007B6C54" w:rsidP="00703603">
            <w:pPr>
              <w:jc w:val="right"/>
              <w:rPr>
                <w:szCs w:val="24"/>
              </w:rPr>
            </w:pPr>
            <w:r w:rsidRPr="004848F7">
              <w:rPr>
                <w:szCs w:val="24"/>
              </w:rPr>
              <w:t>Por determinar</w:t>
            </w:r>
          </w:p>
        </w:tc>
      </w:tr>
      <w:tr w:rsidR="007B6C54" w:rsidRPr="004848F7" w14:paraId="122C7EFC" w14:textId="77777777" w:rsidTr="007B6C54">
        <w:tc>
          <w:tcPr>
            <w:tcW w:w="5863" w:type="dxa"/>
          </w:tcPr>
          <w:p w14:paraId="338BF7B4" w14:textId="72B8D71A" w:rsidR="007B6C54" w:rsidRPr="004848F7" w:rsidRDefault="007B6C54" w:rsidP="00703603">
            <w:pPr>
              <w:rPr>
                <w:szCs w:val="24"/>
              </w:rPr>
            </w:pPr>
            <w:r w:rsidRPr="004848F7">
              <w:rPr>
                <w:szCs w:val="24"/>
                <w:lang w:eastAsia="zh-CN"/>
              </w:rPr>
              <w:t>13.2</w:t>
            </w:r>
            <w:r w:rsidRPr="004848F7">
              <w:rPr>
                <w:szCs w:val="24"/>
                <w:lang w:eastAsia="zh-CN"/>
              </w:rPr>
              <w:tab/>
              <w:t>Participación en el grupo especial de la JJE sobre acoso sexual</w:t>
            </w:r>
          </w:p>
        </w:tc>
        <w:tc>
          <w:tcPr>
            <w:tcW w:w="1553" w:type="dxa"/>
          </w:tcPr>
          <w:p w14:paraId="1BAA7249" w14:textId="0AE089E8" w:rsidR="007B6C54" w:rsidRPr="004848F7" w:rsidRDefault="007B6C54" w:rsidP="00703603">
            <w:pPr>
              <w:jc w:val="center"/>
              <w:rPr>
                <w:szCs w:val="24"/>
              </w:rPr>
            </w:pPr>
            <w:r w:rsidRPr="004848F7">
              <w:rPr>
                <w:szCs w:val="24"/>
              </w:rPr>
              <w:t>DGS/HRMD</w:t>
            </w:r>
          </w:p>
        </w:tc>
        <w:tc>
          <w:tcPr>
            <w:tcW w:w="1655" w:type="dxa"/>
          </w:tcPr>
          <w:p w14:paraId="74EF0F57" w14:textId="6D3F363A" w:rsidR="007B6C54" w:rsidRPr="004848F7" w:rsidRDefault="007B6C54" w:rsidP="00703603">
            <w:pPr>
              <w:jc w:val="right"/>
              <w:rPr>
                <w:szCs w:val="24"/>
              </w:rPr>
            </w:pPr>
            <w:r w:rsidRPr="004848F7">
              <w:rPr>
                <w:szCs w:val="24"/>
              </w:rPr>
              <w:t>En curso</w:t>
            </w:r>
          </w:p>
        </w:tc>
      </w:tr>
      <w:tr w:rsidR="007B6C54" w:rsidRPr="004848F7" w14:paraId="0675E266" w14:textId="77777777" w:rsidTr="007B6C54">
        <w:tc>
          <w:tcPr>
            <w:tcW w:w="5863" w:type="dxa"/>
          </w:tcPr>
          <w:p w14:paraId="50103F1F" w14:textId="6E97B33B" w:rsidR="007B6C54" w:rsidRPr="004848F7" w:rsidRDefault="007B6C54" w:rsidP="00703603">
            <w:pPr>
              <w:rPr>
                <w:szCs w:val="24"/>
              </w:rPr>
            </w:pPr>
            <w:r w:rsidRPr="004848F7">
              <w:rPr>
                <w:szCs w:val="24"/>
                <w:lang w:eastAsia="zh-CN"/>
              </w:rPr>
              <w:t>13.3</w:t>
            </w:r>
            <w:r w:rsidRPr="004848F7">
              <w:rPr>
                <w:szCs w:val="24"/>
                <w:lang w:eastAsia="zh-CN"/>
              </w:rPr>
              <w:tab/>
            </w:r>
            <w:r w:rsidRPr="004848F7">
              <w:rPr>
                <w:color w:val="000000"/>
                <w:szCs w:val="24"/>
                <w:lang w:eastAsia="zh-CN"/>
              </w:rPr>
              <w:t>Establecimiento de una encuesta de fin de servicio como mecanismo de control interno</w:t>
            </w:r>
          </w:p>
        </w:tc>
        <w:tc>
          <w:tcPr>
            <w:tcW w:w="1553" w:type="dxa"/>
          </w:tcPr>
          <w:p w14:paraId="1A525D3C" w14:textId="77777777" w:rsidR="007B6C54" w:rsidRPr="004848F7" w:rsidRDefault="007B6C54" w:rsidP="00703603">
            <w:pPr>
              <w:jc w:val="center"/>
              <w:rPr>
                <w:szCs w:val="24"/>
              </w:rPr>
            </w:pPr>
            <w:r w:rsidRPr="004848F7">
              <w:rPr>
                <w:szCs w:val="24"/>
              </w:rPr>
              <w:t>HRMD</w:t>
            </w:r>
          </w:p>
        </w:tc>
        <w:tc>
          <w:tcPr>
            <w:tcW w:w="1655" w:type="dxa"/>
          </w:tcPr>
          <w:p w14:paraId="64CF7985" w14:textId="2DC951C4" w:rsidR="007B6C54" w:rsidRPr="004848F7" w:rsidRDefault="007B6C54" w:rsidP="00703603">
            <w:pPr>
              <w:jc w:val="right"/>
              <w:rPr>
                <w:szCs w:val="24"/>
              </w:rPr>
            </w:pPr>
            <w:r w:rsidRPr="004848F7">
              <w:rPr>
                <w:szCs w:val="24"/>
              </w:rPr>
              <w:t>Implementado</w:t>
            </w:r>
          </w:p>
        </w:tc>
      </w:tr>
      <w:tr w:rsidR="007B6C54" w:rsidRPr="004848F7" w14:paraId="1CD6B27D" w14:textId="77777777" w:rsidTr="007B6C54">
        <w:tc>
          <w:tcPr>
            <w:tcW w:w="5863" w:type="dxa"/>
          </w:tcPr>
          <w:p w14:paraId="737B18ED" w14:textId="6430FC19" w:rsidR="007B6C54" w:rsidRPr="004848F7" w:rsidRDefault="007B6C54" w:rsidP="00703603">
            <w:pPr>
              <w:rPr>
                <w:szCs w:val="24"/>
                <w:lang w:eastAsia="zh-CN"/>
              </w:rPr>
            </w:pPr>
            <w:r w:rsidRPr="004848F7">
              <w:rPr>
                <w:szCs w:val="24"/>
                <w:lang w:eastAsia="zh-CN"/>
              </w:rPr>
              <w:t>13.4</w:t>
            </w:r>
            <w:r w:rsidRPr="004848F7">
              <w:rPr>
                <w:szCs w:val="24"/>
                <w:lang w:eastAsia="zh-CN"/>
              </w:rPr>
              <w:tab/>
            </w:r>
            <w:r w:rsidRPr="004848F7">
              <w:rPr>
                <w:color w:val="000000"/>
                <w:szCs w:val="24"/>
                <w:lang w:eastAsia="zh-CN"/>
              </w:rPr>
              <w:t>Establecimiento de una encuesta para todo el personal</w:t>
            </w:r>
          </w:p>
        </w:tc>
        <w:tc>
          <w:tcPr>
            <w:tcW w:w="1553" w:type="dxa"/>
          </w:tcPr>
          <w:p w14:paraId="54782CF0" w14:textId="033FF5CE" w:rsidR="007B6C54" w:rsidRPr="004848F7" w:rsidRDefault="007B6C54" w:rsidP="00703603">
            <w:pPr>
              <w:jc w:val="center"/>
              <w:rPr>
                <w:szCs w:val="24"/>
              </w:rPr>
            </w:pPr>
            <w:r w:rsidRPr="004848F7">
              <w:rPr>
                <w:szCs w:val="24"/>
              </w:rPr>
              <w:t>HRMD</w:t>
            </w:r>
          </w:p>
        </w:tc>
        <w:tc>
          <w:tcPr>
            <w:tcW w:w="1655" w:type="dxa"/>
          </w:tcPr>
          <w:p w14:paraId="2160E24F" w14:textId="3031C81D" w:rsidR="007B6C54" w:rsidRPr="004848F7" w:rsidRDefault="007B6C54" w:rsidP="00703603">
            <w:pPr>
              <w:jc w:val="right"/>
              <w:rPr>
                <w:szCs w:val="24"/>
              </w:rPr>
            </w:pPr>
            <w:r w:rsidRPr="004848F7">
              <w:rPr>
                <w:szCs w:val="24"/>
              </w:rPr>
              <w:t>2024</w:t>
            </w:r>
          </w:p>
        </w:tc>
      </w:tr>
      <w:tr w:rsidR="007B6C54" w:rsidRPr="004848F7" w14:paraId="4DBF21EA" w14:textId="77777777" w:rsidTr="007B6C54">
        <w:tc>
          <w:tcPr>
            <w:tcW w:w="5863" w:type="dxa"/>
          </w:tcPr>
          <w:p w14:paraId="738A2B51" w14:textId="7BAD434E" w:rsidR="007B6C54" w:rsidRPr="004848F7" w:rsidRDefault="007B6C54" w:rsidP="00703603">
            <w:pPr>
              <w:rPr>
                <w:szCs w:val="24"/>
                <w:lang w:eastAsia="zh-CN"/>
              </w:rPr>
            </w:pPr>
            <w:r w:rsidRPr="004848F7">
              <w:rPr>
                <w:color w:val="000000"/>
                <w:szCs w:val="24"/>
                <w:lang w:eastAsia="zh-CN"/>
              </w:rPr>
              <w:t>13.5</w:t>
            </w:r>
            <w:r w:rsidRPr="004848F7">
              <w:rPr>
                <w:color w:val="000000"/>
                <w:szCs w:val="24"/>
                <w:lang w:eastAsia="zh-CN"/>
              </w:rPr>
              <w:tab/>
              <w:t>Revisión de los aspectos de género en documentos y procesos de contratación</w:t>
            </w:r>
          </w:p>
        </w:tc>
        <w:tc>
          <w:tcPr>
            <w:tcW w:w="1553" w:type="dxa"/>
          </w:tcPr>
          <w:p w14:paraId="16ACAE53" w14:textId="0F97DADE" w:rsidR="007B6C54" w:rsidRPr="004848F7" w:rsidRDefault="007B6C54" w:rsidP="00703603">
            <w:pPr>
              <w:jc w:val="center"/>
              <w:rPr>
                <w:szCs w:val="24"/>
              </w:rPr>
            </w:pPr>
            <w:r w:rsidRPr="004848F7">
              <w:rPr>
                <w:szCs w:val="24"/>
              </w:rPr>
              <w:t>PROC</w:t>
            </w:r>
          </w:p>
        </w:tc>
        <w:tc>
          <w:tcPr>
            <w:tcW w:w="1655" w:type="dxa"/>
          </w:tcPr>
          <w:p w14:paraId="79A86F34" w14:textId="5D21B111" w:rsidR="007B6C54" w:rsidRPr="004848F7" w:rsidRDefault="007B6C54" w:rsidP="00703603">
            <w:pPr>
              <w:jc w:val="right"/>
              <w:rPr>
                <w:szCs w:val="24"/>
              </w:rPr>
            </w:pPr>
            <w:r w:rsidRPr="004848F7">
              <w:rPr>
                <w:szCs w:val="24"/>
              </w:rPr>
              <w:t>2024-25</w:t>
            </w:r>
          </w:p>
        </w:tc>
      </w:tr>
      <w:tr w:rsidR="007B6C54" w:rsidRPr="004848F7" w14:paraId="661B1084" w14:textId="77777777" w:rsidTr="007B6C54">
        <w:tc>
          <w:tcPr>
            <w:tcW w:w="5863" w:type="dxa"/>
          </w:tcPr>
          <w:p w14:paraId="3884E9F2" w14:textId="5C368FCB" w:rsidR="007B6C54" w:rsidRPr="004848F7" w:rsidRDefault="007B6C54" w:rsidP="00703603">
            <w:pPr>
              <w:rPr>
                <w:szCs w:val="24"/>
                <w:lang w:eastAsia="zh-CN"/>
              </w:rPr>
            </w:pPr>
            <w:r w:rsidRPr="004848F7">
              <w:rPr>
                <w:color w:val="000000"/>
                <w:szCs w:val="24"/>
                <w:lang w:eastAsia="zh-CN"/>
              </w:rPr>
              <w:t>13.6</w:t>
            </w:r>
            <w:r w:rsidRPr="004848F7">
              <w:rPr>
                <w:color w:val="000000"/>
                <w:szCs w:val="24"/>
                <w:lang w:eastAsia="zh-CN"/>
              </w:rPr>
              <w:tab/>
            </w:r>
            <w:r w:rsidRPr="004848F7">
              <w:rPr>
                <w:rFonts w:eastAsia="SimSun" w:cs="Arial"/>
                <w:color w:val="000000"/>
                <w:szCs w:val="24"/>
                <w:lang w:eastAsia="zh-CN"/>
              </w:rPr>
              <w:t>Presentación de informes y actividades de supervisión sobre prevención de casos de explotación y abuso sexuales (PSEA)</w:t>
            </w:r>
          </w:p>
        </w:tc>
        <w:tc>
          <w:tcPr>
            <w:tcW w:w="1553" w:type="dxa"/>
          </w:tcPr>
          <w:p w14:paraId="5E0FBDE2" w14:textId="206D0784" w:rsidR="007B6C54" w:rsidRPr="004848F7" w:rsidRDefault="007B6C54" w:rsidP="00703603">
            <w:pPr>
              <w:jc w:val="center"/>
              <w:rPr>
                <w:szCs w:val="24"/>
              </w:rPr>
            </w:pPr>
            <w:r w:rsidRPr="004848F7">
              <w:rPr>
                <w:szCs w:val="24"/>
              </w:rPr>
              <w:t>ÉTICA</w:t>
            </w:r>
          </w:p>
        </w:tc>
        <w:tc>
          <w:tcPr>
            <w:tcW w:w="1655" w:type="dxa"/>
          </w:tcPr>
          <w:p w14:paraId="1CF46032" w14:textId="4D1601D0" w:rsidR="007B6C54" w:rsidRPr="004848F7" w:rsidRDefault="007B6C54" w:rsidP="00703603">
            <w:pPr>
              <w:jc w:val="right"/>
              <w:rPr>
                <w:szCs w:val="24"/>
              </w:rPr>
            </w:pPr>
            <w:r w:rsidRPr="004848F7">
              <w:rPr>
                <w:szCs w:val="24"/>
              </w:rPr>
              <w:t>Por determinar</w:t>
            </w:r>
          </w:p>
        </w:tc>
      </w:tr>
      <w:tr w:rsidR="007B6C54" w:rsidRPr="004848F7" w14:paraId="639A130D" w14:textId="77777777" w:rsidTr="007B6C54">
        <w:tc>
          <w:tcPr>
            <w:tcW w:w="5863" w:type="dxa"/>
          </w:tcPr>
          <w:p w14:paraId="37557431" w14:textId="0FEA9457" w:rsidR="007B6C54" w:rsidRPr="004848F7" w:rsidRDefault="007B6C54" w:rsidP="00703603">
            <w:pPr>
              <w:rPr>
                <w:szCs w:val="24"/>
                <w:lang w:eastAsia="zh-CN"/>
              </w:rPr>
            </w:pPr>
            <w:r w:rsidRPr="004848F7">
              <w:rPr>
                <w:rFonts w:eastAsia="SimSun" w:cs="Arial"/>
                <w:szCs w:val="24"/>
                <w:lang w:eastAsia="zh-CN"/>
              </w:rPr>
              <w:t>13.7</w:t>
            </w:r>
            <w:r w:rsidRPr="004848F7">
              <w:rPr>
                <w:rFonts w:eastAsia="SimSun" w:cs="Arial"/>
                <w:szCs w:val="24"/>
                <w:lang w:eastAsia="zh-CN"/>
              </w:rPr>
              <w:tab/>
            </w:r>
            <w:r w:rsidRPr="004848F7">
              <w:rPr>
                <w:rFonts w:eastAsia="SimSun" w:cs="Arial"/>
                <w:color w:val="000000"/>
                <w:szCs w:val="24"/>
                <w:lang w:eastAsia="zh-CN"/>
              </w:rPr>
              <w:t>Realización de una auditoría participativa de la OIT sobre aspectos de género (OIT)</w:t>
            </w:r>
          </w:p>
        </w:tc>
        <w:tc>
          <w:tcPr>
            <w:tcW w:w="1553" w:type="dxa"/>
          </w:tcPr>
          <w:p w14:paraId="64574647" w14:textId="60506E63" w:rsidR="007B6C54" w:rsidRPr="004848F7" w:rsidRDefault="007B6C54" w:rsidP="00703603">
            <w:pPr>
              <w:jc w:val="center"/>
              <w:rPr>
                <w:szCs w:val="24"/>
              </w:rPr>
            </w:pPr>
          </w:p>
        </w:tc>
        <w:tc>
          <w:tcPr>
            <w:tcW w:w="1655" w:type="dxa"/>
          </w:tcPr>
          <w:p w14:paraId="033000C4" w14:textId="62A8EA41" w:rsidR="007B6C54" w:rsidRPr="004848F7" w:rsidRDefault="007B6C54" w:rsidP="00703603">
            <w:pPr>
              <w:jc w:val="right"/>
              <w:rPr>
                <w:szCs w:val="24"/>
              </w:rPr>
            </w:pPr>
            <w:r w:rsidRPr="004848F7">
              <w:rPr>
                <w:szCs w:val="24"/>
              </w:rPr>
              <w:t>Por determinar</w:t>
            </w:r>
          </w:p>
        </w:tc>
      </w:tr>
      <w:tr w:rsidR="007B6C54" w:rsidRPr="004848F7" w14:paraId="4AF6C208" w14:textId="77777777" w:rsidTr="007B6C54">
        <w:tc>
          <w:tcPr>
            <w:tcW w:w="5863" w:type="dxa"/>
          </w:tcPr>
          <w:p w14:paraId="28D9CE3D" w14:textId="17EE6769" w:rsidR="007B6C54" w:rsidRPr="004848F7" w:rsidRDefault="007B6C54" w:rsidP="00703603">
            <w:pPr>
              <w:rPr>
                <w:szCs w:val="24"/>
                <w:lang w:eastAsia="zh-CN"/>
              </w:rPr>
            </w:pPr>
            <w:r w:rsidRPr="004848F7">
              <w:rPr>
                <w:szCs w:val="24"/>
                <w:lang w:eastAsia="zh-CN"/>
              </w:rPr>
              <w:t>13.8</w:t>
            </w:r>
            <w:r w:rsidRPr="004848F7">
              <w:rPr>
                <w:szCs w:val="24"/>
                <w:lang w:eastAsia="zh-CN"/>
              </w:rPr>
              <w:tab/>
            </w:r>
            <w:r w:rsidRPr="004848F7">
              <w:rPr>
                <w:rFonts w:eastAsia="SimSun" w:cs="Arial"/>
                <w:color w:val="000000"/>
                <w:szCs w:val="24"/>
                <w:lang w:eastAsia="zh-CN"/>
              </w:rPr>
              <w:t xml:space="preserve">Revisión y actualización de políticas habilitadoras con arreglo a </w:t>
            </w:r>
            <w:hyperlink r:id="rId93" w:history="1">
              <w:r w:rsidRPr="004848F7">
                <w:rPr>
                  <w:rFonts w:eastAsia="SimSun" w:cs="Arial"/>
                  <w:color w:val="0563C1"/>
                  <w:szCs w:val="24"/>
                  <w:u w:val="single"/>
                  <w:lang w:eastAsia="zh-CN"/>
                </w:rPr>
                <w:t>las Directrices de la ONU sobre un entorno propicio</w:t>
              </w:r>
            </w:hyperlink>
          </w:p>
        </w:tc>
        <w:tc>
          <w:tcPr>
            <w:tcW w:w="1553" w:type="dxa"/>
          </w:tcPr>
          <w:p w14:paraId="46C9D5F2" w14:textId="77777777" w:rsidR="007B6C54" w:rsidRPr="004848F7" w:rsidRDefault="007B6C54" w:rsidP="00703603">
            <w:pPr>
              <w:jc w:val="center"/>
              <w:rPr>
                <w:szCs w:val="24"/>
              </w:rPr>
            </w:pPr>
          </w:p>
        </w:tc>
        <w:tc>
          <w:tcPr>
            <w:tcW w:w="1655" w:type="dxa"/>
          </w:tcPr>
          <w:p w14:paraId="4821924F" w14:textId="320264A3" w:rsidR="007B6C54" w:rsidRPr="004848F7" w:rsidRDefault="007B6C54" w:rsidP="00703603">
            <w:pPr>
              <w:jc w:val="right"/>
              <w:rPr>
                <w:szCs w:val="24"/>
              </w:rPr>
            </w:pPr>
          </w:p>
        </w:tc>
      </w:tr>
    </w:tbl>
    <w:p w14:paraId="6CD33791" w14:textId="461E7223" w:rsidR="00EE76D1" w:rsidRPr="004848F7" w:rsidRDefault="00DA083C" w:rsidP="00DA083C">
      <w:pPr>
        <w:pStyle w:val="Heading1"/>
        <w:rPr>
          <w:rFonts w:eastAsia="SimSun"/>
          <w:color w:val="000000"/>
          <w:lang w:eastAsia="zh-CN"/>
        </w:rPr>
      </w:pPr>
      <w:r w:rsidRPr="004848F7">
        <w:rPr>
          <w:color w:val="000000"/>
          <w:lang w:eastAsia="zh-CN"/>
        </w:rPr>
        <w:t>14</w:t>
      </w:r>
      <w:r w:rsidRPr="004848F7">
        <w:rPr>
          <w:color w:val="000000"/>
          <w:lang w:eastAsia="zh-CN"/>
        </w:rPr>
        <w:tab/>
      </w:r>
      <w:r w:rsidR="00EE76D1" w:rsidRPr="004848F7">
        <w:rPr>
          <w:color w:val="000000"/>
          <w:lang w:eastAsia="zh-CN"/>
        </w:rPr>
        <w:t>Evaluación de capacidad</w:t>
      </w:r>
      <w:r w:rsidRPr="004848F7">
        <w:rPr>
          <w:color w:val="000000"/>
          <w:lang w:eastAsia="zh-CN"/>
        </w:rPr>
        <w:br/>
      </w:r>
      <w:r w:rsidR="00EE76D1" w:rsidRPr="004848F7">
        <w:rPr>
          <w:rFonts w:eastAsia="SimSun"/>
          <w:color w:val="FF0000"/>
          <w:lang w:eastAsia="zh-CN"/>
        </w:rPr>
        <w:t>Situación del SWAP en 2023: sin información</w:t>
      </w:r>
    </w:p>
    <w:p w14:paraId="7E07AF22" w14:textId="5614A234" w:rsidR="00EE76D1" w:rsidRPr="004848F7" w:rsidRDefault="00EE76D1" w:rsidP="00DA083C">
      <w:r w:rsidRPr="004848F7">
        <w:t xml:space="preserve">Para cumplir este </w:t>
      </w:r>
      <w:hyperlink r:id="rId94" w:history="1">
        <w:r w:rsidRPr="004848F7">
          <w:rPr>
            <w:rStyle w:val="Hyperlink"/>
          </w:rPr>
          <w:t>indicador de rendimiento ONU-SWAP</w:t>
        </w:r>
      </w:hyperlink>
      <w:r w:rsidRPr="004848F7">
        <w:t xml:space="preserve">, la UIT debe llevar a cabo una evaluación de capacidad de todo el personal pertinente y utilizar los resultados para establecer un plan de capacitación, con recursos y plazos específicos. Una evaluación de </w:t>
      </w:r>
      <w:r w:rsidRPr="004848F7">
        <w:lastRenderedPageBreak/>
        <w:t>capacidad cada cinco años permitirá determinar el grado de eficacia de la estrategia de capacitación.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1553"/>
        <w:gridCol w:w="1655"/>
      </w:tblGrid>
      <w:tr w:rsidR="00DA083C" w:rsidRPr="004848F7" w14:paraId="0035B6C7" w14:textId="77777777" w:rsidTr="00963071">
        <w:tc>
          <w:tcPr>
            <w:tcW w:w="6096" w:type="dxa"/>
          </w:tcPr>
          <w:p w14:paraId="35BE9037" w14:textId="77777777" w:rsidR="00DA083C" w:rsidRPr="004848F7" w:rsidRDefault="00DA083C" w:rsidP="00963071">
            <w:pPr>
              <w:rPr>
                <w:u w:val="single"/>
              </w:rPr>
            </w:pPr>
            <w:r w:rsidRPr="004848F7">
              <w:rPr>
                <w:u w:val="single"/>
              </w:rPr>
              <w:t>Productos</w:t>
            </w:r>
          </w:p>
        </w:tc>
        <w:tc>
          <w:tcPr>
            <w:tcW w:w="1559" w:type="dxa"/>
          </w:tcPr>
          <w:p w14:paraId="6AAF4C65" w14:textId="77777777" w:rsidR="00DA083C" w:rsidRPr="004848F7" w:rsidRDefault="00DA083C" w:rsidP="00963071">
            <w:pPr>
              <w:jc w:val="center"/>
              <w:rPr>
                <w:u w:val="single"/>
              </w:rPr>
            </w:pPr>
            <w:r w:rsidRPr="004848F7">
              <w:rPr>
                <w:u w:val="single"/>
              </w:rPr>
              <w:t>Responsable</w:t>
            </w:r>
          </w:p>
        </w:tc>
        <w:tc>
          <w:tcPr>
            <w:tcW w:w="1406" w:type="dxa"/>
          </w:tcPr>
          <w:p w14:paraId="6212A44B" w14:textId="77777777" w:rsidR="00DA083C" w:rsidRPr="004848F7" w:rsidRDefault="00DA083C" w:rsidP="00963071">
            <w:pPr>
              <w:jc w:val="right"/>
              <w:rPr>
                <w:u w:val="single"/>
              </w:rPr>
            </w:pPr>
            <w:r w:rsidRPr="004848F7">
              <w:rPr>
                <w:u w:val="single"/>
              </w:rPr>
              <w:t>Plazo</w:t>
            </w:r>
          </w:p>
        </w:tc>
      </w:tr>
      <w:tr w:rsidR="00DA083C" w:rsidRPr="004848F7" w14:paraId="6DE5FA64" w14:textId="77777777" w:rsidTr="00963071">
        <w:tc>
          <w:tcPr>
            <w:tcW w:w="6096" w:type="dxa"/>
          </w:tcPr>
          <w:p w14:paraId="27B1A87E" w14:textId="53364EF8" w:rsidR="00DA083C" w:rsidRPr="004848F7" w:rsidRDefault="00DA083C" w:rsidP="00963071">
            <w:r w:rsidRPr="004848F7">
              <w:rPr>
                <w:lang w:eastAsia="zh-CN"/>
              </w:rPr>
              <w:t>14.1</w:t>
            </w:r>
            <w:r w:rsidRPr="004848F7">
              <w:rPr>
                <w:lang w:eastAsia="zh-CN"/>
              </w:rPr>
              <w:tab/>
              <w:t>Realización de una evaluación de las capacidades en materia de igualdad de género</w:t>
            </w:r>
          </w:p>
        </w:tc>
        <w:tc>
          <w:tcPr>
            <w:tcW w:w="1559" w:type="dxa"/>
          </w:tcPr>
          <w:p w14:paraId="6599A617" w14:textId="05AA2E43" w:rsidR="00DA083C" w:rsidRPr="004848F7" w:rsidRDefault="00DA083C" w:rsidP="00963071">
            <w:pPr>
              <w:jc w:val="center"/>
            </w:pPr>
            <w:r w:rsidRPr="004848F7">
              <w:t>HRMD</w:t>
            </w:r>
          </w:p>
        </w:tc>
        <w:tc>
          <w:tcPr>
            <w:tcW w:w="1406" w:type="dxa"/>
          </w:tcPr>
          <w:p w14:paraId="5285B10C" w14:textId="25F4E882" w:rsidR="00DA083C" w:rsidRPr="004848F7" w:rsidRDefault="00DA083C" w:rsidP="00963071">
            <w:pPr>
              <w:jc w:val="right"/>
            </w:pPr>
            <w:r w:rsidRPr="004848F7">
              <w:t>Implementado</w:t>
            </w:r>
          </w:p>
        </w:tc>
      </w:tr>
      <w:tr w:rsidR="00DA083C" w:rsidRPr="004848F7" w14:paraId="7EA6F789" w14:textId="77777777" w:rsidTr="00963071">
        <w:tc>
          <w:tcPr>
            <w:tcW w:w="6096" w:type="dxa"/>
          </w:tcPr>
          <w:p w14:paraId="2AC3B0C9" w14:textId="7B4604FF" w:rsidR="00DA083C" w:rsidRPr="004848F7" w:rsidRDefault="00DA083C" w:rsidP="00DA083C">
            <w:r w:rsidRPr="004848F7">
              <w:rPr>
                <w:lang w:eastAsia="zh-CN"/>
              </w:rPr>
              <w:t>14.2</w:t>
            </w:r>
            <w:r w:rsidRPr="004848F7">
              <w:rPr>
                <w:lang w:eastAsia="zh-CN"/>
              </w:rPr>
              <w:tab/>
              <w:t>Análisis de resultados y elaboración de informes con recomendaciones sobre capacitación</w:t>
            </w:r>
          </w:p>
        </w:tc>
        <w:tc>
          <w:tcPr>
            <w:tcW w:w="1559" w:type="dxa"/>
          </w:tcPr>
          <w:p w14:paraId="3061DC92" w14:textId="34B7E2C9" w:rsidR="00DA083C" w:rsidRPr="004848F7" w:rsidRDefault="00DA083C" w:rsidP="00DA083C">
            <w:pPr>
              <w:jc w:val="center"/>
            </w:pPr>
            <w:r w:rsidRPr="004848F7">
              <w:t>HRMD</w:t>
            </w:r>
          </w:p>
        </w:tc>
        <w:tc>
          <w:tcPr>
            <w:tcW w:w="1406" w:type="dxa"/>
          </w:tcPr>
          <w:p w14:paraId="3557A6CE" w14:textId="2728B4EB" w:rsidR="00DA083C" w:rsidRPr="004848F7" w:rsidRDefault="00DA083C" w:rsidP="00DA083C">
            <w:pPr>
              <w:jc w:val="right"/>
            </w:pPr>
            <w:r w:rsidRPr="004848F7">
              <w:t>2024</w:t>
            </w:r>
          </w:p>
        </w:tc>
      </w:tr>
      <w:tr w:rsidR="00DA083C" w:rsidRPr="004848F7" w14:paraId="63966C8C" w14:textId="77777777" w:rsidTr="00963071">
        <w:tc>
          <w:tcPr>
            <w:tcW w:w="6096" w:type="dxa"/>
          </w:tcPr>
          <w:p w14:paraId="667346A4" w14:textId="1A8DC189" w:rsidR="00DA083C" w:rsidRPr="004848F7" w:rsidRDefault="00DA083C" w:rsidP="00DA083C">
            <w:r w:rsidRPr="004848F7">
              <w:rPr>
                <w:lang w:eastAsia="zh-CN"/>
              </w:rPr>
              <w:t>14.3</w:t>
            </w:r>
            <w:r w:rsidRPr="004848F7">
              <w:rPr>
                <w:lang w:eastAsia="zh-CN"/>
              </w:rPr>
              <w:tab/>
              <w:t>Plan de capacitación a tenor de las necesidades de personal de la UIT (actualizado cada 5 años)</w:t>
            </w:r>
          </w:p>
        </w:tc>
        <w:tc>
          <w:tcPr>
            <w:tcW w:w="1559" w:type="dxa"/>
          </w:tcPr>
          <w:p w14:paraId="6F69F5CA" w14:textId="53F51D65" w:rsidR="00DA083C" w:rsidRPr="004848F7" w:rsidRDefault="00DA083C" w:rsidP="00DA083C">
            <w:pPr>
              <w:jc w:val="center"/>
            </w:pPr>
            <w:r w:rsidRPr="004848F7">
              <w:t>HRMD</w:t>
            </w:r>
          </w:p>
        </w:tc>
        <w:tc>
          <w:tcPr>
            <w:tcW w:w="1406" w:type="dxa"/>
          </w:tcPr>
          <w:p w14:paraId="4F073C05" w14:textId="32C2AEA1" w:rsidR="00DA083C" w:rsidRPr="004848F7" w:rsidRDefault="00DA083C" w:rsidP="00DA083C">
            <w:pPr>
              <w:jc w:val="right"/>
            </w:pPr>
            <w:r w:rsidRPr="004848F7">
              <w:t>2025</w:t>
            </w:r>
          </w:p>
        </w:tc>
      </w:tr>
    </w:tbl>
    <w:p w14:paraId="11FB2799" w14:textId="2B0B97BF" w:rsidR="00EE76D1" w:rsidRPr="004848F7" w:rsidRDefault="00DA083C" w:rsidP="00DA083C">
      <w:pPr>
        <w:pStyle w:val="Heading1"/>
        <w:rPr>
          <w:rFonts w:eastAsia="SimSun"/>
          <w:lang w:eastAsia="zh-CN"/>
        </w:rPr>
      </w:pPr>
      <w:r w:rsidRPr="004848F7">
        <w:rPr>
          <w:lang w:eastAsia="zh-CN"/>
        </w:rPr>
        <w:t>15</w:t>
      </w:r>
      <w:r w:rsidRPr="004848F7">
        <w:rPr>
          <w:lang w:eastAsia="zh-CN"/>
        </w:rPr>
        <w:tab/>
      </w:r>
      <w:r w:rsidR="00EE76D1" w:rsidRPr="004848F7">
        <w:rPr>
          <w:lang w:eastAsia="zh-CN"/>
        </w:rPr>
        <w:t xml:space="preserve">Capacitación </w:t>
      </w:r>
      <w:r w:rsidR="000703C0" w:rsidRPr="004848F7">
        <w:rPr>
          <w:color w:val="FF0000"/>
          <w:lang w:eastAsia="zh-CN"/>
        </w:rPr>
        <w:t>[</w:t>
      </w:r>
      <w:r w:rsidR="00EE76D1" w:rsidRPr="004848F7">
        <w:rPr>
          <w:color w:val="FF0000"/>
          <w:lang w:eastAsia="zh-CN"/>
        </w:rPr>
        <w:t>INDICADOR PRIORITARIO</w:t>
      </w:r>
      <w:r w:rsidR="000703C0" w:rsidRPr="004848F7">
        <w:rPr>
          <w:color w:val="FF0000"/>
          <w:lang w:eastAsia="zh-CN"/>
        </w:rPr>
        <w:t>]</w:t>
      </w:r>
      <w:r w:rsidRPr="004848F7">
        <w:rPr>
          <w:rFonts w:ascii="Times New Roman" w:eastAsia="SimSun" w:hAnsi="Times New Roman"/>
          <w:lang w:eastAsia="zh-CN"/>
        </w:rPr>
        <w:br/>
      </w:r>
      <w:r w:rsidR="00EE76D1" w:rsidRPr="004848F7">
        <w:rPr>
          <w:rFonts w:eastAsia="SimSun"/>
          <w:lang w:eastAsia="zh-CN"/>
        </w:rPr>
        <w:t>Situación del SWAP en 2023: cumplimiento casi íntegro de requisitos</w:t>
      </w:r>
    </w:p>
    <w:p w14:paraId="6B2ACB58" w14:textId="43EA79BB" w:rsidR="00EE76D1" w:rsidRPr="004848F7" w:rsidRDefault="00EE76D1" w:rsidP="00DA083C">
      <w:r w:rsidRPr="004848F7">
        <w:t xml:space="preserve">Para cumplir este </w:t>
      </w:r>
      <w:hyperlink r:id="rId95" w:history="1">
        <w:r w:rsidRPr="004848F7">
          <w:rPr>
            <w:rStyle w:val="Hyperlink"/>
          </w:rPr>
          <w:t>indicador de rendimiento ONU-SWAP</w:t>
        </w:r>
      </w:hyperlink>
      <w:r w:rsidRPr="004848F7">
        <w:t>, la UIT debe realizar actividades de formación obligatoria para todos los niveles del personal en la sede, así como en las oficinas regionales y zonales. Se consideran adecuados por lo menos un día de formación para el nuevo personal durante el primer año, y en lo sucesivo como mínimo un día de formación una vez cada dos años. Los especialistas y coordinadores en cuestiones de género han de recibir formación específica, en función de las necesidades existentes, como mínimo durante dos días por año, en aspectos relativos a la igualdad de género y al empoderamiento de la mujer. La UIT deberá determinar los cursos de formación más adecuados para su personal.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DA083C" w:rsidRPr="004848F7" w14:paraId="3A12DF73" w14:textId="77777777" w:rsidTr="00963071">
        <w:tc>
          <w:tcPr>
            <w:tcW w:w="6096" w:type="dxa"/>
          </w:tcPr>
          <w:p w14:paraId="4085965A" w14:textId="77777777" w:rsidR="00DA083C" w:rsidRPr="004848F7" w:rsidRDefault="00DA083C" w:rsidP="00963071">
            <w:pPr>
              <w:rPr>
                <w:u w:val="single"/>
              </w:rPr>
            </w:pPr>
            <w:r w:rsidRPr="004848F7">
              <w:rPr>
                <w:u w:val="single"/>
              </w:rPr>
              <w:t>Productos</w:t>
            </w:r>
          </w:p>
        </w:tc>
        <w:tc>
          <w:tcPr>
            <w:tcW w:w="1559" w:type="dxa"/>
          </w:tcPr>
          <w:p w14:paraId="5FE5C6D2" w14:textId="77777777" w:rsidR="00DA083C" w:rsidRPr="004848F7" w:rsidRDefault="00DA083C" w:rsidP="00963071">
            <w:pPr>
              <w:jc w:val="center"/>
              <w:rPr>
                <w:u w:val="single"/>
              </w:rPr>
            </w:pPr>
            <w:r w:rsidRPr="004848F7">
              <w:rPr>
                <w:u w:val="single"/>
              </w:rPr>
              <w:t>Responsable</w:t>
            </w:r>
          </w:p>
        </w:tc>
        <w:tc>
          <w:tcPr>
            <w:tcW w:w="1406" w:type="dxa"/>
          </w:tcPr>
          <w:p w14:paraId="0D09551D" w14:textId="77777777" w:rsidR="00DA083C" w:rsidRPr="004848F7" w:rsidRDefault="00DA083C" w:rsidP="00963071">
            <w:pPr>
              <w:jc w:val="right"/>
              <w:rPr>
                <w:u w:val="single"/>
              </w:rPr>
            </w:pPr>
            <w:r w:rsidRPr="004848F7">
              <w:rPr>
                <w:u w:val="single"/>
              </w:rPr>
              <w:t>Plazo</w:t>
            </w:r>
          </w:p>
        </w:tc>
      </w:tr>
      <w:tr w:rsidR="00DA083C" w:rsidRPr="004848F7" w14:paraId="614BC8D2" w14:textId="77777777" w:rsidTr="00963071">
        <w:tc>
          <w:tcPr>
            <w:tcW w:w="6096" w:type="dxa"/>
          </w:tcPr>
          <w:p w14:paraId="0113152D" w14:textId="285A168F" w:rsidR="00DA083C" w:rsidRPr="004848F7" w:rsidRDefault="00DA083C" w:rsidP="00963071">
            <w:pPr>
              <w:rPr>
                <w:szCs w:val="24"/>
              </w:rPr>
            </w:pPr>
            <w:r w:rsidRPr="004848F7">
              <w:rPr>
                <w:szCs w:val="24"/>
                <w:lang w:eastAsia="zh-CN"/>
              </w:rPr>
              <w:t>15.1</w:t>
            </w:r>
            <w:r w:rsidRPr="004848F7">
              <w:rPr>
                <w:szCs w:val="24"/>
                <w:lang w:eastAsia="zh-CN"/>
              </w:rPr>
              <w:tab/>
            </w:r>
            <w:r w:rsidRPr="004848F7">
              <w:rPr>
                <w:color w:val="000000"/>
                <w:szCs w:val="24"/>
                <w:lang w:eastAsia="zh-CN"/>
              </w:rPr>
              <w:t>Actualización de la orden de servicio 18/10 sobre aprendizaje obligatorio</w:t>
            </w:r>
          </w:p>
        </w:tc>
        <w:tc>
          <w:tcPr>
            <w:tcW w:w="1559" w:type="dxa"/>
          </w:tcPr>
          <w:p w14:paraId="541FFD05" w14:textId="77777777" w:rsidR="00DA083C" w:rsidRPr="004848F7" w:rsidRDefault="00DA083C" w:rsidP="00963071">
            <w:pPr>
              <w:jc w:val="center"/>
              <w:rPr>
                <w:szCs w:val="24"/>
              </w:rPr>
            </w:pPr>
            <w:r w:rsidRPr="004848F7">
              <w:rPr>
                <w:szCs w:val="24"/>
              </w:rPr>
              <w:t>HRMD</w:t>
            </w:r>
          </w:p>
        </w:tc>
        <w:tc>
          <w:tcPr>
            <w:tcW w:w="1406" w:type="dxa"/>
          </w:tcPr>
          <w:p w14:paraId="6A3A7FF5" w14:textId="77777777" w:rsidR="00DA083C" w:rsidRPr="004848F7" w:rsidRDefault="00DA083C" w:rsidP="00963071">
            <w:pPr>
              <w:jc w:val="right"/>
              <w:rPr>
                <w:szCs w:val="24"/>
              </w:rPr>
            </w:pPr>
            <w:r w:rsidRPr="004848F7">
              <w:rPr>
                <w:szCs w:val="24"/>
              </w:rPr>
              <w:t>2024</w:t>
            </w:r>
          </w:p>
        </w:tc>
      </w:tr>
      <w:tr w:rsidR="00DA083C" w:rsidRPr="004848F7" w14:paraId="6B69995C" w14:textId="77777777" w:rsidTr="00963071">
        <w:tc>
          <w:tcPr>
            <w:tcW w:w="6096" w:type="dxa"/>
          </w:tcPr>
          <w:p w14:paraId="336412EE" w14:textId="5F3228E8" w:rsidR="00DA083C" w:rsidRPr="004848F7" w:rsidRDefault="00DA083C" w:rsidP="00963071">
            <w:pPr>
              <w:rPr>
                <w:szCs w:val="24"/>
              </w:rPr>
            </w:pPr>
            <w:r w:rsidRPr="004848F7">
              <w:rPr>
                <w:szCs w:val="24"/>
                <w:lang w:eastAsia="zh-CN"/>
              </w:rPr>
              <w:t>15.2</w:t>
            </w:r>
            <w:r w:rsidRPr="004848F7">
              <w:rPr>
                <w:szCs w:val="24"/>
                <w:lang w:eastAsia="zh-CN"/>
              </w:rPr>
              <w:tab/>
              <w:t>Supervisión y análisis del cumplimiento de las medidas sobre aprendizaje obligatorio</w:t>
            </w:r>
          </w:p>
        </w:tc>
        <w:tc>
          <w:tcPr>
            <w:tcW w:w="1559" w:type="dxa"/>
          </w:tcPr>
          <w:p w14:paraId="21370ADB" w14:textId="77777777" w:rsidR="00DA083C" w:rsidRPr="004848F7" w:rsidRDefault="00DA083C" w:rsidP="00963071">
            <w:pPr>
              <w:jc w:val="center"/>
              <w:rPr>
                <w:szCs w:val="24"/>
              </w:rPr>
            </w:pPr>
            <w:r w:rsidRPr="004848F7">
              <w:rPr>
                <w:szCs w:val="24"/>
              </w:rPr>
              <w:t>HRMD</w:t>
            </w:r>
          </w:p>
        </w:tc>
        <w:tc>
          <w:tcPr>
            <w:tcW w:w="1406" w:type="dxa"/>
          </w:tcPr>
          <w:p w14:paraId="57A83798" w14:textId="77220EC6" w:rsidR="00DA083C" w:rsidRPr="004848F7" w:rsidRDefault="00DA083C" w:rsidP="00963071">
            <w:pPr>
              <w:jc w:val="right"/>
              <w:rPr>
                <w:szCs w:val="24"/>
              </w:rPr>
            </w:pPr>
            <w:r w:rsidRPr="004848F7">
              <w:rPr>
                <w:szCs w:val="24"/>
              </w:rPr>
              <w:t>2024</w:t>
            </w:r>
          </w:p>
        </w:tc>
      </w:tr>
      <w:tr w:rsidR="00DA083C" w:rsidRPr="004848F7" w14:paraId="2EA54A71" w14:textId="77777777" w:rsidTr="00963071">
        <w:tc>
          <w:tcPr>
            <w:tcW w:w="6096" w:type="dxa"/>
          </w:tcPr>
          <w:p w14:paraId="4D2D41C7" w14:textId="1FE07D46" w:rsidR="00DA083C" w:rsidRPr="004848F7" w:rsidRDefault="00DA083C" w:rsidP="00963071">
            <w:pPr>
              <w:rPr>
                <w:szCs w:val="24"/>
              </w:rPr>
            </w:pPr>
            <w:r w:rsidRPr="004848F7">
              <w:rPr>
                <w:szCs w:val="24"/>
                <w:lang w:eastAsia="zh-CN"/>
              </w:rPr>
              <w:t>15.3</w:t>
            </w:r>
            <w:r w:rsidRPr="004848F7">
              <w:rPr>
                <w:szCs w:val="24"/>
                <w:lang w:eastAsia="zh-CN"/>
              </w:rPr>
              <w:tab/>
              <w:t>Actualización de la plataforma L&amp;D sobre formación en materia de género y cuestiones conexas para el personal</w:t>
            </w:r>
          </w:p>
        </w:tc>
        <w:tc>
          <w:tcPr>
            <w:tcW w:w="1559" w:type="dxa"/>
          </w:tcPr>
          <w:p w14:paraId="5C4143BC" w14:textId="6641C669" w:rsidR="00DA083C" w:rsidRPr="004848F7" w:rsidRDefault="00DA083C" w:rsidP="00963071">
            <w:pPr>
              <w:jc w:val="center"/>
              <w:rPr>
                <w:szCs w:val="24"/>
              </w:rPr>
            </w:pPr>
            <w:r w:rsidRPr="004848F7">
              <w:rPr>
                <w:szCs w:val="24"/>
              </w:rPr>
              <w:t>SPM/HRMD</w:t>
            </w:r>
          </w:p>
        </w:tc>
        <w:tc>
          <w:tcPr>
            <w:tcW w:w="1406" w:type="dxa"/>
          </w:tcPr>
          <w:p w14:paraId="4ED07856" w14:textId="3A2A283A" w:rsidR="00DA083C" w:rsidRPr="004848F7" w:rsidRDefault="00DA083C" w:rsidP="00963071">
            <w:pPr>
              <w:jc w:val="right"/>
              <w:rPr>
                <w:szCs w:val="24"/>
              </w:rPr>
            </w:pPr>
            <w:r w:rsidRPr="004848F7">
              <w:rPr>
                <w:szCs w:val="24"/>
              </w:rPr>
              <w:t>En curso</w:t>
            </w:r>
          </w:p>
        </w:tc>
      </w:tr>
      <w:tr w:rsidR="00DA083C" w:rsidRPr="004848F7" w14:paraId="3272C172" w14:textId="77777777" w:rsidTr="00963071">
        <w:tc>
          <w:tcPr>
            <w:tcW w:w="6096" w:type="dxa"/>
          </w:tcPr>
          <w:p w14:paraId="1625AAAB" w14:textId="6106A273" w:rsidR="00DA083C" w:rsidRPr="004848F7" w:rsidRDefault="00DA083C" w:rsidP="00963071">
            <w:pPr>
              <w:rPr>
                <w:szCs w:val="24"/>
                <w:lang w:eastAsia="zh-CN"/>
              </w:rPr>
            </w:pPr>
            <w:r w:rsidRPr="004848F7">
              <w:rPr>
                <w:szCs w:val="24"/>
                <w:lang w:eastAsia="zh-CN"/>
              </w:rPr>
              <w:t>15.4</w:t>
            </w:r>
            <w:r w:rsidRPr="004848F7">
              <w:rPr>
                <w:szCs w:val="24"/>
                <w:lang w:eastAsia="zh-CN"/>
              </w:rPr>
              <w:tab/>
              <w:t>Programa de tutorías para orientar y apoyar al personal femenino</w:t>
            </w:r>
          </w:p>
        </w:tc>
        <w:tc>
          <w:tcPr>
            <w:tcW w:w="1559" w:type="dxa"/>
          </w:tcPr>
          <w:p w14:paraId="3E111EE3" w14:textId="11DA5212" w:rsidR="00DA083C" w:rsidRPr="004848F7" w:rsidRDefault="00DA083C" w:rsidP="00963071">
            <w:pPr>
              <w:jc w:val="center"/>
              <w:rPr>
                <w:szCs w:val="24"/>
              </w:rPr>
            </w:pPr>
          </w:p>
        </w:tc>
        <w:tc>
          <w:tcPr>
            <w:tcW w:w="1406" w:type="dxa"/>
          </w:tcPr>
          <w:p w14:paraId="31DAD038" w14:textId="7F8B33AF" w:rsidR="00DA083C" w:rsidRPr="004848F7" w:rsidRDefault="00DA083C" w:rsidP="00963071">
            <w:pPr>
              <w:jc w:val="right"/>
              <w:rPr>
                <w:szCs w:val="24"/>
              </w:rPr>
            </w:pPr>
          </w:p>
        </w:tc>
      </w:tr>
      <w:tr w:rsidR="00DA083C" w:rsidRPr="004848F7" w14:paraId="5F976735" w14:textId="77777777" w:rsidTr="00963071">
        <w:tc>
          <w:tcPr>
            <w:tcW w:w="6096" w:type="dxa"/>
          </w:tcPr>
          <w:p w14:paraId="777408BA" w14:textId="4A97DECA" w:rsidR="00DA083C" w:rsidRPr="004848F7" w:rsidRDefault="00DA083C" w:rsidP="00963071">
            <w:pPr>
              <w:rPr>
                <w:szCs w:val="24"/>
                <w:lang w:eastAsia="zh-CN"/>
              </w:rPr>
            </w:pPr>
            <w:r w:rsidRPr="004848F7">
              <w:rPr>
                <w:color w:val="000000"/>
                <w:szCs w:val="24"/>
                <w:lang w:eastAsia="zh-CN"/>
              </w:rPr>
              <w:t>15.5</w:t>
            </w:r>
            <w:r w:rsidRPr="004848F7">
              <w:rPr>
                <w:color w:val="000000"/>
                <w:szCs w:val="24"/>
                <w:lang w:eastAsia="zh-CN"/>
              </w:rPr>
              <w:tab/>
              <w:t>Formación en liderazgo y gestión (módulo sobre género)</w:t>
            </w:r>
          </w:p>
        </w:tc>
        <w:tc>
          <w:tcPr>
            <w:tcW w:w="1559" w:type="dxa"/>
          </w:tcPr>
          <w:p w14:paraId="397FD15D" w14:textId="3F0678BB" w:rsidR="00DA083C" w:rsidRPr="004848F7" w:rsidRDefault="00DA083C" w:rsidP="00963071">
            <w:pPr>
              <w:jc w:val="center"/>
              <w:rPr>
                <w:szCs w:val="24"/>
              </w:rPr>
            </w:pPr>
            <w:r w:rsidRPr="004848F7">
              <w:rPr>
                <w:szCs w:val="24"/>
              </w:rPr>
              <w:t>HRMD</w:t>
            </w:r>
          </w:p>
        </w:tc>
        <w:tc>
          <w:tcPr>
            <w:tcW w:w="1406" w:type="dxa"/>
          </w:tcPr>
          <w:p w14:paraId="778FB81F" w14:textId="7ED91FC2" w:rsidR="00DA083C" w:rsidRPr="004848F7" w:rsidRDefault="00D1404A" w:rsidP="00963071">
            <w:pPr>
              <w:jc w:val="right"/>
              <w:rPr>
                <w:szCs w:val="24"/>
              </w:rPr>
            </w:pPr>
            <w:r w:rsidRPr="004848F7">
              <w:rPr>
                <w:szCs w:val="24"/>
              </w:rPr>
              <w:t>2025</w:t>
            </w:r>
          </w:p>
        </w:tc>
      </w:tr>
      <w:tr w:rsidR="00DA083C" w:rsidRPr="004848F7" w14:paraId="06DB61AB" w14:textId="77777777" w:rsidTr="00963071">
        <w:tc>
          <w:tcPr>
            <w:tcW w:w="6096" w:type="dxa"/>
          </w:tcPr>
          <w:p w14:paraId="4E5F5676" w14:textId="4B2E0F28" w:rsidR="00DA083C" w:rsidRPr="004848F7" w:rsidRDefault="00DA083C" w:rsidP="00963071">
            <w:pPr>
              <w:rPr>
                <w:szCs w:val="24"/>
                <w:lang w:eastAsia="zh-CN"/>
              </w:rPr>
            </w:pPr>
            <w:r w:rsidRPr="004848F7">
              <w:rPr>
                <w:color w:val="000000"/>
                <w:szCs w:val="24"/>
                <w:lang w:eastAsia="zh-CN"/>
              </w:rPr>
              <w:t>15.6</w:t>
            </w:r>
            <w:r w:rsidRPr="004848F7">
              <w:rPr>
                <w:color w:val="000000"/>
                <w:szCs w:val="24"/>
                <w:lang w:eastAsia="zh-CN"/>
              </w:rPr>
              <w:tab/>
              <w:t>Formación destinada a los responsables de la contratación para abordar prejuicios no manifiestos</w:t>
            </w:r>
          </w:p>
        </w:tc>
        <w:tc>
          <w:tcPr>
            <w:tcW w:w="1559" w:type="dxa"/>
          </w:tcPr>
          <w:p w14:paraId="3A84D086" w14:textId="77777777" w:rsidR="00DA083C" w:rsidRPr="004848F7" w:rsidRDefault="00DA083C" w:rsidP="00963071">
            <w:pPr>
              <w:jc w:val="center"/>
              <w:rPr>
                <w:szCs w:val="24"/>
              </w:rPr>
            </w:pPr>
            <w:r w:rsidRPr="004848F7">
              <w:rPr>
                <w:szCs w:val="24"/>
              </w:rPr>
              <w:t>HRMD</w:t>
            </w:r>
          </w:p>
        </w:tc>
        <w:tc>
          <w:tcPr>
            <w:tcW w:w="1406" w:type="dxa"/>
          </w:tcPr>
          <w:p w14:paraId="14406E7D" w14:textId="729E5FEC" w:rsidR="00DA083C" w:rsidRPr="004848F7" w:rsidRDefault="00D1404A" w:rsidP="00963071">
            <w:pPr>
              <w:jc w:val="right"/>
              <w:rPr>
                <w:szCs w:val="24"/>
              </w:rPr>
            </w:pPr>
            <w:r w:rsidRPr="004848F7">
              <w:rPr>
                <w:szCs w:val="24"/>
              </w:rPr>
              <w:t>2025</w:t>
            </w:r>
          </w:p>
        </w:tc>
      </w:tr>
      <w:tr w:rsidR="00DA083C" w:rsidRPr="004848F7" w14:paraId="37E4D428" w14:textId="77777777" w:rsidTr="00963071">
        <w:tc>
          <w:tcPr>
            <w:tcW w:w="6096" w:type="dxa"/>
          </w:tcPr>
          <w:p w14:paraId="293E8FB3" w14:textId="02F08C3A" w:rsidR="00DA083C" w:rsidRPr="004848F7" w:rsidRDefault="00DA083C" w:rsidP="00963071">
            <w:pPr>
              <w:rPr>
                <w:szCs w:val="24"/>
                <w:lang w:eastAsia="zh-CN"/>
              </w:rPr>
            </w:pPr>
            <w:r w:rsidRPr="004848F7">
              <w:rPr>
                <w:rFonts w:eastAsia="SimSun" w:cs="Arial"/>
                <w:szCs w:val="24"/>
                <w:lang w:eastAsia="zh-CN"/>
              </w:rPr>
              <w:t>15.7</w:t>
            </w:r>
            <w:r w:rsidRPr="004848F7">
              <w:rPr>
                <w:rFonts w:eastAsia="SimSun" w:cs="Arial"/>
                <w:szCs w:val="24"/>
                <w:lang w:eastAsia="zh-CN"/>
              </w:rPr>
              <w:tab/>
              <w:t>Análisis de género para autoaprendizaje en línea sobre inclusión digital</w:t>
            </w:r>
          </w:p>
        </w:tc>
        <w:tc>
          <w:tcPr>
            <w:tcW w:w="1559" w:type="dxa"/>
          </w:tcPr>
          <w:p w14:paraId="601B90CE" w14:textId="57A32618" w:rsidR="00DA083C" w:rsidRPr="004848F7" w:rsidRDefault="00D1404A" w:rsidP="00963071">
            <w:pPr>
              <w:jc w:val="center"/>
              <w:rPr>
                <w:szCs w:val="24"/>
              </w:rPr>
            </w:pPr>
            <w:r w:rsidRPr="004848F7">
              <w:rPr>
                <w:szCs w:val="24"/>
              </w:rPr>
              <w:t>SPM</w:t>
            </w:r>
          </w:p>
        </w:tc>
        <w:tc>
          <w:tcPr>
            <w:tcW w:w="1406" w:type="dxa"/>
          </w:tcPr>
          <w:p w14:paraId="1C8F1351" w14:textId="76C94816" w:rsidR="00DA083C" w:rsidRPr="004848F7" w:rsidRDefault="00D1404A" w:rsidP="00963071">
            <w:pPr>
              <w:jc w:val="right"/>
              <w:rPr>
                <w:szCs w:val="24"/>
              </w:rPr>
            </w:pPr>
            <w:r w:rsidRPr="004848F7">
              <w:rPr>
                <w:szCs w:val="24"/>
              </w:rPr>
              <w:t>1T</w:t>
            </w:r>
            <w:r w:rsidR="000703C0" w:rsidRPr="004848F7">
              <w:rPr>
                <w:szCs w:val="24"/>
              </w:rPr>
              <w:t xml:space="preserve"> </w:t>
            </w:r>
            <w:r w:rsidRPr="004848F7">
              <w:rPr>
                <w:szCs w:val="24"/>
              </w:rPr>
              <w:t>2024</w:t>
            </w:r>
          </w:p>
        </w:tc>
      </w:tr>
      <w:tr w:rsidR="00DA083C" w:rsidRPr="004848F7" w14:paraId="537525E1" w14:textId="77777777" w:rsidTr="00963071">
        <w:tc>
          <w:tcPr>
            <w:tcW w:w="6096" w:type="dxa"/>
          </w:tcPr>
          <w:p w14:paraId="60ABD22E" w14:textId="6DCD7E1F" w:rsidR="00DA083C" w:rsidRPr="004848F7" w:rsidRDefault="00DA083C" w:rsidP="00963071">
            <w:pPr>
              <w:rPr>
                <w:szCs w:val="24"/>
                <w:lang w:eastAsia="zh-CN"/>
              </w:rPr>
            </w:pPr>
            <w:r w:rsidRPr="004848F7">
              <w:rPr>
                <w:szCs w:val="24"/>
                <w:lang w:eastAsia="zh-CN"/>
              </w:rPr>
              <w:t>15.8</w:t>
            </w:r>
            <w:r w:rsidRPr="004848F7">
              <w:rPr>
                <w:szCs w:val="24"/>
                <w:lang w:eastAsia="zh-CN"/>
              </w:rPr>
              <w:tab/>
              <w:t>Formación GEM para el personal de la BDT encargado de la formulación de proyectos para aumentar la concienciación en cuestiones de género (Res</w:t>
            </w:r>
            <w:r w:rsidR="000703C0" w:rsidRPr="004848F7">
              <w:rPr>
                <w:szCs w:val="24"/>
                <w:lang w:eastAsia="zh-CN"/>
              </w:rPr>
              <w:t>. </w:t>
            </w:r>
            <w:r w:rsidRPr="004848F7">
              <w:rPr>
                <w:szCs w:val="24"/>
                <w:lang w:eastAsia="zh-CN"/>
              </w:rPr>
              <w:t>55)</w:t>
            </w:r>
          </w:p>
        </w:tc>
        <w:tc>
          <w:tcPr>
            <w:tcW w:w="1559" w:type="dxa"/>
          </w:tcPr>
          <w:p w14:paraId="3AAB0BC6" w14:textId="1701886A" w:rsidR="00DA083C" w:rsidRPr="004848F7" w:rsidRDefault="00D1404A" w:rsidP="00963071">
            <w:pPr>
              <w:jc w:val="center"/>
              <w:rPr>
                <w:szCs w:val="24"/>
              </w:rPr>
            </w:pPr>
            <w:r w:rsidRPr="004848F7">
              <w:rPr>
                <w:szCs w:val="24"/>
              </w:rPr>
              <w:t>BDT</w:t>
            </w:r>
          </w:p>
        </w:tc>
        <w:tc>
          <w:tcPr>
            <w:tcW w:w="1406" w:type="dxa"/>
          </w:tcPr>
          <w:p w14:paraId="4EEF7555" w14:textId="77777777" w:rsidR="00DA083C" w:rsidRPr="004848F7" w:rsidRDefault="00DA083C" w:rsidP="00963071">
            <w:pPr>
              <w:jc w:val="right"/>
              <w:rPr>
                <w:szCs w:val="24"/>
              </w:rPr>
            </w:pPr>
            <w:r w:rsidRPr="004848F7">
              <w:rPr>
                <w:szCs w:val="24"/>
              </w:rPr>
              <w:t>En curso</w:t>
            </w:r>
          </w:p>
        </w:tc>
      </w:tr>
      <w:tr w:rsidR="00DA083C" w:rsidRPr="004848F7" w14:paraId="5736B4A8" w14:textId="77777777" w:rsidTr="00963071">
        <w:tc>
          <w:tcPr>
            <w:tcW w:w="6096" w:type="dxa"/>
          </w:tcPr>
          <w:p w14:paraId="503B0713" w14:textId="233D37F8" w:rsidR="00DA083C" w:rsidRPr="004848F7" w:rsidRDefault="00DA083C" w:rsidP="00963071">
            <w:pPr>
              <w:rPr>
                <w:szCs w:val="24"/>
                <w:lang w:eastAsia="zh-CN"/>
              </w:rPr>
            </w:pPr>
            <w:r w:rsidRPr="004848F7">
              <w:rPr>
                <w:color w:val="000000"/>
                <w:szCs w:val="24"/>
                <w:lang w:eastAsia="zh-CN"/>
              </w:rPr>
              <w:t>15.9</w:t>
            </w:r>
            <w:r w:rsidRPr="004848F7">
              <w:rPr>
                <w:color w:val="000000"/>
                <w:szCs w:val="24"/>
                <w:lang w:eastAsia="zh-CN"/>
              </w:rPr>
              <w:tab/>
              <w:t>Desarrollo de una formación específica para abordar los retos que afronta la mujer en las TIC</w:t>
            </w:r>
          </w:p>
        </w:tc>
        <w:tc>
          <w:tcPr>
            <w:tcW w:w="1559" w:type="dxa"/>
          </w:tcPr>
          <w:p w14:paraId="038B31AF" w14:textId="00BD4AE5" w:rsidR="00DA083C" w:rsidRPr="004848F7" w:rsidRDefault="00D1404A" w:rsidP="00963071">
            <w:pPr>
              <w:jc w:val="center"/>
              <w:rPr>
                <w:szCs w:val="24"/>
              </w:rPr>
            </w:pPr>
            <w:r w:rsidRPr="004848F7">
              <w:rPr>
                <w:szCs w:val="24"/>
              </w:rPr>
              <w:t>BDT</w:t>
            </w:r>
          </w:p>
        </w:tc>
        <w:tc>
          <w:tcPr>
            <w:tcW w:w="1406" w:type="dxa"/>
          </w:tcPr>
          <w:p w14:paraId="0DFDA885" w14:textId="77777777" w:rsidR="00DA083C" w:rsidRPr="004848F7" w:rsidRDefault="00DA083C" w:rsidP="00963071">
            <w:pPr>
              <w:jc w:val="right"/>
              <w:rPr>
                <w:szCs w:val="24"/>
              </w:rPr>
            </w:pPr>
            <w:r w:rsidRPr="004848F7">
              <w:rPr>
                <w:szCs w:val="24"/>
              </w:rPr>
              <w:t>En curso</w:t>
            </w:r>
          </w:p>
        </w:tc>
      </w:tr>
      <w:tr w:rsidR="00D1404A" w:rsidRPr="004848F7" w14:paraId="731CBCFA" w14:textId="77777777" w:rsidTr="00963071">
        <w:tc>
          <w:tcPr>
            <w:tcW w:w="6096" w:type="dxa"/>
          </w:tcPr>
          <w:p w14:paraId="776B61F9" w14:textId="2AC19D75" w:rsidR="00D1404A" w:rsidRPr="004848F7" w:rsidRDefault="00D1404A" w:rsidP="00D1404A">
            <w:pPr>
              <w:rPr>
                <w:color w:val="000000"/>
                <w:szCs w:val="24"/>
                <w:lang w:eastAsia="zh-CN"/>
              </w:rPr>
            </w:pPr>
            <w:r w:rsidRPr="004848F7">
              <w:rPr>
                <w:color w:val="000000"/>
                <w:szCs w:val="24"/>
                <w:lang w:eastAsia="zh-CN"/>
              </w:rPr>
              <w:lastRenderedPageBreak/>
              <w:t>15.10</w:t>
            </w:r>
            <w:r w:rsidRPr="004848F7">
              <w:rPr>
                <w:color w:val="000000"/>
                <w:szCs w:val="24"/>
                <w:lang w:eastAsia="zh-CN"/>
              </w:rPr>
              <w:tab/>
              <w:t>Desarrollo de formación, herramientas y directrices de evaluación para la elaboración de políticas</w:t>
            </w:r>
          </w:p>
        </w:tc>
        <w:tc>
          <w:tcPr>
            <w:tcW w:w="1559" w:type="dxa"/>
          </w:tcPr>
          <w:p w14:paraId="6D9A89E9" w14:textId="7D452249" w:rsidR="00D1404A" w:rsidRPr="004848F7" w:rsidRDefault="00D1404A" w:rsidP="00D1404A">
            <w:pPr>
              <w:jc w:val="center"/>
              <w:rPr>
                <w:szCs w:val="24"/>
              </w:rPr>
            </w:pPr>
            <w:r w:rsidRPr="004848F7">
              <w:rPr>
                <w:szCs w:val="24"/>
              </w:rPr>
              <w:t>BDT</w:t>
            </w:r>
          </w:p>
        </w:tc>
        <w:tc>
          <w:tcPr>
            <w:tcW w:w="1406" w:type="dxa"/>
          </w:tcPr>
          <w:p w14:paraId="5CA9A49B" w14:textId="17001770" w:rsidR="00D1404A" w:rsidRPr="004848F7" w:rsidRDefault="00D1404A" w:rsidP="00D1404A">
            <w:pPr>
              <w:jc w:val="right"/>
              <w:rPr>
                <w:szCs w:val="24"/>
              </w:rPr>
            </w:pPr>
            <w:r w:rsidRPr="004848F7">
              <w:rPr>
                <w:szCs w:val="24"/>
              </w:rPr>
              <w:t>En curso</w:t>
            </w:r>
          </w:p>
        </w:tc>
      </w:tr>
    </w:tbl>
    <w:p w14:paraId="4BE41BD6" w14:textId="2F3314A4" w:rsidR="00EE76D1" w:rsidRPr="004848F7" w:rsidRDefault="00D1404A" w:rsidP="00D1404A">
      <w:pPr>
        <w:pStyle w:val="Heading1"/>
        <w:rPr>
          <w:rFonts w:eastAsia="SimSun"/>
          <w:lang w:eastAsia="zh-CN"/>
        </w:rPr>
      </w:pPr>
      <w:r w:rsidRPr="004848F7">
        <w:rPr>
          <w:lang w:eastAsia="zh-CN"/>
        </w:rPr>
        <w:t>16</w:t>
      </w:r>
      <w:r w:rsidRPr="004848F7">
        <w:rPr>
          <w:lang w:eastAsia="zh-CN"/>
        </w:rPr>
        <w:tab/>
      </w:r>
      <w:r w:rsidR="00EE76D1" w:rsidRPr="004848F7">
        <w:rPr>
          <w:lang w:eastAsia="zh-CN"/>
        </w:rPr>
        <w:t>Conocimientos y comunicación</w:t>
      </w:r>
      <w:r w:rsidRPr="004848F7">
        <w:rPr>
          <w:lang w:eastAsia="zh-CN"/>
        </w:rPr>
        <w:br/>
      </w:r>
      <w:r w:rsidR="00EE76D1" w:rsidRPr="004848F7">
        <w:rPr>
          <w:rFonts w:eastAsia="SimSun"/>
          <w:lang w:eastAsia="zh-CN"/>
        </w:rPr>
        <w:t>Situación del SWAP en 2023: cumplimiento de los requisitos</w:t>
      </w:r>
    </w:p>
    <w:p w14:paraId="090CC872" w14:textId="1A233C0D" w:rsidR="00EE76D1" w:rsidRPr="004848F7" w:rsidRDefault="00EE76D1" w:rsidP="00D1404A">
      <w:r w:rsidRPr="004848F7">
        <w:t xml:space="preserve">Para cumplir este </w:t>
      </w:r>
      <w:hyperlink r:id="rId96" w:history="1">
        <w:r w:rsidRPr="004848F7">
          <w:rPr>
            <w:rStyle w:val="Hyperlink"/>
          </w:rPr>
          <w:t>indicador de rendimiento ONU-SWAP</w:t>
        </w:r>
      </w:hyperlink>
      <w:r w:rsidRPr="004848F7">
        <w:t>, la UIT debe: 1) documentar de forma sistemática y compartir públicamente conocimientos sobre igualdad de género y empoderamiento de la mujer relacionados sustancialmente con su mandato y la representación y la situación de la mujer en la propia institución; 2) garantizar que su plan de comunicación tenga en cuenta las cuestiones de género e incluya la igualdad de género y el empoderamiento de la mujer como componente integral de las medidas de difusión de información interna y pública. Para superar ese requisito, la UIT debe participar activamente en una comunidad interinstitucional de prácticas sobre igualdad de género y empoderamiento de la mujer. [</w:t>
      </w:r>
      <w:r w:rsidRPr="004848F7">
        <w:rPr>
          <w:i/>
          <w:iCs/>
        </w:rPr>
        <w:t>En la actualidad, la comunicación de la UIT incluye aspectos sobre igualdad de género y empoderamiento de la mujer, pero sin incluirlos claramente en una estrategia o un plan de comunicación estructurado, por lo que se considera que cumple los requisitos en lugar de superarlos</w:t>
      </w:r>
      <w:r w:rsidRPr="004848F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D1404A" w:rsidRPr="004848F7" w14:paraId="3F6A78C7" w14:textId="77777777" w:rsidTr="00963071">
        <w:tc>
          <w:tcPr>
            <w:tcW w:w="6096" w:type="dxa"/>
          </w:tcPr>
          <w:p w14:paraId="6868870D" w14:textId="77777777" w:rsidR="00D1404A" w:rsidRPr="004848F7" w:rsidRDefault="00D1404A" w:rsidP="00963071">
            <w:pPr>
              <w:rPr>
                <w:u w:val="single"/>
              </w:rPr>
            </w:pPr>
            <w:r w:rsidRPr="004848F7">
              <w:rPr>
                <w:u w:val="single"/>
              </w:rPr>
              <w:t>Productos</w:t>
            </w:r>
          </w:p>
        </w:tc>
        <w:tc>
          <w:tcPr>
            <w:tcW w:w="1559" w:type="dxa"/>
          </w:tcPr>
          <w:p w14:paraId="0D11F1B7" w14:textId="77777777" w:rsidR="00D1404A" w:rsidRPr="004848F7" w:rsidRDefault="00D1404A" w:rsidP="00963071">
            <w:pPr>
              <w:jc w:val="center"/>
              <w:rPr>
                <w:u w:val="single"/>
              </w:rPr>
            </w:pPr>
            <w:r w:rsidRPr="004848F7">
              <w:rPr>
                <w:u w:val="single"/>
              </w:rPr>
              <w:t>Responsable</w:t>
            </w:r>
          </w:p>
        </w:tc>
        <w:tc>
          <w:tcPr>
            <w:tcW w:w="1406" w:type="dxa"/>
          </w:tcPr>
          <w:p w14:paraId="0472B3DB" w14:textId="77777777" w:rsidR="00D1404A" w:rsidRPr="004848F7" w:rsidRDefault="00D1404A" w:rsidP="00963071">
            <w:pPr>
              <w:jc w:val="right"/>
              <w:rPr>
                <w:u w:val="single"/>
              </w:rPr>
            </w:pPr>
            <w:r w:rsidRPr="004848F7">
              <w:rPr>
                <w:u w:val="single"/>
              </w:rPr>
              <w:t>Plazo</w:t>
            </w:r>
          </w:p>
        </w:tc>
      </w:tr>
      <w:tr w:rsidR="00D1404A" w:rsidRPr="004848F7" w14:paraId="7AD00B36" w14:textId="77777777" w:rsidTr="00963071">
        <w:tc>
          <w:tcPr>
            <w:tcW w:w="6096" w:type="dxa"/>
          </w:tcPr>
          <w:p w14:paraId="72A8482D" w14:textId="18E32B6C" w:rsidR="00D1404A" w:rsidRPr="004848F7" w:rsidRDefault="00D1404A" w:rsidP="00963071">
            <w:pPr>
              <w:rPr>
                <w:szCs w:val="24"/>
              </w:rPr>
            </w:pPr>
            <w:r w:rsidRPr="004848F7">
              <w:rPr>
                <w:szCs w:val="24"/>
                <w:lang w:eastAsia="zh-CN"/>
              </w:rPr>
              <w:t>16.1</w:t>
            </w:r>
            <w:r w:rsidRPr="004848F7">
              <w:rPr>
                <w:szCs w:val="24"/>
                <w:lang w:eastAsia="zh-CN"/>
              </w:rPr>
              <w:tab/>
            </w:r>
            <w:r w:rsidRPr="004848F7">
              <w:rPr>
                <w:color w:val="000000"/>
                <w:szCs w:val="24"/>
                <w:lang w:eastAsia="zh-CN"/>
              </w:rPr>
              <w:t>Reuniones informativas de bienvenida o de iniciación sobre el GT</w:t>
            </w:r>
            <w:r w:rsidR="00D72B80" w:rsidRPr="004848F7">
              <w:rPr>
                <w:color w:val="000000"/>
                <w:szCs w:val="24"/>
                <w:lang w:eastAsia="zh-CN"/>
              </w:rPr>
              <w:t>F</w:t>
            </w:r>
            <w:r w:rsidRPr="004848F7">
              <w:rPr>
                <w:color w:val="000000"/>
                <w:szCs w:val="24"/>
                <w:lang w:eastAsia="zh-CN"/>
              </w:rPr>
              <w:t xml:space="preserve"> (en particular, mandatos, enlaces, ONU-SWAP e información general)</w:t>
            </w:r>
          </w:p>
        </w:tc>
        <w:tc>
          <w:tcPr>
            <w:tcW w:w="1559" w:type="dxa"/>
          </w:tcPr>
          <w:p w14:paraId="3CE5D70A" w14:textId="3EF05F88" w:rsidR="00D1404A" w:rsidRPr="004848F7" w:rsidRDefault="00D1404A" w:rsidP="00963071">
            <w:pPr>
              <w:jc w:val="center"/>
              <w:rPr>
                <w:szCs w:val="24"/>
              </w:rPr>
            </w:pPr>
            <w:r w:rsidRPr="004848F7">
              <w:rPr>
                <w:szCs w:val="24"/>
              </w:rPr>
              <w:t>SPM</w:t>
            </w:r>
          </w:p>
        </w:tc>
        <w:tc>
          <w:tcPr>
            <w:tcW w:w="1406" w:type="dxa"/>
          </w:tcPr>
          <w:p w14:paraId="58777BAA" w14:textId="7333553F" w:rsidR="00D1404A" w:rsidRPr="004848F7" w:rsidRDefault="00D1404A" w:rsidP="00963071">
            <w:pPr>
              <w:jc w:val="right"/>
              <w:rPr>
                <w:szCs w:val="24"/>
              </w:rPr>
            </w:pPr>
            <w:r w:rsidRPr="004848F7">
              <w:rPr>
                <w:szCs w:val="24"/>
              </w:rPr>
              <w:t>En su caso</w:t>
            </w:r>
          </w:p>
        </w:tc>
      </w:tr>
      <w:tr w:rsidR="00D1404A" w:rsidRPr="004848F7" w14:paraId="755925EE" w14:textId="77777777" w:rsidTr="00963071">
        <w:tc>
          <w:tcPr>
            <w:tcW w:w="6096" w:type="dxa"/>
          </w:tcPr>
          <w:p w14:paraId="1A4B0A62" w14:textId="4829DD50" w:rsidR="00D1404A" w:rsidRPr="004848F7" w:rsidRDefault="00D1404A" w:rsidP="00963071">
            <w:pPr>
              <w:rPr>
                <w:szCs w:val="24"/>
              </w:rPr>
            </w:pPr>
            <w:r w:rsidRPr="004848F7">
              <w:rPr>
                <w:szCs w:val="24"/>
                <w:lang w:eastAsia="zh-CN"/>
              </w:rPr>
              <w:t>16.2</w:t>
            </w:r>
            <w:r w:rsidRPr="004848F7">
              <w:rPr>
                <w:szCs w:val="24"/>
                <w:lang w:eastAsia="zh-CN"/>
              </w:rPr>
              <w:tab/>
              <w:t>Inclusión de los aspectos de género en la estrategia y el plan de comunicación</w:t>
            </w:r>
          </w:p>
        </w:tc>
        <w:tc>
          <w:tcPr>
            <w:tcW w:w="1559" w:type="dxa"/>
          </w:tcPr>
          <w:p w14:paraId="4BDA1D81" w14:textId="1F924AA1" w:rsidR="00D1404A" w:rsidRPr="004848F7" w:rsidRDefault="00D1404A" w:rsidP="00963071">
            <w:pPr>
              <w:jc w:val="center"/>
              <w:rPr>
                <w:szCs w:val="24"/>
              </w:rPr>
            </w:pPr>
            <w:r w:rsidRPr="004848F7">
              <w:rPr>
                <w:szCs w:val="24"/>
              </w:rPr>
              <w:t>CCD</w:t>
            </w:r>
          </w:p>
        </w:tc>
        <w:tc>
          <w:tcPr>
            <w:tcW w:w="1406" w:type="dxa"/>
          </w:tcPr>
          <w:p w14:paraId="09AAB7C8" w14:textId="135A58FC" w:rsidR="00D1404A" w:rsidRPr="004848F7" w:rsidRDefault="00D1404A" w:rsidP="00963071">
            <w:pPr>
              <w:jc w:val="right"/>
              <w:rPr>
                <w:szCs w:val="24"/>
              </w:rPr>
            </w:pPr>
          </w:p>
        </w:tc>
      </w:tr>
      <w:tr w:rsidR="00D1404A" w:rsidRPr="004848F7" w14:paraId="649E2D34" w14:textId="77777777" w:rsidTr="00963071">
        <w:tc>
          <w:tcPr>
            <w:tcW w:w="6096" w:type="dxa"/>
          </w:tcPr>
          <w:p w14:paraId="78111717" w14:textId="150C8918" w:rsidR="00D1404A" w:rsidRPr="004848F7" w:rsidRDefault="00D1404A" w:rsidP="00963071">
            <w:pPr>
              <w:rPr>
                <w:szCs w:val="24"/>
              </w:rPr>
            </w:pPr>
            <w:r w:rsidRPr="004848F7">
              <w:rPr>
                <w:szCs w:val="24"/>
                <w:lang w:eastAsia="zh-CN"/>
              </w:rPr>
              <w:t>16.3</w:t>
            </w:r>
            <w:r w:rsidRPr="004848F7">
              <w:rPr>
                <w:szCs w:val="24"/>
                <w:lang w:eastAsia="zh-CN"/>
              </w:rPr>
              <w:tab/>
              <w:t>Actualización de las directrices de la UIT en materia de cuestiones de género</w:t>
            </w:r>
          </w:p>
        </w:tc>
        <w:tc>
          <w:tcPr>
            <w:tcW w:w="1559" w:type="dxa"/>
          </w:tcPr>
          <w:p w14:paraId="42AFC278" w14:textId="2E8D0F4A" w:rsidR="00D1404A" w:rsidRPr="004848F7" w:rsidRDefault="00D1404A" w:rsidP="00963071">
            <w:pPr>
              <w:jc w:val="center"/>
              <w:rPr>
                <w:szCs w:val="24"/>
              </w:rPr>
            </w:pPr>
            <w:r w:rsidRPr="004848F7">
              <w:rPr>
                <w:szCs w:val="24"/>
              </w:rPr>
              <w:t>CCD</w:t>
            </w:r>
          </w:p>
        </w:tc>
        <w:tc>
          <w:tcPr>
            <w:tcW w:w="1406" w:type="dxa"/>
          </w:tcPr>
          <w:p w14:paraId="6BC44BD5" w14:textId="74905362" w:rsidR="00D1404A" w:rsidRPr="004848F7" w:rsidRDefault="00D1404A" w:rsidP="00963071">
            <w:pPr>
              <w:jc w:val="right"/>
              <w:rPr>
                <w:szCs w:val="24"/>
              </w:rPr>
            </w:pPr>
          </w:p>
        </w:tc>
      </w:tr>
      <w:tr w:rsidR="00D1404A" w:rsidRPr="004848F7" w14:paraId="6C4D17A9" w14:textId="77777777" w:rsidTr="00963071">
        <w:tc>
          <w:tcPr>
            <w:tcW w:w="6096" w:type="dxa"/>
          </w:tcPr>
          <w:p w14:paraId="2339036D" w14:textId="5E2CCFD4" w:rsidR="00D1404A" w:rsidRPr="004848F7" w:rsidRDefault="00D1404A" w:rsidP="00963071">
            <w:pPr>
              <w:rPr>
                <w:szCs w:val="24"/>
                <w:lang w:eastAsia="zh-CN"/>
              </w:rPr>
            </w:pPr>
            <w:r w:rsidRPr="004848F7">
              <w:rPr>
                <w:szCs w:val="24"/>
                <w:lang w:eastAsia="zh-CN"/>
              </w:rPr>
              <w:t>16.4</w:t>
            </w:r>
            <w:r w:rsidRPr="004848F7">
              <w:rPr>
                <w:szCs w:val="24"/>
                <w:lang w:eastAsia="zh-CN"/>
              </w:rPr>
              <w:tab/>
              <w:t>Actualización periódica de la información de GEM en sitios externos e internos (intranet, TEAMS)</w:t>
            </w:r>
          </w:p>
        </w:tc>
        <w:tc>
          <w:tcPr>
            <w:tcW w:w="1559" w:type="dxa"/>
          </w:tcPr>
          <w:p w14:paraId="5D4536C6" w14:textId="78FB9B3C" w:rsidR="00D1404A" w:rsidRPr="004848F7" w:rsidRDefault="00D1404A" w:rsidP="00963071">
            <w:pPr>
              <w:jc w:val="center"/>
              <w:rPr>
                <w:szCs w:val="24"/>
              </w:rPr>
            </w:pPr>
            <w:r w:rsidRPr="004848F7">
              <w:rPr>
                <w:szCs w:val="24"/>
              </w:rPr>
              <w:t>SPM/GTF</w:t>
            </w:r>
          </w:p>
        </w:tc>
        <w:tc>
          <w:tcPr>
            <w:tcW w:w="1406" w:type="dxa"/>
          </w:tcPr>
          <w:p w14:paraId="43534363" w14:textId="72EA0F52" w:rsidR="00D1404A" w:rsidRPr="004848F7" w:rsidRDefault="00D1404A" w:rsidP="00963071">
            <w:pPr>
              <w:jc w:val="right"/>
              <w:rPr>
                <w:szCs w:val="24"/>
              </w:rPr>
            </w:pPr>
            <w:r w:rsidRPr="004848F7">
              <w:rPr>
                <w:szCs w:val="24"/>
              </w:rPr>
              <w:t>En curso</w:t>
            </w:r>
          </w:p>
        </w:tc>
      </w:tr>
      <w:tr w:rsidR="00D1404A" w:rsidRPr="004848F7" w14:paraId="5B5772CA" w14:textId="77777777" w:rsidTr="00963071">
        <w:tc>
          <w:tcPr>
            <w:tcW w:w="6096" w:type="dxa"/>
          </w:tcPr>
          <w:p w14:paraId="6491A168" w14:textId="1453A824" w:rsidR="00D1404A" w:rsidRPr="004848F7" w:rsidRDefault="00D1404A" w:rsidP="00963071">
            <w:pPr>
              <w:rPr>
                <w:szCs w:val="24"/>
                <w:lang w:eastAsia="zh-CN"/>
              </w:rPr>
            </w:pPr>
            <w:r w:rsidRPr="004848F7">
              <w:rPr>
                <w:color w:val="000000"/>
                <w:szCs w:val="24"/>
                <w:lang w:eastAsia="zh-CN"/>
              </w:rPr>
              <w:t>16.5</w:t>
            </w:r>
            <w:r w:rsidRPr="004848F7">
              <w:rPr>
                <w:color w:val="000000"/>
                <w:szCs w:val="24"/>
                <w:lang w:eastAsia="zh-CN"/>
              </w:rPr>
              <w:tab/>
              <w:t>Celebración de reuniones del GTF (estudio de la participación y la eficacia del GTF)</w:t>
            </w:r>
          </w:p>
        </w:tc>
        <w:tc>
          <w:tcPr>
            <w:tcW w:w="1559" w:type="dxa"/>
          </w:tcPr>
          <w:p w14:paraId="41EA0C17" w14:textId="7EF89FB6" w:rsidR="00D1404A" w:rsidRPr="004848F7" w:rsidRDefault="00D1404A" w:rsidP="00963071">
            <w:pPr>
              <w:jc w:val="center"/>
              <w:rPr>
                <w:szCs w:val="24"/>
              </w:rPr>
            </w:pPr>
            <w:r w:rsidRPr="004848F7">
              <w:rPr>
                <w:szCs w:val="24"/>
              </w:rPr>
              <w:t>SPM/GTF</w:t>
            </w:r>
          </w:p>
        </w:tc>
        <w:tc>
          <w:tcPr>
            <w:tcW w:w="1406" w:type="dxa"/>
          </w:tcPr>
          <w:p w14:paraId="4ADEAB1E" w14:textId="7DF702A2" w:rsidR="00D1404A" w:rsidRPr="004848F7" w:rsidRDefault="00D1404A" w:rsidP="00963071">
            <w:pPr>
              <w:jc w:val="right"/>
              <w:rPr>
                <w:szCs w:val="24"/>
              </w:rPr>
            </w:pPr>
            <w:r w:rsidRPr="004848F7">
              <w:rPr>
                <w:szCs w:val="24"/>
              </w:rPr>
              <w:t>En curso</w:t>
            </w:r>
          </w:p>
        </w:tc>
      </w:tr>
      <w:tr w:rsidR="00D1404A" w:rsidRPr="004848F7" w14:paraId="3C9294A5" w14:textId="77777777" w:rsidTr="00963071">
        <w:tc>
          <w:tcPr>
            <w:tcW w:w="6096" w:type="dxa"/>
          </w:tcPr>
          <w:p w14:paraId="44DBA7DE" w14:textId="34EF8BBC" w:rsidR="00D1404A" w:rsidRPr="004848F7" w:rsidRDefault="00D1404A" w:rsidP="00963071">
            <w:pPr>
              <w:rPr>
                <w:szCs w:val="24"/>
                <w:lang w:eastAsia="zh-CN"/>
              </w:rPr>
            </w:pPr>
            <w:r w:rsidRPr="004848F7">
              <w:rPr>
                <w:color w:val="000000"/>
                <w:szCs w:val="24"/>
                <w:lang w:eastAsia="zh-CN"/>
              </w:rPr>
              <w:t>16.6</w:t>
            </w:r>
            <w:r w:rsidRPr="004848F7">
              <w:rPr>
                <w:color w:val="000000"/>
                <w:szCs w:val="24"/>
                <w:lang w:eastAsia="zh-CN"/>
              </w:rPr>
              <w:tab/>
              <w:t>Armonización con las herramientas y plataformas de transformación digital</w:t>
            </w:r>
          </w:p>
        </w:tc>
        <w:tc>
          <w:tcPr>
            <w:tcW w:w="1559" w:type="dxa"/>
          </w:tcPr>
          <w:p w14:paraId="39C3CC7C" w14:textId="6EB07096" w:rsidR="00D1404A" w:rsidRPr="004848F7" w:rsidRDefault="00D1404A" w:rsidP="00963071">
            <w:pPr>
              <w:jc w:val="center"/>
              <w:rPr>
                <w:szCs w:val="24"/>
              </w:rPr>
            </w:pPr>
            <w:r w:rsidRPr="004848F7">
              <w:rPr>
                <w:szCs w:val="24"/>
              </w:rPr>
              <w:t>SPM</w:t>
            </w:r>
          </w:p>
        </w:tc>
        <w:tc>
          <w:tcPr>
            <w:tcW w:w="1406" w:type="dxa"/>
          </w:tcPr>
          <w:p w14:paraId="27888CE9" w14:textId="1D16A5EA" w:rsidR="00D1404A" w:rsidRPr="004848F7" w:rsidRDefault="00D1404A" w:rsidP="00963071">
            <w:pPr>
              <w:jc w:val="right"/>
              <w:rPr>
                <w:szCs w:val="24"/>
              </w:rPr>
            </w:pPr>
            <w:r w:rsidRPr="004848F7">
              <w:rPr>
                <w:szCs w:val="24"/>
              </w:rPr>
              <w:t>En curso</w:t>
            </w:r>
          </w:p>
        </w:tc>
      </w:tr>
    </w:tbl>
    <w:p w14:paraId="718CBED1" w14:textId="49C9F840" w:rsidR="00EE76D1" w:rsidRPr="004848F7" w:rsidRDefault="00D1404A" w:rsidP="00D1404A">
      <w:pPr>
        <w:pStyle w:val="Heading1"/>
        <w:rPr>
          <w:rFonts w:eastAsia="SimSun"/>
          <w:lang w:eastAsia="zh-CN"/>
        </w:rPr>
      </w:pPr>
      <w:r w:rsidRPr="004848F7">
        <w:rPr>
          <w:lang w:eastAsia="zh-CN"/>
        </w:rPr>
        <w:t>17</w:t>
      </w:r>
      <w:r w:rsidRPr="004848F7">
        <w:rPr>
          <w:lang w:eastAsia="zh-CN"/>
        </w:rPr>
        <w:tab/>
      </w:r>
      <w:r w:rsidR="00EE76D1" w:rsidRPr="004848F7">
        <w:rPr>
          <w:lang w:eastAsia="zh-CN"/>
        </w:rPr>
        <w:t>Coherencia</w:t>
      </w:r>
      <w:r w:rsidRPr="004848F7">
        <w:rPr>
          <w:lang w:eastAsia="zh-CN"/>
        </w:rPr>
        <w:br/>
      </w:r>
      <w:r w:rsidR="00EE76D1" w:rsidRPr="004848F7">
        <w:rPr>
          <w:rFonts w:eastAsia="SimSun"/>
          <w:lang w:eastAsia="zh-CN"/>
        </w:rPr>
        <w:t>Estado del SWAP 2023: cumple los requisitos</w:t>
      </w:r>
    </w:p>
    <w:p w14:paraId="3F8139A2" w14:textId="183927A8" w:rsidR="00EE76D1" w:rsidRPr="004848F7" w:rsidRDefault="00EE76D1" w:rsidP="00D1404A">
      <w:r w:rsidRPr="004848F7">
        <w:t xml:space="preserve">Para cumplir este </w:t>
      </w:r>
      <w:hyperlink r:id="rId97" w:history="1">
        <w:r w:rsidRPr="004848F7">
          <w:rPr>
            <w:rStyle w:val="Hyperlink"/>
          </w:rPr>
          <w:t>indicador de rendimiento ONU-SWAP</w:t>
        </w:r>
      </w:hyperlink>
      <w:r w:rsidRPr="004848F7">
        <w:t>, la UIT debe participar sistemáticamente en los mecanismos de coordinación interinstitucional, así como en el proceso periódico de revisión por pares del ONU-SWAP. La revisión por pares realizada en</w:t>
      </w:r>
      <w:r w:rsidR="00D72B80" w:rsidRPr="004848F7">
        <w:t> </w:t>
      </w:r>
      <w:r w:rsidRPr="004848F7">
        <w:t>2022 tiene una validez de cinco años. Para superar los requisitos, la UIT necesita apoyar a otra entidad para aplicar un indicador de rendimiento.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406"/>
      </w:tblGrid>
      <w:tr w:rsidR="00D1404A" w:rsidRPr="004848F7" w14:paraId="164787F5" w14:textId="77777777" w:rsidTr="00963071">
        <w:tc>
          <w:tcPr>
            <w:tcW w:w="6096" w:type="dxa"/>
          </w:tcPr>
          <w:p w14:paraId="0C8DF1C2" w14:textId="77777777" w:rsidR="00D1404A" w:rsidRPr="004848F7" w:rsidRDefault="00D1404A" w:rsidP="00D72B80">
            <w:pPr>
              <w:keepNext/>
              <w:keepLines/>
              <w:rPr>
                <w:u w:val="single"/>
              </w:rPr>
            </w:pPr>
            <w:r w:rsidRPr="004848F7">
              <w:rPr>
                <w:u w:val="single"/>
              </w:rPr>
              <w:lastRenderedPageBreak/>
              <w:t>Productos</w:t>
            </w:r>
          </w:p>
        </w:tc>
        <w:tc>
          <w:tcPr>
            <w:tcW w:w="1559" w:type="dxa"/>
          </w:tcPr>
          <w:p w14:paraId="3C805A25" w14:textId="77777777" w:rsidR="00D1404A" w:rsidRPr="004848F7" w:rsidRDefault="00D1404A" w:rsidP="00D72B80">
            <w:pPr>
              <w:keepNext/>
              <w:keepLines/>
              <w:jc w:val="center"/>
              <w:rPr>
                <w:u w:val="single"/>
              </w:rPr>
            </w:pPr>
            <w:r w:rsidRPr="004848F7">
              <w:rPr>
                <w:u w:val="single"/>
              </w:rPr>
              <w:t>Responsable</w:t>
            </w:r>
          </w:p>
        </w:tc>
        <w:tc>
          <w:tcPr>
            <w:tcW w:w="1406" w:type="dxa"/>
          </w:tcPr>
          <w:p w14:paraId="230F1FE6" w14:textId="77777777" w:rsidR="00D1404A" w:rsidRPr="004848F7" w:rsidRDefault="00D1404A" w:rsidP="00D72B80">
            <w:pPr>
              <w:keepNext/>
              <w:keepLines/>
              <w:jc w:val="right"/>
              <w:rPr>
                <w:u w:val="single"/>
              </w:rPr>
            </w:pPr>
            <w:r w:rsidRPr="004848F7">
              <w:rPr>
                <w:u w:val="single"/>
              </w:rPr>
              <w:t>Plazo</w:t>
            </w:r>
          </w:p>
        </w:tc>
      </w:tr>
      <w:tr w:rsidR="00D1404A" w:rsidRPr="004848F7" w14:paraId="084D70E8" w14:textId="77777777" w:rsidTr="00963071">
        <w:tc>
          <w:tcPr>
            <w:tcW w:w="6096" w:type="dxa"/>
          </w:tcPr>
          <w:p w14:paraId="51378DD5" w14:textId="1EF3E2CF" w:rsidR="00D1404A" w:rsidRPr="004848F7" w:rsidRDefault="00D1404A" w:rsidP="00D72B80">
            <w:pPr>
              <w:keepNext/>
              <w:keepLines/>
              <w:rPr>
                <w:szCs w:val="24"/>
              </w:rPr>
            </w:pPr>
            <w:r w:rsidRPr="004848F7">
              <w:rPr>
                <w:szCs w:val="24"/>
                <w:lang w:eastAsia="zh-CN"/>
              </w:rPr>
              <w:t>1</w:t>
            </w:r>
            <w:r w:rsidR="00D72B80" w:rsidRPr="004848F7">
              <w:rPr>
                <w:szCs w:val="24"/>
                <w:lang w:eastAsia="zh-CN"/>
              </w:rPr>
              <w:t>7</w:t>
            </w:r>
            <w:r w:rsidRPr="004848F7">
              <w:rPr>
                <w:szCs w:val="24"/>
                <w:lang w:eastAsia="zh-CN"/>
              </w:rPr>
              <w:t>.1</w:t>
            </w:r>
            <w:r w:rsidRPr="004848F7">
              <w:rPr>
                <w:szCs w:val="24"/>
                <w:lang w:eastAsia="zh-CN"/>
              </w:rPr>
              <w:tab/>
            </w:r>
            <w:r w:rsidRPr="004848F7">
              <w:rPr>
                <w:color w:val="000000"/>
                <w:szCs w:val="24"/>
                <w:lang w:eastAsia="zh-CN"/>
              </w:rPr>
              <w:t xml:space="preserve">Actividad en varias comunidades de práctica (CoP): </w:t>
            </w:r>
            <w:hyperlink r:id="rId98">
              <w:r w:rsidRPr="004848F7">
                <w:rPr>
                  <w:color w:val="0563C1"/>
                  <w:szCs w:val="24"/>
                  <w:u w:val="single"/>
                  <w:lang w:eastAsia="zh-CN"/>
                </w:rPr>
                <w:t>ONU-SWAP</w:t>
              </w:r>
            </w:hyperlink>
            <w:r w:rsidRPr="004848F7">
              <w:rPr>
                <w:color w:val="000000"/>
                <w:szCs w:val="24"/>
                <w:lang w:eastAsia="zh-CN"/>
              </w:rPr>
              <w:t xml:space="preserve">, </w:t>
            </w:r>
            <w:hyperlink r:id="rId99" w:history="1">
              <w:r w:rsidRPr="004848F7">
                <w:rPr>
                  <w:color w:val="0563C1"/>
                  <w:szCs w:val="24"/>
                  <w:u w:val="single"/>
                  <w:lang w:eastAsia="zh-CN"/>
                </w:rPr>
                <w:t>GEF</w:t>
              </w:r>
            </w:hyperlink>
            <w:r w:rsidRPr="004848F7">
              <w:rPr>
                <w:color w:val="000000"/>
                <w:szCs w:val="24"/>
                <w:lang w:eastAsia="zh-CN"/>
              </w:rPr>
              <w:t xml:space="preserve">, IANWGE, </w:t>
            </w:r>
            <w:hyperlink r:id="rId100" w:history="1">
              <w:r w:rsidRPr="004848F7">
                <w:rPr>
                  <w:color w:val="0563C1"/>
                  <w:szCs w:val="24"/>
                  <w:u w:val="single"/>
                  <w:lang w:eastAsia="zh-CN"/>
                </w:rPr>
                <w:t>IGC</w:t>
              </w:r>
            </w:hyperlink>
          </w:p>
        </w:tc>
        <w:tc>
          <w:tcPr>
            <w:tcW w:w="1559" w:type="dxa"/>
          </w:tcPr>
          <w:p w14:paraId="5B48F753" w14:textId="652E4736" w:rsidR="00D1404A" w:rsidRPr="004848F7" w:rsidRDefault="00D1404A" w:rsidP="00D72B80">
            <w:pPr>
              <w:keepNext/>
              <w:keepLines/>
              <w:jc w:val="center"/>
              <w:rPr>
                <w:szCs w:val="24"/>
              </w:rPr>
            </w:pPr>
            <w:r w:rsidRPr="004848F7">
              <w:rPr>
                <w:szCs w:val="24"/>
              </w:rPr>
              <w:t>SG/SPM</w:t>
            </w:r>
          </w:p>
        </w:tc>
        <w:tc>
          <w:tcPr>
            <w:tcW w:w="1406" w:type="dxa"/>
          </w:tcPr>
          <w:p w14:paraId="194507EB" w14:textId="45BA533C" w:rsidR="00D1404A" w:rsidRPr="004848F7" w:rsidRDefault="00D1404A" w:rsidP="00D72B80">
            <w:pPr>
              <w:keepNext/>
              <w:keepLines/>
              <w:jc w:val="right"/>
              <w:rPr>
                <w:szCs w:val="24"/>
              </w:rPr>
            </w:pPr>
            <w:r w:rsidRPr="004848F7">
              <w:rPr>
                <w:szCs w:val="24"/>
              </w:rPr>
              <w:t>En curso</w:t>
            </w:r>
          </w:p>
        </w:tc>
      </w:tr>
      <w:tr w:rsidR="00D1404A" w:rsidRPr="004848F7" w14:paraId="5C244D81" w14:textId="77777777" w:rsidTr="00963071">
        <w:tc>
          <w:tcPr>
            <w:tcW w:w="6096" w:type="dxa"/>
          </w:tcPr>
          <w:p w14:paraId="1DF1200B" w14:textId="7139024F" w:rsidR="00D1404A" w:rsidRPr="004848F7" w:rsidRDefault="00D1404A" w:rsidP="00963071">
            <w:pPr>
              <w:rPr>
                <w:szCs w:val="24"/>
              </w:rPr>
            </w:pPr>
            <w:r w:rsidRPr="004848F7">
              <w:rPr>
                <w:szCs w:val="24"/>
                <w:lang w:eastAsia="zh-CN"/>
              </w:rPr>
              <w:t>1</w:t>
            </w:r>
            <w:r w:rsidR="00D72B80" w:rsidRPr="004848F7">
              <w:rPr>
                <w:szCs w:val="24"/>
                <w:lang w:eastAsia="zh-CN"/>
              </w:rPr>
              <w:t>7</w:t>
            </w:r>
            <w:r w:rsidRPr="004848F7">
              <w:rPr>
                <w:szCs w:val="24"/>
                <w:lang w:eastAsia="zh-CN"/>
              </w:rPr>
              <w:t>.2</w:t>
            </w:r>
            <w:r w:rsidRPr="004848F7">
              <w:rPr>
                <w:szCs w:val="24"/>
                <w:lang w:eastAsia="zh-CN"/>
              </w:rPr>
              <w:tab/>
              <w:t>Fortalecimiento de asociaciones y de la cooperación mediante formación en análisis de cuestiones de género, EQUALS, GEF</w:t>
            </w:r>
          </w:p>
        </w:tc>
        <w:tc>
          <w:tcPr>
            <w:tcW w:w="1559" w:type="dxa"/>
          </w:tcPr>
          <w:p w14:paraId="4666FC78" w14:textId="0DFC1216" w:rsidR="00D1404A" w:rsidRPr="004848F7" w:rsidRDefault="00D1404A" w:rsidP="00963071">
            <w:pPr>
              <w:jc w:val="center"/>
              <w:rPr>
                <w:szCs w:val="24"/>
              </w:rPr>
            </w:pPr>
            <w:r w:rsidRPr="004848F7">
              <w:rPr>
                <w:szCs w:val="24"/>
              </w:rPr>
              <w:t>SPM/BDT</w:t>
            </w:r>
          </w:p>
        </w:tc>
        <w:tc>
          <w:tcPr>
            <w:tcW w:w="1406" w:type="dxa"/>
          </w:tcPr>
          <w:p w14:paraId="77F06374" w14:textId="0F57DA59" w:rsidR="00D1404A" w:rsidRPr="004848F7" w:rsidRDefault="00D1404A" w:rsidP="00963071">
            <w:pPr>
              <w:jc w:val="right"/>
              <w:rPr>
                <w:szCs w:val="24"/>
              </w:rPr>
            </w:pPr>
            <w:r w:rsidRPr="004848F7">
              <w:rPr>
                <w:szCs w:val="24"/>
              </w:rPr>
              <w:t>En curso</w:t>
            </w:r>
          </w:p>
        </w:tc>
      </w:tr>
      <w:tr w:rsidR="00D1404A" w:rsidRPr="004848F7" w14:paraId="7CFB0B71" w14:textId="77777777" w:rsidTr="00963071">
        <w:tc>
          <w:tcPr>
            <w:tcW w:w="6096" w:type="dxa"/>
          </w:tcPr>
          <w:p w14:paraId="77BE2B25" w14:textId="1C3E8ACA" w:rsidR="00D1404A" w:rsidRPr="004848F7" w:rsidRDefault="00D1404A" w:rsidP="00963071">
            <w:pPr>
              <w:rPr>
                <w:szCs w:val="24"/>
              </w:rPr>
            </w:pPr>
            <w:r w:rsidRPr="004848F7">
              <w:rPr>
                <w:szCs w:val="24"/>
                <w:lang w:eastAsia="zh-CN"/>
              </w:rPr>
              <w:t>1</w:t>
            </w:r>
            <w:r w:rsidR="00D72B80" w:rsidRPr="004848F7">
              <w:rPr>
                <w:szCs w:val="24"/>
                <w:lang w:eastAsia="zh-CN"/>
              </w:rPr>
              <w:t>7</w:t>
            </w:r>
            <w:r w:rsidRPr="004848F7">
              <w:rPr>
                <w:szCs w:val="24"/>
                <w:lang w:eastAsia="zh-CN"/>
              </w:rPr>
              <w:t>.3</w:t>
            </w:r>
            <w:r w:rsidRPr="004848F7">
              <w:rPr>
                <w:szCs w:val="24"/>
                <w:lang w:eastAsia="zh-CN"/>
              </w:rPr>
              <w:tab/>
              <w:t>Apoyo a otras entidades de las Naciones Unidas en la aplicación de indicadores de rendimiento</w:t>
            </w:r>
          </w:p>
        </w:tc>
        <w:tc>
          <w:tcPr>
            <w:tcW w:w="1559" w:type="dxa"/>
          </w:tcPr>
          <w:p w14:paraId="558A301D" w14:textId="3860433A" w:rsidR="00D1404A" w:rsidRPr="004848F7" w:rsidRDefault="00D1404A" w:rsidP="00963071">
            <w:pPr>
              <w:jc w:val="center"/>
              <w:rPr>
                <w:szCs w:val="24"/>
              </w:rPr>
            </w:pPr>
          </w:p>
        </w:tc>
        <w:tc>
          <w:tcPr>
            <w:tcW w:w="1406" w:type="dxa"/>
          </w:tcPr>
          <w:p w14:paraId="3164A42C" w14:textId="77777777" w:rsidR="00D1404A" w:rsidRPr="004848F7" w:rsidRDefault="00D1404A" w:rsidP="00963071">
            <w:pPr>
              <w:jc w:val="right"/>
              <w:rPr>
                <w:szCs w:val="24"/>
              </w:rPr>
            </w:pPr>
          </w:p>
        </w:tc>
      </w:tr>
      <w:tr w:rsidR="00D1404A" w:rsidRPr="004848F7" w14:paraId="73E17786" w14:textId="77777777" w:rsidTr="00963071">
        <w:tc>
          <w:tcPr>
            <w:tcW w:w="6096" w:type="dxa"/>
          </w:tcPr>
          <w:p w14:paraId="45F2D7A0" w14:textId="2BEF0091" w:rsidR="00D1404A" w:rsidRPr="004848F7" w:rsidRDefault="00D1404A" w:rsidP="00963071">
            <w:pPr>
              <w:rPr>
                <w:szCs w:val="24"/>
                <w:lang w:eastAsia="zh-CN"/>
              </w:rPr>
            </w:pPr>
            <w:r w:rsidRPr="004848F7">
              <w:rPr>
                <w:szCs w:val="24"/>
                <w:lang w:eastAsia="zh-CN"/>
              </w:rPr>
              <w:t>1</w:t>
            </w:r>
            <w:r w:rsidR="00D72B80" w:rsidRPr="004848F7">
              <w:rPr>
                <w:szCs w:val="24"/>
                <w:lang w:eastAsia="zh-CN"/>
              </w:rPr>
              <w:t>7</w:t>
            </w:r>
            <w:r w:rsidRPr="004848F7">
              <w:rPr>
                <w:szCs w:val="24"/>
                <w:lang w:eastAsia="zh-CN"/>
              </w:rPr>
              <w:t>.4</w:t>
            </w:r>
            <w:r w:rsidRPr="004848F7">
              <w:rPr>
                <w:szCs w:val="24"/>
                <w:lang w:eastAsia="zh-CN"/>
              </w:rPr>
              <w:tab/>
              <w:t>Revisión por pares del ONU-SWAP cada 5 años (la última en 2022)</w:t>
            </w:r>
          </w:p>
        </w:tc>
        <w:tc>
          <w:tcPr>
            <w:tcW w:w="1559" w:type="dxa"/>
          </w:tcPr>
          <w:p w14:paraId="1046EC6B" w14:textId="75374893" w:rsidR="00D1404A" w:rsidRPr="004848F7" w:rsidRDefault="00D1404A" w:rsidP="00963071">
            <w:pPr>
              <w:jc w:val="center"/>
              <w:rPr>
                <w:szCs w:val="24"/>
              </w:rPr>
            </w:pPr>
            <w:r w:rsidRPr="004848F7">
              <w:rPr>
                <w:szCs w:val="24"/>
              </w:rPr>
              <w:t>SPM</w:t>
            </w:r>
          </w:p>
        </w:tc>
        <w:tc>
          <w:tcPr>
            <w:tcW w:w="1406" w:type="dxa"/>
          </w:tcPr>
          <w:p w14:paraId="0BE88FCE" w14:textId="4526260D" w:rsidR="00D1404A" w:rsidRPr="004848F7" w:rsidRDefault="00D1404A" w:rsidP="00963071">
            <w:pPr>
              <w:jc w:val="right"/>
              <w:rPr>
                <w:szCs w:val="24"/>
              </w:rPr>
            </w:pPr>
            <w:r w:rsidRPr="004848F7">
              <w:rPr>
                <w:szCs w:val="24"/>
              </w:rPr>
              <w:t>2027</w:t>
            </w:r>
          </w:p>
        </w:tc>
      </w:tr>
    </w:tbl>
    <w:p w14:paraId="7D52AB68" w14:textId="77777777" w:rsidR="00EE76D1" w:rsidRPr="004848F7" w:rsidRDefault="00EE76D1" w:rsidP="008B7B92">
      <w:pPr>
        <w:pStyle w:val="Headingi"/>
        <w:rPr>
          <w:b/>
          <w:bCs/>
        </w:rPr>
      </w:pPr>
      <w:r w:rsidRPr="004848F7">
        <w:rPr>
          <w:b/>
          <w:bCs/>
        </w:rPr>
        <w:t>Evolución del cumplimiento del ONU-SWAP por la UIT:</w:t>
      </w:r>
    </w:p>
    <w:p w14:paraId="6786B176" w14:textId="1D9F2E58" w:rsidR="00EE76D1" w:rsidRPr="004848F7" w:rsidRDefault="000805D5" w:rsidP="00D72B80">
      <w:pPr>
        <w:ind w:left="-709"/>
        <w:rPr>
          <w:sz w:val="20"/>
        </w:rPr>
      </w:pPr>
      <w:r w:rsidRPr="004848F7">
        <w:drawing>
          <wp:inline distT="0" distB="0" distL="0" distR="0" wp14:anchorId="6DFBB3CD" wp14:editId="68B1E137">
            <wp:extent cx="6686093" cy="53040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696534" cy="5312343"/>
                    </a:xfrm>
                    <a:prstGeom prst="rect">
                      <a:avLst/>
                    </a:prstGeom>
                    <a:noFill/>
                    <a:ln>
                      <a:noFill/>
                    </a:ln>
                  </pic:spPr>
                </pic:pic>
              </a:graphicData>
            </a:graphic>
          </wp:inline>
        </w:drawing>
      </w:r>
    </w:p>
    <w:p w14:paraId="3552DF4C" w14:textId="77777777" w:rsidR="00EE76D1" w:rsidRPr="004848F7" w:rsidRDefault="00EE76D1" w:rsidP="00EE76D1">
      <w:pPr>
        <w:tabs>
          <w:tab w:val="clear" w:pos="567"/>
          <w:tab w:val="clear" w:pos="1134"/>
          <w:tab w:val="clear" w:pos="1701"/>
          <w:tab w:val="clear" w:pos="2268"/>
          <w:tab w:val="clear" w:pos="2835"/>
        </w:tabs>
        <w:overflowPunct/>
        <w:autoSpaceDE/>
        <w:autoSpaceDN/>
        <w:adjustRightInd/>
        <w:spacing w:before="0"/>
        <w:textAlignment w:val="auto"/>
        <w:rPr>
          <w:b/>
          <w:bCs/>
          <w:i/>
          <w:color w:val="000000"/>
          <w:sz w:val="22"/>
          <w:szCs w:val="22"/>
        </w:rPr>
      </w:pPr>
      <w:r w:rsidRPr="004848F7">
        <w:rPr>
          <w:b/>
          <w:bCs/>
          <w:i/>
          <w:color w:val="000000"/>
          <w:sz w:val="22"/>
          <w:szCs w:val="22"/>
        </w:rPr>
        <w:br w:type="page"/>
      </w:r>
    </w:p>
    <w:p w14:paraId="79E4EAFD" w14:textId="07D7F507" w:rsidR="00EE76D1" w:rsidRPr="004848F7" w:rsidRDefault="00EE76D1" w:rsidP="008B7B92">
      <w:pPr>
        <w:pStyle w:val="Headingi"/>
        <w:rPr>
          <w:b/>
          <w:bCs/>
          <w:iCs/>
        </w:rPr>
      </w:pPr>
      <w:r w:rsidRPr="004848F7">
        <w:rPr>
          <w:b/>
          <w:bCs/>
          <w:iCs/>
        </w:rPr>
        <w:lastRenderedPageBreak/>
        <w:t>Baremo de eficacia de los resultados en función del género (GRES):</w:t>
      </w:r>
    </w:p>
    <w:p w14:paraId="5E17EA16" w14:textId="662FEAFF" w:rsidR="00EE76D1" w:rsidRPr="004848F7" w:rsidRDefault="008B7B92" w:rsidP="008B7B92">
      <w:pPr>
        <w:tabs>
          <w:tab w:val="left" w:pos="426"/>
          <w:tab w:val="center" w:pos="5387"/>
        </w:tabs>
        <w:rPr>
          <w:iCs/>
          <w:color w:val="000000"/>
          <w:sz w:val="22"/>
          <w:szCs w:val="22"/>
        </w:rPr>
      </w:pPr>
      <w:r w:rsidRPr="004848F7">
        <w:rPr>
          <w:rFonts w:asciiTheme="minorHAnsi" w:hAnsiTheme="minorHAnsi" w:cstheme="minorHAnsi"/>
          <w:iCs/>
          <w:noProof/>
          <w:szCs w:val="24"/>
        </w:rPr>
        <w:drawing>
          <wp:inline distT="0" distB="0" distL="0" distR="0" wp14:anchorId="575729A1" wp14:editId="733D6F64">
            <wp:extent cx="5760085" cy="33762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5760085" cy="3376295"/>
                    </a:xfrm>
                    <a:prstGeom prst="rect">
                      <a:avLst/>
                    </a:prstGeom>
                  </pic:spPr>
                </pic:pic>
              </a:graphicData>
            </a:graphic>
          </wp:inline>
        </w:drawing>
      </w:r>
    </w:p>
    <w:p w14:paraId="081C6162" w14:textId="77777777" w:rsidR="008B7B92" w:rsidRPr="004848F7" w:rsidRDefault="008B7B92" w:rsidP="008B7B92">
      <w:pPr>
        <w:pStyle w:val="Reasons"/>
      </w:pPr>
    </w:p>
    <w:p w14:paraId="58F43063" w14:textId="34B53025" w:rsidR="00927F93" w:rsidRPr="004848F7" w:rsidRDefault="008B7B92" w:rsidP="008B7B92">
      <w:pPr>
        <w:jc w:val="center"/>
      </w:pPr>
      <w:r w:rsidRPr="004848F7">
        <w:t>______________</w:t>
      </w:r>
    </w:p>
    <w:sectPr w:rsidR="00927F93" w:rsidRPr="004848F7" w:rsidSect="00C538FC">
      <w:footerReference w:type="default" r:id="rId103"/>
      <w:headerReference w:type="first" r:id="rId104"/>
      <w:footerReference w:type="first" r:id="rId10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76D1" w:rsidRPr="00784011" w14:paraId="632C6AD5" w14:textId="77777777" w:rsidTr="00281540">
      <w:trPr>
        <w:jc w:val="center"/>
      </w:trPr>
      <w:tc>
        <w:tcPr>
          <w:tcW w:w="1803" w:type="dxa"/>
          <w:vAlign w:val="center"/>
        </w:tcPr>
        <w:p w14:paraId="4BF7A915" w14:textId="4E33E803" w:rsidR="00EE76D1" w:rsidRDefault="00761847" w:rsidP="00EE49E8">
          <w:pPr>
            <w:pStyle w:val="Header"/>
            <w:jc w:val="left"/>
            <w:rPr>
              <w:noProof/>
            </w:rPr>
          </w:pPr>
          <w:r>
            <w:rPr>
              <w:noProof/>
            </w:rPr>
            <w:t>DPS 2400680</w:t>
          </w:r>
        </w:p>
      </w:tc>
      <w:tc>
        <w:tcPr>
          <w:tcW w:w="8261" w:type="dxa"/>
        </w:tcPr>
        <w:p w14:paraId="771E5EEC" w14:textId="67A39508" w:rsidR="00EE76D1" w:rsidRDefault="00EE76D1">
          <w:pPr>
            <w:pStyle w:val="Header"/>
            <w:tabs>
              <w:tab w:val="left" w:pos="7070"/>
              <w:tab w:val="right" w:pos="8505"/>
              <w:tab w:val="right" w:pos="9639"/>
            </w:tabs>
            <w:jc w:val="left"/>
            <w:rPr>
              <w:rFonts w:ascii="Arial" w:hAnsi="Arial" w:cs="Arial"/>
              <w:b/>
              <w:bCs/>
              <w:szCs w:val="18"/>
            </w:rPr>
          </w:pPr>
          <w:r>
            <w:rPr>
              <w:bCs/>
            </w:rPr>
            <w:tab/>
          </w:r>
          <w:r w:rsidRPr="00623AE3">
            <w:rPr>
              <w:bCs/>
            </w:rPr>
            <w:t>C24/6-</w:t>
          </w:r>
          <w:r w:rsidR="00761847">
            <w:rPr>
              <w:bCs/>
            </w:rPr>
            <w:t>S</w:t>
          </w:r>
          <w:r>
            <w:rPr>
              <w:bCs/>
            </w:rPr>
            <w:tab/>
          </w:r>
          <w:r>
            <w:fldChar w:fldCharType="begin"/>
          </w:r>
          <w:r>
            <w:instrText>PAGE</w:instrText>
          </w:r>
          <w:r>
            <w:fldChar w:fldCharType="separate"/>
          </w:r>
          <w:r>
            <w:t>1</w:t>
          </w:r>
          <w:r>
            <w:rPr>
              <w:noProof/>
            </w:rPr>
            <w:fldChar w:fldCharType="end"/>
          </w:r>
        </w:p>
      </w:tc>
    </w:tr>
  </w:tbl>
  <w:p w14:paraId="3A0B6B2F" w14:textId="22313D99" w:rsidR="00EE76D1" w:rsidRPr="00761847" w:rsidRDefault="00761847" w:rsidP="00761847">
    <w:pPr>
      <w:pStyle w:val="Footer"/>
      <w:rPr>
        <w:szCs w:val="18"/>
        <w:lang w:val="en-GB"/>
      </w:rPr>
    </w:pPr>
    <w:r w:rsidRPr="008203F3">
      <w:rPr>
        <w:szCs w:val="18"/>
        <w:lang w:val="fr-CH"/>
      </w:rPr>
      <w:fldChar w:fldCharType="begin"/>
    </w:r>
    <w:r w:rsidRPr="00761847">
      <w:rPr>
        <w:szCs w:val="18"/>
        <w:lang w:val="en-GB"/>
      </w:rPr>
      <w:instrText xml:space="preserve"> FILENAME \p \* MERGEFORMAT </w:instrText>
    </w:r>
    <w:r w:rsidRPr="008203F3">
      <w:rPr>
        <w:szCs w:val="18"/>
        <w:lang w:val="fr-CH"/>
      </w:rPr>
      <w:fldChar w:fldCharType="separate"/>
    </w:r>
    <w:r>
      <w:rPr>
        <w:szCs w:val="18"/>
        <w:lang w:val="en-GB"/>
      </w:rPr>
      <w:t>P:</w:t>
    </w:r>
    <w:r w:rsidRPr="00761847">
      <w:rPr>
        <w:szCs w:val="18"/>
        <w:lang w:val="en-GB"/>
      </w:rPr>
      <w:t>\ESP\gDocs\2024\2400680S.docx</w:t>
    </w:r>
    <w:r w:rsidRPr="008203F3">
      <w:rPr>
        <w:szCs w:val="18"/>
        <w:lang w:val="fr-CH"/>
      </w:rPr>
      <w:fldChar w:fldCharType="end"/>
    </w:r>
    <w:r w:rsidRPr="00761847">
      <w:rPr>
        <w:szCs w:val="18"/>
        <w:lang w:val="en-GB"/>
      </w:rPr>
      <w:t xml:space="preserve"> (</w:t>
    </w:r>
    <w:r>
      <w:rPr>
        <w:szCs w:val="18"/>
        <w:lang w:val="en-GB"/>
      </w:rPr>
      <w:t>2400680</w:t>
    </w:r>
    <w:r w:rsidRPr="00761847">
      <w:rPr>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76D1" w:rsidRPr="00784011" w14:paraId="79523EBB" w14:textId="77777777" w:rsidTr="00EE49E8">
      <w:trPr>
        <w:jc w:val="center"/>
      </w:trPr>
      <w:tc>
        <w:tcPr>
          <w:tcW w:w="1803" w:type="dxa"/>
          <w:vAlign w:val="center"/>
        </w:tcPr>
        <w:p w14:paraId="6570BF37" w14:textId="77777777" w:rsidR="00EE76D1" w:rsidRDefault="004848F7">
          <w:pPr>
            <w:pStyle w:val="Header"/>
            <w:jc w:val="left"/>
            <w:rPr>
              <w:noProof/>
            </w:rPr>
          </w:pPr>
          <w:hyperlink r:id="rId1" w:history="1">
            <w:r w:rsidR="00EE76D1" w:rsidRPr="00A514A4">
              <w:rPr>
                <w:rStyle w:val="Hyperlink"/>
                <w:szCs w:val="14"/>
              </w:rPr>
              <w:t>www.itu.int/council</w:t>
            </w:r>
          </w:hyperlink>
        </w:p>
      </w:tc>
      <w:tc>
        <w:tcPr>
          <w:tcW w:w="8261" w:type="dxa"/>
        </w:tcPr>
        <w:p w14:paraId="31648BC1" w14:textId="4482C7DE" w:rsidR="00EE76D1" w:rsidRDefault="00EE76D1">
          <w:pPr>
            <w:pStyle w:val="Header"/>
            <w:tabs>
              <w:tab w:val="left" w:pos="7070"/>
              <w:tab w:val="right" w:pos="8505"/>
              <w:tab w:val="right" w:pos="9639"/>
            </w:tabs>
            <w:jc w:val="left"/>
            <w:rPr>
              <w:rFonts w:ascii="Arial" w:hAnsi="Arial" w:cs="Arial"/>
              <w:b/>
              <w:bCs/>
              <w:szCs w:val="18"/>
            </w:rPr>
          </w:pPr>
          <w:r>
            <w:rPr>
              <w:bCs/>
            </w:rPr>
            <w:tab/>
          </w:r>
          <w:r w:rsidRPr="00623AE3">
            <w:rPr>
              <w:bCs/>
            </w:rPr>
            <w:t>C24/6-</w:t>
          </w:r>
          <w:r w:rsidR="00761847">
            <w:rPr>
              <w:bCs/>
            </w:rPr>
            <w:t>S</w:t>
          </w:r>
          <w:r>
            <w:rPr>
              <w:bCs/>
            </w:rPr>
            <w:tab/>
          </w:r>
          <w:r>
            <w:fldChar w:fldCharType="begin"/>
          </w:r>
          <w:r>
            <w:instrText>PAGE</w:instrText>
          </w:r>
          <w:r>
            <w:fldChar w:fldCharType="separate"/>
          </w:r>
          <w:r>
            <w:t>1</w:t>
          </w:r>
          <w:r>
            <w:rPr>
              <w:noProof/>
            </w:rPr>
            <w:fldChar w:fldCharType="end"/>
          </w:r>
        </w:p>
      </w:tc>
    </w:tr>
  </w:tbl>
  <w:p w14:paraId="633D810B" w14:textId="5F415F6A" w:rsidR="00EE76D1" w:rsidRPr="00761847" w:rsidRDefault="00761847" w:rsidP="00761847">
    <w:pPr>
      <w:pStyle w:val="Footer"/>
      <w:rPr>
        <w:szCs w:val="18"/>
        <w:lang w:val="en-GB"/>
      </w:rPr>
    </w:pPr>
    <w:r w:rsidRPr="008203F3">
      <w:rPr>
        <w:szCs w:val="18"/>
        <w:lang w:val="fr-CH"/>
      </w:rPr>
      <w:fldChar w:fldCharType="begin"/>
    </w:r>
    <w:r w:rsidRPr="00761847">
      <w:rPr>
        <w:szCs w:val="18"/>
        <w:lang w:val="en-GB"/>
      </w:rPr>
      <w:instrText xml:space="preserve"> FILENAME \p \* MERGEFORMAT </w:instrText>
    </w:r>
    <w:r w:rsidRPr="008203F3">
      <w:rPr>
        <w:szCs w:val="18"/>
        <w:lang w:val="fr-CH"/>
      </w:rPr>
      <w:fldChar w:fldCharType="separate"/>
    </w:r>
    <w:r>
      <w:rPr>
        <w:szCs w:val="18"/>
        <w:lang w:val="en-GB"/>
      </w:rPr>
      <w:t>P:</w:t>
    </w:r>
    <w:r w:rsidRPr="00761847">
      <w:rPr>
        <w:szCs w:val="18"/>
        <w:lang w:val="en-GB"/>
      </w:rPr>
      <w:t>\ESP\gDocs\2024\2400680S.docx</w:t>
    </w:r>
    <w:r w:rsidRPr="008203F3">
      <w:rPr>
        <w:szCs w:val="18"/>
        <w:lang w:val="fr-CH"/>
      </w:rPr>
      <w:fldChar w:fldCharType="end"/>
    </w:r>
    <w:r w:rsidRPr="00761847">
      <w:rPr>
        <w:szCs w:val="18"/>
        <w:lang w:val="en-GB"/>
      </w:rPr>
      <w:t xml:space="preserve"> (</w:t>
    </w:r>
    <w:r>
      <w:rPr>
        <w:szCs w:val="18"/>
        <w:lang w:val="en-GB"/>
      </w:rPr>
      <w:t>2400680</w:t>
    </w:r>
    <w:r w:rsidRPr="00761847">
      <w:rPr>
        <w:szCs w:val="18"/>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DDACC48" w:rsidR="003273A4" w:rsidRDefault="003273A4" w:rsidP="003273A4">
          <w:pPr>
            <w:pStyle w:val="Header"/>
            <w:jc w:val="left"/>
            <w:rPr>
              <w:noProof/>
            </w:rPr>
          </w:pPr>
          <w:r>
            <w:rPr>
              <w:noProof/>
            </w:rPr>
            <w:t xml:space="preserve">DPS </w:t>
          </w:r>
          <w:r w:rsidR="00761847">
            <w:rPr>
              <w:noProof/>
            </w:rPr>
            <w:t>2400680</w:t>
          </w:r>
        </w:p>
      </w:tc>
      <w:tc>
        <w:tcPr>
          <w:tcW w:w="8261" w:type="dxa"/>
        </w:tcPr>
        <w:p w14:paraId="31328314" w14:textId="5BB4E85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761847">
            <w:rPr>
              <w:bCs/>
            </w:rPr>
            <w:t>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9F52AD6" w14:textId="77777777" w:rsidR="00761847" w:rsidRPr="00761847" w:rsidRDefault="00761847" w:rsidP="00761847">
    <w:pPr>
      <w:pStyle w:val="Footer"/>
      <w:rPr>
        <w:szCs w:val="18"/>
        <w:lang w:val="en-GB"/>
      </w:rPr>
    </w:pPr>
    <w:r w:rsidRPr="008203F3">
      <w:rPr>
        <w:szCs w:val="18"/>
        <w:lang w:val="fr-CH"/>
      </w:rPr>
      <w:fldChar w:fldCharType="begin"/>
    </w:r>
    <w:r w:rsidRPr="00761847">
      <w:rPr>
        <w:szCs w:val="18"/>
        <w:lang w:val="en-GB"/>
      </w:rPr>
      <w:instrText xml:space="preserve"> FILENAME \p \* MERGEFORMAT </w:instrText>
    </w:r>
    <w:r w:rsidRPr="008203F3">
      <w:rPr>
        <w:szCs w:val="18"/>
        <w:lang w:val="fr-CH"/>
      </w:rPr>
      <w:fldChar w:fldCharType="separate"/>
    </w:r>
    <w:r>
      <w:rPr>
        <w:szCs w:val="18"/>
        <w:lang w:val="en-GB"/>
      </w:rPr>
      <w:t>P:</w:t>
    </w:r>
    <w:r w:rsidRPr="00761847">
      <w:rPr>
        <w:szCs w:val="18"/>
        <w:lang w:val="en-GB"/>
      </w:rPr>
      <w:t>\ESP\gDocs\2024\2400680S.docx</w:t>
    </w:r>
    <w:r w:rsidRPr="008203F3">
      <w:rPr>
        <w:szCs w:val="18"/>
        <w:lang w:val="fr-CH"/>
      </w:rPr>
      <w:fldChar w:fldCharType="end"/>
    </w:r>
    <w:r w:rsidRPr="00761847">
      <w:rPr>
        <w:szCs w:val="18"/>
        <w:lang w:val="en-GB"/>
      </w:rPr>
      <w:t xml:space="preserve"> (</w:t>
    </w:r>
    <w:r>
      <w:rPr>
        <w:szCs w:val="18"/>
        <w:lang w:val="en-GB"/>
      </w:rPr>
      <w:t>2400680</w:t>
    </w:r>
    <w:r w:rsidRPr="00761847">
      <w:rPr>
        <w:szCs w:val="18"/>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61847" w14:paraId="4A8F164E" w14:textId="77777777" w:rsidTr="00E31DCE">
      <w:trPr>
        <w:jc w:val="center"/>
      </w:trPr>
      <w:tc>
        <w:tcPr>
          <w:tcW w:w="1803" w:type="dxa"/>
          <w:vAlign w:val="center"/>
        </w:tcPr>
        <w:p w14:paraId="00FA64BD" w14:textId="4DDA6D6F" w:rsidR="00F24B71" w:rsidRPr="00761847" w:rsidRDefault="00761847" w:rsidP="00F24B71">
          <w:pPr>
            <w:pStyle w:val="Header"/>
            <w:jc w:val="left"/>
            <w:rPr>
              <w:noProof/>
            </w:rPr>
          </w:pPr>
          <w:r w:rsidRPr="00761847">
            <w:rPr>
              <w:szCs w:val="14"/>
            </w:rPr>
            <w:t>DPS 2400680</w:t>
          </w:r>
        </w:p>
      </w:tc>
      <w:tc>
        <w:tcPr>
          <w:tcW w:w="8261" w:type="dxa"/>
        </w:tcPr>
        <w:p w14:paraId="20F74E99" w14:textId="74E0D6CC" w:rsidR="00F24B71" w:rsidRPr="00761847" w:rsidRDefault="00F24B71" w:rsidP="00F24B71">
          <w:pPr>
            <w:pStyle w:val="Header"/>
            <w:tabs>
              <w:tab w:val="left" w:pos="7070"/>
              <w:tab w:val="right" w:pos="8505"/>
              <w:tab w:val="right" w:pos="9639"/>
            </w:tabs>
            <w:jc w:val="left"/>
            <w:rPr>
              <w:rFonts w:ascii="Arial" w:hAnsi="Arial" w:cs="Arial"/>
              <w:b/>
              <w:bCs/>
              <w:szCs w:val="18"/>
            </w:rPr>
          </w:pPr>
          <w:r w:rsidRPr="00761847">
            <w:rPr>
              <w:bCs/>
            </w:rPr>
            <w:tab/>
            <w:t>C2</w:t>
          </w:r>
          <w:r w:rsidR="0064481D" w:rsidRPr="00761847">
            <w:rPr>
              <w:bCs/>
            </w:rPr>
            <w:t>4</w:t>
          </w:r>
          <w:r w:rsidRPr="00761847">
            <w:rPr>
              <w:bCs/>
            </w:rPr>
            <w:t>/</w:t>
          </w:r>
          <w:r w:rsidR="00761847">
            <w:rPr>
              <w:bCs/>
            </w:rPr>
            <w:t>6</w:t>
          </w:r>
          <w:r w:rsidRPr="00761847">
            <w:rPr>
              <w:bCs/>
            </w:rPr>
            <w:t>-</w:t>
          </w:r>
          <w:r w:rsidR="003273A4" w:rsidRPr="00761847">
            <w:rPr>
              <w:bCs/>
            </w:rPr>
            <w:t>S</w:t>
          </w:r>
          <w:r w:rsidRPr="00761847">
            <w:rPr>
              <w:bCs/>
            </w:rPr>
            <w:tab/>
          </w:r>
          <w:r w:rsidRPr="00761847">
            <w:fldChar w:fldCharType="begin"/>
          </w:r>
          <w:r w:rsidRPr="00761847">
            <w:instrText>PAGE</w:instrText>
          </w:r>
          <w:r w:rsidRPr="00761847">
            <w:fldChar w:fldCharType="separate"/>
          </w:r>
          <w:r w:rsidRPr="00761847">
            <w:t>1</w:t>
          </w:r>
          <w:r w:rsidRPr="00761847">
            <w:rPr>
              <w:noProof/>
            </w:rPr>
            <w:fldChar w:fldCharType="end"/>
          </w:r>
        </w:p>
      </w:tc>
    </w:tr>
  </w:tbl>
  <w:p w14:paraId="6E5781B1" w14:textId="7924F5C3" w:rsidR="00760F1C" w:rsidRPr="00761847" w:rsidRDefault="00761847" w:rsidP="00F24B71">
    <w:pPr>
      <w:pStyle w:val="Footer"/>
      <w:rPr>
        <w:szCs w:val="18"/>
        <w:lang w:val="en-GB"/>
      </w:rPr>
    </w:pPr>
    <w:r w:rsidRPr="008203F3">
      <w:rPr>
        <w:szCs w:val="18"/>
        <w:lang w:val="fr-CH"/>
      </w:rPr>
      <w:fldChar w:fldCharType="begin"/>
    </w:r>
    <w:r w:rsidRPr="00761847">
      <w:rPr>
        <w:szCs w:val="18"/>
        <w:lang w:val="en-GB"/>
      </w:rPr>
      <w:instrText xml:space="preserve"> FILENAME \p \* MERGEFORMAT </w:instrText>
    </w:r>
    <w:r w:rsidRPr="008203F3">
      <w:rPr>
        <w:szCs w:val="18"/>
        <w:lang w:val="fr-CH"/>
      </w:rPr>
      <w:fldChar w:fldCharType="separate"/>
    </w:r>
    <w:r>
      <w:rPr>
        <w:szCs w:val="18"/>
        <w:lang w:val="en-GB"/>
      </w:rPr>
      <w:t>P:</w:t>
    </w:r>
    <w:r w:rsidRPr="00761847">
      <w:rPr>
        <w:szCs w:val="18"/>
        <w:lang w:val="en-GB"/>
      </w:rPr>
      <w:t>\ESP\gDocs\2024\2400680S.docx</w:t>
    </w:r>
    <w:r w:rsidRPr="008203F3">
      <w:rPr>
        <w:szCs w:val="18"/>
        <w:lang w:val="fr-CH"/>
      </w:rPr>
      <w:fldChar w:fldCharType="end"/>
    </w:r>
    <w:r w:rsidRPr="00761847">
      <w:rPr>
        <w:szCs w:val="18"/>
        <w:lang w:val="en-GB"/>
      </w:rPr>
      <w:t xml:space="preserve"> (</w:t>
    </w:r>
    <w:r>
      <w:rPr>
        <w:szCs w:val="18"/>
        <w:lang w:val="en-GB"/>
      </w:rPr>
      <w:t>2400680</w:t>
    </w:r>
    <w:r w:rsidRPr="00761847">
      <w:rPr>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10DE4599" w14:textId="5DE836A5" w:rsidR="00EE76D1" w:rsidRPr="00EE76D1" w:rsidRDefault="00EE76D1">
      <w:pPr>
        <w:pStyle w:val="FootnoteText"/>
        <w:rPr>
          <w:lang w:val="es-ES"/>
        </w:rPr>
      </w:pPr>
      <w:r>
        <w:rPr>
          <w:rStyle w:val="FootnoteReference"/>
        </w:rPr>
        <w:footnoteRef/>
      </w:r>
      <w:r>
        <w:tab/>
      </w:r>
      <w:hyperlink r:id="rId1" w:history="1">
        <w:r w:rsidRPr="00EE76D1">
          <w:rPr>
            <w:rStyle w:val="Hyperlink"/>
          </w:rPr>
          <w:t>Constitución de la UIT</w:t>
        </w:r>
      </w:hyperlink>
      <w:r w:rsidRPr="00EE76D1">
        <w:t>, Artículo 1 d.</w:t>
      </w:r>
    </w:p>
  </w:footnote>
  <w:footnote w:id="2">
    <w:p w14:paraId="6A399E2D" w14:textId="0242BA60" w:rsidR="00EE76D1" w:rsidRPr="00EE76D1" w:rsidRDefault="00EE76D1">
      <w:pPr>
        <w:pStyle w:val="FootnoteText"/>
        <w:rPr>
          <w:lang w:val="es-ES"/>
        </w:rPr>
      </w:pPr>
      <w:r>
        <w:rPr>
          <w:rStyle w:val="FootnoteReference"/>
        </w:rPr>
        <w:footnoteRef/>
      </w:r>
      <w:r>
        <w:tab/>
      </w:r>
      <w:hyperlink w:history="1">
        <w:r w:rsidR="002D7C34" w:rsidRPr="002D7C34">
          <w:rPr>
            <w:rStyle w:val="Hyperlink"/>
            <w:szCs w:val="24"/>
            <w:lang w:val="es-ES"/>
          </w:rPr>
          <w:t>Resultados de los informes ONU-SWAP de 2013</w:t>
        </w:r>
      </w:hyperlink>
      <w:r w:rsidRPr="00EE76D1">
        <w:t xml:space="preserve"> en </w:t>
      </w:r>
      <w:hyperlink r:id="rId2" w:history="1">
        <w:r w:rsidRPr="00971343">
          <w:rPr>
            <w:rStyle w:val="Hyperlink"/>
          </w:rPr>
          <w:t>www.itu.int/genderdashboard</w:t>
        </w:r>
      </w:hyperlink>
      <w:r>
        <w:t>.</w:t>
      </w:r>
    </w:p>
  </w:footnote>
  <w:footnote w:id="3">
    <w:p w14:paraId="70B0DC13" w14:textId="7C2182ED" w:rsidR="00EE76D1" w:rsidRPr="00F257BD" w:rsidRDefault="00EE76D1" w:rsidP="00EE76D1">
      <w:pPr>
        <w:pStyle w:val="FootnoteText"/>
        <w:spacing w:before="0"/>
        <w:rPr>
          <w:lang w:val="es-ES"/>
        </w:rPr>
      </w:pPr>
    </w:p>
  </w:footnote>
  <w:footnote w:id="4">
    <w:p w14:paraId="5EDE457F" w14:textId="69BE0463" w:rsidR="004475C7" w:rsidRPr="004475C7" w:rsidRDefault="004475C7">
      <w:pPr>
        <w:pStyle w:val="FootnoteText"/>
        <w:rPr>
          <w:lang w:val="es-ES"/>
        </w:rPr>
      </w:pPr>
      <w:r w:rsidRPr="004475C7">
        <w:rPr>
          <w:rStyle w:val="FootnoteReference"/>
          <w:lang w:val="es-ES"/>
        </w:rPr>
        <w:t>1</w:t>
      </w:r>
      <w:r w:rsidRPr="004475C7">
        <w:rPr>
          <w:lang w:val="es-ES"/>
        </w:rPr>
        <w:tab/>
        <w:t>Resolución 70 de la PP (Incorporación de cuestiones de género); Resolución 55 del UIT-D; Resolución 55 del UIT-T; Resolución 72 del UIT-R, Resolución 213 de la UIT, Resolución 48 de la UIT, Propuesta C23/76 de varios países para el empoderamiento y la inclusión de la mujer en las actividades de la Unión, Acuerdo 631 del Consejo de la UIT.</w:t>
      </w:r>
    </w:p>
  </w:footnote>
  <w:footnote w:id="5">
    <w:p w14:paraId="5F59A570" w14:textId="1277D384" w:rsidR="004475C7" w:rsidRPr="00577EFD" w:rsidRDefault="004475C7">
      <w:pPr>
        <w:pStyle w:val="FootnoteText"/>
        <w:rPr>
          <w:lang w:val="es-ES"/>
        </w:rPr>
      </w:pPr>
      <w:r w:rsidRPr="00577EFD">
        <w:rPr>
          <w:rStyle w:val="FootnoteReference"/>
          <w:lang w:val="es-ES"/>
        </w:rPr>
        <w:t>2</w:t>
      </w:r>
      <w:r w:rsidRPr="00577EFD">
        <w:rPr>
          <w:lang w:val="es-ES"/>
        </w:rPr>
        <w:tab/>
      </w:r>
      <w:hyperlink r:id="rId3" w:history="1">
        <w:r w:rsidRPr="00577EFD">
          <w:rPr>
            <w:rStyle w:val="Hyperlink"/>
            <w:lang w:val="es-ES"/>
          </w:rPr>
          <w:t>https://www.itu.int/md/S22-CL-C-0006</w:t>
        </w:r>
      </w:hyperlink>
    </w:p>
  </w:footnote>
  <w:footnote w:id="6">
    <w:p w14:paraId="1083BE8E" w14:textId="428AFE92" w:rsidR="004475C7" w:rsidRPr="004475C7" w:rsidRDefault="004475C7">
      <w:pPr>
        <w:pStyle w:val="FootnoteText"/>
        <w:rPr>
          <w:lang w:val="es-ES"/>
        </w:rPr>
      </w:pPr>
      <w:r>
        <w:rPr>
          <w:rStyle w:val="FootnoteReference"/>
        </w:rPr>
        <w:t>3</w:t>
      </w:r>
      <w:r>
        <w:tab/>
        <w:t>Resolución 70</w:t>
      </w:r>
    </w:p>
  </w:footnote>
  <w:footnote w:id="7">
    <w:p w14:paraId="6B5AEAD7" w14:textId="4B269D0E" w:rsidR="008A56E1" w:rsidRPr="008A56E1" w:rsidRDefault="008A56E1">
      <w:pPr>
        <w:pStyle w:val="FootnoteText"/>
        <w:rPr>
          <w:lang w:val="es-ES"/>
        </w:rPr>
      </w:pPr>
      <w:r>
        <w:rPr>
          <w:rStyle w:val="FootnoteReference"/>
        </w:rPr>
        <w:t>4</w:t>
      </w:r>
      <w:r>
        <w:tab/>
      </w:r>
      <w:r w:rsidRPr="009F592D">
        <w:t>En 2024, la UIT llevará a cabo un proyecto piloto para incorporar cuestiones de género a la evaluación de los proyectos ejecutados por la Oficina de Desarrollo de las Telecomunicaciones de la UIT. Las conclusiones que se extraigan en el proyecto piloto se tendrán en cuenta ulteriormente en el marco de la futura función de evaluación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E76D1" w:rsidRPr="00784011" w14:paraId="67CAC6DA" w14:textId="77777777" w:rsidTr="00281540">
      <w:trPr>
        <w:trHeight w:val="1104"/>
        <w:jc w:val="center"/>
      </w:trPr>
      <w:tc>
        <w:tcPr>
          <w:tcW w:w="4390" w:type="dxa"/>
          <w:vAlign w:val="center"/>
        </w:tcPr>
        <w:p w14:paraId="3B125B5D" w14:textId="77777777" w:rsidR="00EE76D1" w:rsidRPr="009621F8" w:rsidRDefault="00EE76D1" w:rsidP="00AD3606">
          <w:pPr>
            <w:pStyle w:val="Header"/>
            <w:jc w:val="left"/>
            <w:rPr>
              <w:rFonts w:ascii="Arial" w:hAnsi="Arial" w:cs="Arial"/>
              <w:b/>
              <w:bCs/>
              <w:color w:val="009CD6"/>
              <w:sz w:val="36"/>
              <w:szCs w:val="36"/>
            </w:rPr>
          </w:pPr>
          <w:r>
            <w:rPr>
              <w:noProof/>
            </w:rPr>
            <w:drawing>
              <wp:inline distT="0" distB="0" distL="0" distR="0" wp14:anchorId="2E081369" wp14:editId="06DD5C2B">
                <wp:extent cx="2369820" cy="558297"/>
                <wp:effectExtent l="0" t="0" r="0" b="0"/>
                <wp:docPr id="1199152323"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A47C105" w14:textId="77777777" w:rsidR="00EE76D1" w:rsidRDefault="00EE76D1" w:rsidP="00AD3606">
          <w:pPr>
            <w:pStyle w:val="Header"/>
            <w:jc w:val="right"/>
            <w:rPr>
              <w:rFonts w:ascii="Arial" w:hAnsi="Arial" w:cs="Arial"/>
              <w:b/>
              <w:bCs/>
              <w:color w:val="009CD6"/>
              <w:szCs w:val="18"/>
            </w:rPr>
          </w:pPr>
        </w:p>
        <w:p w14:paraId="3DC4CC89" w14:textId="77777777" w:rsidR="00EE76D1" w:rsidRDefault="00EE76D1" w:rsidP="00AD3606">
          <w:pPr>
            <w:pStyle w:val="Header"/>
            <w:jc w:val="right"/>
            <w:rPr>
              <w:rFonts w:ascii="Arial" w:hAnsi="Arial" w:cs="Arial"/>
              <w:b/>
              <w:bCs/>
              <w:color w:val="009CD6"/>
              <w:szCs w:val="18"/>
            </w:rPr>
          </w:pPr>
        </w:p>
        <w:p w14:paraId="41E776F1" w14:textId="77777777" w:rsidR="00EE76D1" w:rsidRPr="00784011" w:rsidRDefault="00EE76D1"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93B8816" w14:textId="77777777" w:rsidR="00EE76D1" w:rsidRDefault="00EE76D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752599DC" wp14:editId="3E8C8EA0">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716C"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66F91"/>
    <w:multiLevelType w:val="hybridMultilevel"/>
    <w:tmpl w:val="241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95789"/>
    <w:multiLevelType w:val="multilevel"/>
    <w:tmpl w:val="BC9E89F0"/>
    <w:lvl w:ilvl="0">
      <w:start w:val="1"/>
      <w:numFmt w:val="decimal"/>
      <w:lvlText w:val="%1."/>
      <w:lvlJc w:val="left"/>
      <w:pPr>
        <w:ind w:left="360" w:hanging="360"/>
      </w:pPr>
      <w:rPr>
        <w:b/>
        <w:u w:val="none"/>
      </w:rPr>
    </w:lvl>
    <w:lvl w:ilvl="1">
      <w:start w:val="1"/>
      <w:numFmt w:val="decimal"/>
      <w:lvlText w:val="%1.%2"/>
      <w:lvlJc w:val="left"/>
      <w:pPr>
        <w:ind w:left="644" w:hanging="360"/>
      </w:pPr>
      <w:rPr>
        <w:b w:val="0"/>
        <w:bCs/>
        <w:i w:val="0"/>
        <w:iCs w:val="0"/>
        <w:sz w:val="20"/>
        <w:szCs w:val="20"/>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 w15:restartNumberingAfterBreak="0">
    <w:nsid w:val="3C885ED4"/>
    <w:multiLevelType w:val="hybridMultilevel"/>
    <w:tmpl w:val="5F7A2E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6C07DB"/>
    <w:multiLevelType w:val="hybridMultilevel"/>
    <w:tmpl w:val="F47CFD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491410"/>
    <w:multiLevelType w:val="hybridMultilevel"/>
    <w:tmpl w:val="A9D03592"/>
    <w:lvl w:ilvl="0" w:tplc="814823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8405F9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DF71EA"/>
    <w:multiLevelType w:val="hybridMultilevel"/>
    <w:tmpl w:val="A1048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043A7A"/>
    <w:multiLevelType w:val="hybridMultilevel"/>
    <w:tmpl w:val="492A2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13405D"/>
    <w:multiLevelType w:val="hybridMultilevel"/>
    <w:tmpl w:val="E8B62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178DF"/>
    <w:multiLevelType w:val="hybridMultilevel"/>
    <w:tmpl w:val="C4F6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F3F10"/>
    <w:multiLevelType w:val="hybridMultilevel"/>
    <w:tmpl w:val="1ED42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33BD2"/>
    <w:multiLevelType w:val="hybridMultilevel"/>
    <w:tmpl w:val="40463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850FED"/>
    <w:multiLevelType w:val="hybridMultilevel"/>
    <w:tmpl w:val="73DEA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6752706">
    <w:abstractNumId w:val="0"/>
  </w:num>
  <w:num w:numId="2" w16cid:durableId="1590196663">
    <w:abstractNumId w:val="11"/>
  </w:num>
  <w:num w:numId="3" w16cid:durableId="930820571">
    <w:abstractNumId w:val="8"/>
  </w:num>
  <w:num w:numId="4" w16cid:durableId="1666477113">
    <w:abstractNumId w:val="12"/>
  </w:num>
  <w:num w:numId="5" w16cid:durableId="499078077">
    <w:abstractNumId w:val="1"/>
  </w:num>
  <w:num w:numId="6" w16cid:durableId="1083910866">
    <w:abstractNumId w:val="3"/>
  </w:num>
  <w:num w:numId="7" w16cid:durableId="1922710679">
    <w:abstractNumId w:val="16"/>
  </w:num>
  <w:num w:numId="8" w16cid:durableId="1069304387">
    <w:abstractNumId w:val="15"/>
  </w:num>
  <w:num w:numId="9" w16cid:durableId="607858454">
    <w:abstractNumId w:val="13"/>
  </w:num>
  <w:num w:numId="10" w16cid:durableId="551771158">
    <w:abstractNumId w:val="7"/>
  </w:num>
  <w:num w:numId="11" w16cid:durableId="2056004256">
    <w:abstractNumId w:val="4"/>
  </w:num>
  <w:num w:numId="12" w16cid:durableId="187910593">
    <w:abstractNumId w:val="6"/>
  </w:num>
  <w:num w:numId="13" w16cid:durableId="1053239446">
    <w:abstractNumId w:val="2"/>
  </w:num>
  <w:num w:numId="14" w16cid:durableId="975795163">
    <w:abstractNumId w:val="14"/>
  </w:num>
  <w:num w:numId="15" w16cid:durableId="1796022690">
    <w:abstractNumId w:val="5"/>
  </w:num>
  <w:num w:numId="16" w16cid:durableId="45447170">
    <w:abstractNumId w:val="9"/>
  </w:num>
  <w:num w:numId="17" w16cid:durableId="1119640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21991"/>
    <w:rsid w:val="000703C0"/>
    <w:rsid w:val="000805D5"/>
    <w:rsid w:val="00093EEB"/>
    <w:rsid w:val="000A2157"/>
    <w:rsid w:val="000B0D00"/>
    <w:rsid w:val="000B7C15"/>
    <w:rsid w:val="000D1D0F"/>
    <w:rsid w:val="000F5290"/>
    <w:rsid w:val="0010165C"/>
    <w:rsid w:val="0011361B"/>
    <w:rsid w:val="00146BFB"/>
    <w:rsid w:val="00151C39"/>
    <w:rsid w:val="001559F5"/>
    <w:rsid w:val="001F14A2"/>
    <w:rsid w:val="002709F3"/>
    <w:rsid w:val="002801AA"/>
    <w:rsid w:val="0029416A"/>
    <w:rsid w:val="002B6110"/>
    <w:rsid w:val="002C4676"/>
    <w:rsid w:val="002C70B0"/>
    <w:rsid w:val="002D7C34"/>
    <w:rsid w:val="002F3CC4"/>
    <w:rsid w:val="003273A4"/>
    <w:rsid w:val="003A11E1"/>
    <w:rsid w:val="004475C7"/>
    <w:rsid w:val="00466283"/>
    <w:rsid w:val="00473962"/>
    <w:rsid w:val="004848F7"/>
    <w:rsid w:val="004A2EDD"/>
    <w:rsid w:val="004B5D49"/>
    <w:rsid w:val="004F75E7"/>
    <w:rsid w:val="00513630"/>
    <w:rsid w:val="00526106"/>
    <w:rsid w:val="0054168D"/>
    <w:rsid w:val="00560125"/>
    <w:rsid w:val="00577EFD"/>
    <w:rsid w:val="00585553"/>
    <w:rsid w:val="00594349"/>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17AF8"/>
    <w:rsid w:val="00726872"/>
    <w:rsid w:val="00760F1C"/>
    <w:rsid w:val="00761847"/>
    <w:rsid w:val="007657F0"/>
    <w:rsid w:val="0077252D"/>
    <w:rsid w:val="00787E76"/>
    <w:rsid w:val="007955DA"/>
    <w:rsid w:val="007B6C54"/>
    <w:rsid w:val="007E5DD3"/>
    <w:rsid w:val="007F350B"/>
    <w:rsid w:val="00820BE4"/>
    <w:rsid w:val="008451E8"/>
    <w:rsid w:val="008A56E1"/>
    <w:rsid w:val="008B7B92"/>
    <w:rsid w:val="00913B9C"/>
    <w:rsid w:val="00915371"/>
    <w:rsid w:val="00927F93"/>
    <w:rsid w:val="00940BBF"/>
    <w:rsid w:val="00956E77"/>
    <w:rsid w:val="009F4811"/>
    <w:rsid w:val="009F592D"/>
    <w:rsid w:val="00AA390C"/>
    <w:rsid w:val="00B0200A"/>
    <w:rsid w:val="00B574DB"/>
    <w:rsid w:val="00B826C2"/>
    <w:rsid w:val="00B8298E"/>
    <w:rsid w:val="00B864F0"/>
    <w:rsid w:val="00B87D2F"/>
    <w:rsid w:val="00BD0723"/>
    <w:rsid w:val="00BD2518"/>
    <w:rsid w:val="00BF1D1C"/>
    <w:rsid w:val="00C20C59"/>
    <w:rsid w:val="00C2727F"/>
    <w:rsid w:val="00C5275A"/>
    <w:rsid w:val="00C538FC"/>
    <w:rsid w:val="00C55B1F"/>
    <w:rsid w:val="00C747A7"/>
    <w:rsid w:val="00CB421D"/>
    <w:rsid w:val="00CB7DAD"/>
    <w:rsid w:val="00CF1A67"/>
    <w:rsid w:val="00D1404A"/>
    <w:rsid w:val="00D2750E"/>
    <w:rsid w:val="00D43B85"/>
    <w:rsid w:val="00D45BD7"/>
    <w:rsid w:val="00D50A36"/>
    <w:rsid w:val="00D62446"/>
    <w:rsid w:val="00D72B80"/>
    <w:rsid w:val="00DA083C"/>
    <w:rsid w:val="00DA4EA2"/>
    <w:rsid w:val="00DC3D3E"/>
    <w:rsid w:val="00DE2C90"/>
    <w:rsid w:val="00DE3B24"/>
    <w:rsid w:val="00E06947"/>
    <w:rsid w:val="00E34072"/>
    <w:rsid w:val="00E3592D"/>
    <w:rsid w:val="00E50D76"/>
    <w:rsid w:val="00E92DE8"/>
    <w:rsid w:val="00EB1212"/>
    <w:rsid w:val="00ED65AB"/>
    <w:rsid w:val="00EE76D1"/>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超??级链Ú,fL????,fL?级,超??级链"/>
    <w:basedOn w:val="DefaultParagraphFont"/>
    <w:uiPriority w:val="99"/>
    <w:qForma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
    <w:name w:val="Object"/>
    <w:basedOn w:val="Subject"/>
    <w:next w:val="Subject"/>
    <w:rsid w:val="00EE76D1"/>
    <w:pPr>
      <w:tabs>
        <w:tab w:val="clear" w:pos="709"/>
      </w:tabs>
      <w:ind w:left="1134" w:hanging="1134"/>
    </w:pPr>
    <w:rPr>
      <w:lang w:val="en-GB"/>
    </w:rPr>
  </w:style>
  <w:style w:type="paragraph" w:customStyle="1" w:styleId="Data1">
    <w:name w:val="Data1"/>
    <w:basedOn w:val="Subject"/>
    <w:next w:val="Subject"/>
    <w:rsid w:val="00EE76D1"/>
    <w:pPr>
      <w:tabs>
        <w:tab w:val="clear" w:pos="709"/>
      </w:tabs>
      <w:ind w:left="1134" w:hanging="1134"/>
    </w:pPr>
    <w:rPr>
      <w:lang w:val="en-GB"/>
    </w:rPr>
  </w:style>
  <w:style w:type="paragraph" w:styleId="Revision">
    <w:name w:val="Revision"/>
    <w:hidden/>
    <w:uiPriority w:val="99"/>
    <w:semiHidden/>
    <w:rsid w:val="00EE76D1"/>
    <w:rPr>
      <w:rFonts w:ascii="Calibri" w:hAnsi="Calibri"/>
      <w:sz w:val="24"/>
      <w:lang w:val="en-GB" w:eastAsia="en-US"/>
    </w:rPr>
  </w:style>
  <w:style w:type="character" w:styleId="UnresolvedMention">
    <w:name w:val="Unresolved Mention"/>
    <w:basedOn w:val="DefaultParagraphFont"/>
    <w:uiPriority w:val="99"/>
    <w:semiHidden/>
    <w:unhideWhenUsed/>
    <w:rsid w:val="00EE76D1"/>
    <w:rPr>
      <w:color w:val="605E5C"/>
      <w:shd w:val="clear" w:color="auto" w:fill="E1DFDD"/>
    </w:rPr>
  </w:style>
  <w:style w:type="character" w:styleId="CommentReference">
    <w:name w:val="annotation reference"/>
    <w:basedOn w:val="DefaultParagraphFont"/>
    <w:uiPriority w:val="99"/>
    <w:semiHidden/>
    <w:unhideWhenUsed/>
    <w:rsid w:val="00EE76D1"/>
    <w:rPr>
      <w:sz w:val="16"/>
      <w:szCs w:val="16"/>
    </w:rPr>
  </w:style>
  <w:style w:type="paragraph" w:styleId="CommentText">
    <w:name w:val="annotation text"/>
    <w:basedOn w:val="Normal"/>
    <w:link w:val="CommentTextChar"/>
    <w:uiPriority w:val="99"/>
    <w:unhideWhenUsed/>
    <w:rsid w:val="00EE76D1"/>
    <w:rPr>
      <w:sz w:val="20"/>
      <w:lang w:val="en-GB"/>
    </w:rPr>
  </w:style>
  <w:style w:type="character" w:customStyle="1" w:styleId="CommentTextChar">
    <w:name w:val="Comment Text Char"/>
    <w:basedOn w:val="DefaultParagraphFont"/>
    <w:link w:val="CommentText"/>
    <w:uiPriority w:val="99"/>
    <w:rsid w:val="00EE76D1"/>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EE76D1"/>
    <w:rPr>
      <w:b/>
      <w:bCs/>
    </w:rPr>
  </w:style>
  <w:style w:type="character" w:customStyle="1" w:styleId="CommentSubjectChar">
    <w:name w:val="Comment Subject Char"/>
    <w:basedOn w:val="CommentTextChar"/>
    <w:link w:val="CommentSubject"/>
    <w:uiPriority w:val="99"/>
    <w:semiHidden/>
    <w:rsid w:val="00EE76D1"/>
    <w:rPr>
      <w:rFonts w:ascii="Calibri" w:hAnsi="Calibri"/>
      <w:b/>
      <w:bCs/>
      <w:lang w:val="en-GB" w:eastAsia="en-US"/>
    </w:rPr>
  </w:style>
  <w:style w:type="paragraph" w:customStyle="1" w:styleId="Subtitle1">
    <w:name w:val="Subtitle1"/>
    <w:basedOn w:val="Title1"/>
    <w:qFormat/>
    <w:rsid w:val="00EE76D1"/>
    <w:pPr>
      <w:framePr w:hSpace="180" w:wrap="around" w:hAnchor="text" w:x="1821" w:y="2317"/>
      <w:spacing w:before="120" w:after="160"/>
      <w:jc w:val="left"/>
    </w:pPr>
    <w:rPr>
      <w:caps w:val="0"/>
      <w:sz w:val="32"/>
      <w:szCs w:val="32"/>
      <w:lang w:val="en-GB"/>
    </w:rPr>
  </w:style>
  <w:style w:type="paragraph" w:styleId="ListParagraph">
    <w:name w:val="List Paragraph"/>
    <w:basedOn w:val="Normal"/>
    <w:link w:val="ListParagraphChar"/>
    <w:uiPriority w:val="34"/>
    <w:qFormat/>
    <w:rsid w:val="00EE76D1"/>
    <w:pPr>
      <w:ind w:left="720"/>
      <w:contextualSpacing/>
    </w:pPr>
    <w:rPr>
      <w:lang w:val="en-GB"/>
    </w:rPr>
  </w:style>
  <w:style w:type="character" w:styleId="Mention">
    <w:name w:val="Mention"/>
    <w:basedOn w:val="DefaultParagraphFont"/>
    <w:uiPriority w:val="99"/>
    <w:unhideWhenUsed/>
    <w:rsid w:val="00EE76D1"/>
    <w:rPr>
      <w:color w:val="2B579A"/>
      <w:shd w:val="clear" w:color="auto" w:fill="E1DFDD"/>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EE76D1"/>
    <w:rPr>
      <w:rFonts w:ascii="Calibri" w:hAnsi="Calibri"/>
      <w:sz w:val="24"/>
      <w:lang w:val="es-ES_tradnl" w:eastAsia="en-US"/>
    </w:rPr>
  </w:style>
  <w:style w:type="character" w:customStyle="1" w:styleId="ListParagraphChar">
    <w:name w:val="List Paragraph Char"/>
    <w:link w:val="ListParagraph"/>
    <w:uiPriority w:val="34"/>
    <w:locked/>
    <w:rsid w:val="00EE76D1"/>
    <w:rPr>
      <w:rFonts w:ascii="Calibri" w:hAnsi="Calibri"/>
      <w:sz w:val="24"/>
      <w:lang w:val="en-GB" w:eastAsia="en-US"/>
    </w:rPr>
  </w:style>
  <w:style w:type="paragraph" w:styleId="BalloonText">
    <w:name w:val="Balloon Text"/>
    <w:basedOn w:val="Normal"/>
    <w:link w:val="BalloonTextChar"/>
    <w:uiPriority w:val="99"/>
    <w:semiHidden/>
    <w:unhideWhenUsed/>
    <w:rsid w:val="00EE76D1"/>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E76D1"/>
    <w:rPr>
      <w:rFonts w:ascii="Segoe UI" w:hAnsi="Segoe UI" w:cs="Segoe UI"/>
      <w:sz w:val="18"/>
      <w:szCs w:val="18"/>
      <w:lang w:val="en-GB" w:eastAsia="en-US"/>
    </w:rPr>
  </w:style>
  <w:style w:type="character" w:customStyle="1" w:styleId="FooterChar">
    <w:name w:val="Footer Char"/>
    <w:basedOn w:val="DefaultParagraphFont"/>
    <w:link w:val="Footer"/>
    <w:uiPriority w:val="99"/>
    <w:rsid w:val="00EE76D1"/>
    <w:rPr>
      <w:rFonts w:ascii="Calibri" w:hAnsi="Calibri"/>
      <w:caps/>
      <w:noProof/>
      <w:sz w:val="16"/>
      <w:lang w:val="es-ES_tradnl" w:eastAsia="en-US"/>
    </w:rPr>
  </w:style>
  <w:style w:type="paragraph" w:styleId="EndnoteText">
    <w:name w:val="endnote text"/>
    <w:basedOn w:val="Normal"/>
    <w:link w:val="EndnoteTextChar"/>
    <w:uiPriority w:val="99"/>
    <w:semiHidden/>
    <w:unhideWhenUsed/>
    <w:rsid w:val="00EE76D1"/>
    <w:pPr>
      <w:spacing w:before="0"/>
    </w:pPr>
    <w:rPr>
      <w:sz w:val="20"/>
      <w:lang w:val="en-GB"/>
    </w:rPr>
  </w:style>
  <w:style w:type="character" w:customStyle="1" w:styleId="EndnoteTextChar">
    <w:name w:val="Endnote Text Char"/>
    <w:basedOn w:val="DefaultParagraphFont"/>
    <w:link w:val="EndnoteText"/>
    <w:uiPriority w:val="99"/>
    <w:semiHidden/>
    <w:rsid w:val="00EE76D1"/>
    <w:rPr>
      <w:rFonts w:ascii="Calibri" w:hAnsi="Calibri"/>
      <w:lang w:val="en-GB" w:eastAsia="en-US"/>
    </w:rPr>
  </w:style>
  <w:style w:type="character" w:styleId="EndnoteReference">
    <w:name w:val="endnote reference"/>
    <w:basedOn w:val="DefaultParagraphFont"/>
    <w:uiPriority w:val="99"/>
    <w:semiHidden/>
    <w:unhideWhenUsed/>
    <w:rsid w:val="00EE76D1"/>
    <w:rPr>
      <w:vertAlign w:val="superscript"/>
    </w:rPr>
  </w:style>
  <w:style w:type="character" w:customStyle="1" w:styleId="normaltextrun">
    <w:name w:val="normaltextrun"/>
    <w:basedOn w:val="DefaultParagraphFont"/>
    <w:rsid w:val="00EE76D1"/>
  </w:style>
  <w:style w:type="character" w:styleId="Emphasis">
    <w:name w:val="Emphasis"/>
    <w:basedOn w:val="DefaultParagraphFont"/>
    <w:uiPriority w:val="20"/>
    <w:qFormat/>
    <w:rsid w:val="00EE76D1"/>
    <w:rPr>
      <w:i/>
      <w:iCs/>
    </w:rPr>
  </w:style>
  <w:style w:type="character" w:customStyle="1" w:styleId="Heading1Char">
    <w:name w:val="Heading 1 Char"/>
    <w:basedOn w:val="DefaultParagraphFont"/>
    <w:link w:val="Heading1"/>
    <w:uiPriority w:val="9"/>
    <w:rsid w:val="00EE76D1"/>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qualsintech.org" TargetMode="External"/><Relationship Id="rId21" Type="http://schemas.openxmlformats.org/officeDocument/2006/relationships/hyperlink" Target="https://www.itu.int/itu-d/reports/statistics/facts-figures-2023/" TargetMode="External"/><Relationship Id="rId42" Type="http://schemas.openxmlformats.org/officeDocument/2006/relationships/hyperlink" Target="http://www.itu.int/genderdashboard" TargetMode="External"/><Relationship Id="rId47" Type="http://schemas.openxmlformats.org/officeDocument/2006/relationships/hyperlink" Target="https://news.un.org/en/story/2024/03/1147407" TargetMode="External"/><Relationship Id="rId63" Type="http://schemas.openxmlformats.org/officeDocument/2006/relationships/hyperlink" Target="https://www.unwomen.org/sites/default/files/Headquarters/Attachments/Sections/How%20We%20Work/UNSystemCoordination/UN-SWAP/UN-SWAP-2-TN-PI03-Programmatic-SDG-results-en.pdf" TargetMode="External"/><Relationship Id="rId68" Type="http://schemas.openxmlformats.org/officeDocument/2006/relationships/hyperlink" Target="https://www.itu.int/now4wrc23/" TargetMode="External"/><Relationship Id="rId84" Type="http://schemas.openxmlformats.org/officeDocument/2006/relationships/hyperlink" Target="https://www.unwomen.org/sites/default/files/Headquarters/Attachments/Sections/How%20We%20Work/UNSystemCoordination/UN-SWAP/UN-SWAP-2-TN-PI09-Financial-resource-tracking-en.pdf" TargetMode="External"/><Relationship Id="rId89" Type="http://schemas.openxmlformats.org/officeDocument/2006/relationships/hyperlink" Target="https://app.powerbi.com/view?r=eyJrIjoiOGY5YjU4ZGEtYmE0ZS00ZDQ4LWJhNjgtNzNhMzJhNmFhMjZmIiwidCI6ImIzZTVkYjVlLTI5NDQtNDgzNy05OWY1LTc0ODhhY2U1NDMxOSIsImMiOjh9" TargetMode="External"/><Relationship Id="rId16" Type="http://schemas.openxmlformats.org/officeDocument/2006/relationships/hyperlink" Target="https://www.itu.int/en/action/gender-equality/Documents/S22-PP-Res70-E.pdf" TargetMode="External"/><Relationship Id="rId107" Type="http://schemas.openxmlformats.org/officeDocument/2006/relationships/theme" Target="theme/theme1.xml"/><Relationship Id="rId11" Type="http://schemas.openxmlformats.org/officeDocument/2006/relationships/hyperlink" Target="https://www.itu.int/md/S23-CL-C-0125/es" TargetMode="External"/><Relationship Id="rId32" Type="http://schemas.openxmlformats.org/officeDocument/2006/relationships/hyperlink" Target="https://www.itu.int/now4wrc23/" TargetMode="External"/><Relationship Id="rId37" Type="http://schemas.openxmlformats.org/officeDocument/2006/relationships/hyperlink" Target="https://genderchampions.com/champions/doreen-bogdan-martin" TargetMode="External"/><Relationship Id="rId53" Type="http://schemas.openxmlformats.org/officeDocument/2006/relationships/hyperlink" Target="https://www.itu.int/en/council/Documents/basic-texts-2023/RES-071-S.pdf" TargetMode="External"/><Relationship Id="rId58" Type="http://schemas.openxmlformats.org/officeDocument/2006/relationships/hyperlink" Target="https://app.powerbi.com/view?r=eyJrIjoiOWM3MWE2YjYtYzdmYS00MDU5LTk4YjYtYWFiOTA0YjU2ZDYyIiwidCI6IjIzZTQ2NGQ3LTA0ZTYtNGI4Ny05MTNjLTI0YmQ4OTIxOWZkMyIsImMiOjl9" TargetMode="External"/><Relationship Id="rId74" Type="http://schemas.openxmlformats.org/officeDocument/2006/relationships/hyperlink" Target="https://www.unwomen.org/sites/default/files/Headquarters/Attachments/Sections/How%20We%20Work/UNSystemCoordination/UN-SWAP/UN-SWAP-2-TN-PI04-Evaluation-en.pdf" TargetMode="External"/><Relationship Id="rId79" Type="http://schemas.openxmlformats.org/officeDocument/2006/relationships/hyperlink" Target="https://www.itu.int/en/council/dashboard" TargetMode="External"/><Relationship Id="rId102" Type="http://schemas.openxmlformats.org/officeDocument/2006/relationships/image" Target="media/image5.png"/><Relationship Id="rId5" Type="http://schemas.openxmlformats.org/officeDocument/2006/relationships/webSettings" Target="webSettings.xml"/><Relationship Id="rId90" Type="http://schemas.openxmlformats.org/officeDocument/2006/relationships/hyperlink" Target="http://www.itu.int/genderdashboard" TargetMode="External"/><Relationship Id="rId95" Type="http://schemas.openxmlformats.org/officeDocument/2006/relationships/hyperlink" Target="https://www.unwomen.org/sites/default/files/Headquarters/Attachments/Sections/How%20We%20Work/UNSystemCoordination/UN-SWAP/UN-SWAP-2-TN-PI15-Capacity-development-en.pdf" TargetMode="External"/><Relationship Id="rId22" Type="http://schemas.openxmlformats.org/officeDocument/2006/relationships/hyperlink" Target="http://www.itu.int/genderdashboard" TargetMode="External"/><Relationship Id="rId27" Type="http://schemas.openxmlformats.org/officeDocument/2006/relationships/hyperlink" Target="https://www.equalsintech.org/awards" TargetMode="External"/><Relationship Id="rId43" Type="http://schemas.openxmlformats.org/officeDocument/2006/relationships/hyperlink" Target="https://academy.itu.int/training-courses/full-catalogue/gender-analysis-and-digital-inclusion-how-achieve-gender-equality-digital-sector" TargetMode="External"/><Relationship Id="rId48" Type="http://schemas.openxmlformats.org/officeDocument/2006/relationships/footer" Target="footer1.xml"/><Relationship Id="rId64" Type="http://schemas.openxmlformats.org/officeDocument/2006/relationships/hyperlink" Target="https://www.itu.int/md/D18-TDAG29-C-0002/es" TargetMode="External"/><Relationship Id="rId69" Type="http://schemas.openxmlformats.org/officeDocument/2006/relationships/hyperlink" Target="https://www.itu.int/en/ITU-R/conferences/rag/cg-gender/Pages/default.aspx" TargetMode="External"/><Relationship Id="rId80" Type="http://schemas.openxmlformats.org/officeDocument/2006/relationships/hyperlink" Target="https://www.unwomen.org/sites/default/files/Headquarters/Attachments/Sections/How%20We%20Work/UNSystemCoordination/UN-SWAP/UN-SWAP-2-TN-PI07-Leadership-en.pdf" TargetMode="External"/><Relationship Id="rId85" Type="http://schemas.openxmlformats.org/officeDocument/2006/relationships/hyperlink" Target="https://www.unwomen.org/sites/default/files/Headquarters/Attachments/Sections/How%20We%20Work/UNSystemCoordination/UN-SWAP/UN-SWAP-2-TN-PI10-Financial-resource-allocation-en.pdf" TargetMode="External"/><Relationship Id="rId12" Type="http://schemas.openxmlformats.org/officeDocument/2006/relationships/hyperlink" Target="https://www.itu.int/md/S23-CL-C-0076/es" TargetMode="External"/><Relationship Id="rId17" Type="http://schemas.openxmlformats.org/officeDocument/2006/relationships/hyperlink" Target="https://www.itu.int/dms_pub/itu-r/opb/res/R-RES-R.72-2023-PDF-S.pdf" TargetMode="External"/><Relationship Id="rId33" Type="http://schemas.openxmlformats.org/officeDocument/2006/relationships/hyperlink" Target="https://www.itu.int/en/ITU-D/Conferences/WTDC/WTDC21/NoW/Pages/default.aspx" TargetMode="External"/><Relationship Id="rId38" Type="http://schemas.openxmlformats.org/officeDocument/2006/relationships/hyperlink" Target="https://genderchampions.com/commitment?CommitmentSearch%5bchampion_ids%5d%5b%5d=230&amp;CommitmentSearch%5bcategory_id%5d=&amp;CommitmentSearch%5bchapter_id%5d=" TargetMode="External"/><Relationship Id="rId59" Type="http://schemas.openxmlformats.org/officeDocument/2006/relationships/hyperlink" Target="http://www.itu.int/genderdashboard" TargetMode="External"/><Relationship Id="rId103" Type="http://schemas.openxmlformats.org/officeDocument/2006/relationships/footer" Target="footer3.xml"/><Relationship Id="rId20" Type="http://schemas.openxmlformats.org/officeDocument/2006/relationships/hyperlink" Target="https://www.itu.int/md/S23-CL-C-0006/es" TargetMode="External"/><Relationship Id="rId41" Type="http://schemas.openxmlformats.org/officeDocument/2006/relationships/image" Target="media/image2.png"/><Relationship Id="rId54" Type="http://schemas.openxmlformats.org/officeDocument/2006/relationships/hyperlink" Target="https://www.itu.int/en/ITU-D/Statistics/Pages/facts/default.aspx" TargetMode="External"/><Relationship Id="rId62" Type="http://schemas.openxmlformats.org/officeDocument/2006/relationships/hyperlink" Target="https://www.itu.int/en/fellowships/Documents/2021/SO_21-02_E.pdf" TargetMode="External"/><Relationship Id="rId70" Type="http://schemas.openxmlformats.org/officeDocument/2006/relationships/hyperlink" Target="https://www.itu.int/en/ITU-T/NoW/Pages/default.aspx" TargetMode="External"/><Relationship Id="rId75" Type="http://schemas.openxmlformats.org/officeDocument/2006/relationships/hyperlink" Target="https://www.uneval.org/document/detail/1452" TargetMode="External"/><Relationship Id="rId83" Type="http://schemas.openxmlformats.org/officeDocument/2006/relationships/hyperlink" Target="https://www.unwomen.org/sites/default/files/Headquarters/Attachments/Sections/How%20We%20Work/UNSystemCoordination/UN-SWAP/UN-SWAP-2-TN-PI08-Performance-management-en.pdf" TargetMode="External"/><Relationship Id="rId88" Type="http://schemas.openxmlformats.org/officeDocument/2006/relationships/hyperlink" Target="https://www.itu.int/md/S18-CL-C-0063/es" TargetMode="External"/><Relationship Id="rId91" Type="http://schemas.openxmlformats.org/officeDocument/2006/relationships/hyperlink" Target="https://app.powerbi.com/view?r=eyJrIjoiOWM3MWE2YjYtYzdmYS00MDU5LTk4YjYtYWFiOTA0YjU2ZDYyIiwidCI6IjIzZTQ2NGQ3LTA0ZTYtNGI4Ny05MTNjLTI0YmQ4OTIxOWZkMyIsImMiOjl9" TargetMode="External"/><Relationship Id="rId96" Type="http://schemas.openxmlformats.org/officeDocument/2006/relationships/hyperlink" Target="https://www.unwomen.org/sites/default/files/Headquarters/Attachments/Sections/How%20We%20Work/UNSystemCoordination/UN-SWAP/UN-SWAP-2-TN-PI16-Knowledge-and-communication-e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ction/gender-equality/data/Documents/2022-ITU-SWAP-2-reporting-results-en_.pdf" TargetMode="External"/><Relationship Id="rId23" Type="http://schemas.openxmlformats.org/officeDocument/2006/relationships/hyperlink" Target="https://www.itu.int/women-and-girls/girls-in-ict/international-girls-in-ict-day-2024/" TargetMode="External"/><Relationship Id="rId28" Type="http://schemas.openxmlformats.org/officeDocument/2006/relationships/hyperlink" Target="https://www.itu.int/en/ITU-D/Cybersecurity/Pages/Women-in-Cyber/Women-in-Cyber-Mentorship-Programme.aspx" TargetMode="External"/><Relationship Id="rId36" Type="http://schemas.openxmlformats.org/officeDocument/2006/relationships/hyperlink" Target="https://www.itu.int/md/S23-CL-C-0076/es" TargetMode="External"/><Relationship Id="rId49" Type="http://schemas.openxmlformats.org/officeDocument/2006/relationships/header" Target="header1.xml"/><Relationship Id="rId57" Type="http://schemas.openxmlformats.org/officeDocument/2006/relationships/hyperlink" Target="https://app.powerbi.com/view?r=eyJrIjoiOWJmNjg1MTktOWM4NC00ZmRmLWFiZTYtYWY3NGNkOGI0MmY4IiwidCI6IjIzZTQ2NGQ3LTA0ZTYtNGI4Ny05MTNjLTI0YmQ4OTIxOWZkMyIsImMiOjl9" TargetMode="External"/><Relationship Id="rId106" Type="http://schemas.openxmlformats.org/officeDocument/2006/relationships/fontTable" Target="fontTable.xml"/><Relationship Id="rId10" Type="http://schemas.openxmlformats.org/officeDocument/2006/relationships/hyperlink" Target="https://www.itu.int/en/council/Documents/basic-texts-2023/RES-070-S.pdf" TargetMode="External"/><Relationship Id="rId31" Type="http://schemas.openxmlformats.org/officeDocument/2006/relationships/hyperlink" Target="http://www.wsis.org/" TargetMode="External"/><Relationship Id="rId44" Type="http://schemas.openxmlformats.org/officeDocument/2006/relationships/hyperlink" Target="https://academy.itu.int/training-courses/full-catalogue/green-and-digital-entrepreneurship-women" TargetMode="External"/><Relationship Id="rId52" Type="http://schemas.openxmlformats.org/officeDocument/2006/relationships/hyperlink" Target="https://www.unwomen.org/sites/default/files/Headquarters/Attachments/Sections/How%20We%20Work/UNSystemCoordination/UN-SWAP/UN-SWAP-2-TN-PI01-Strategic-planning-SDG-results-en.pdf" TargetMode="External"/><Relationship Id="rId60" Type="http://schemas.openxmlformats.org/officeDocument/2006/relationships/hyperlink" Target="https://www.itu.int/en/action/gender-equality/data/Documents/2022-ITU-SWAP-2-reporting-results-en_.pdf" TargetMode="External"/><Relationship Id="rId65" Type="http://schemas.openxmlformats.org/officeDocument/2006/relationships/hyperlink" Target="https://www.itu.int/women-and-girls/girls-in-ict/" TargetMode="External"/><Relationship Id="rId73" Type="http://schemas.openxmlformats.org/officeDocument/2006/relationships/hyperlink" Target="https://www.itu.int/dms_pub/itu-d/md/18/wtdc21/c/D18-WTDC21-C-0103!R1!PDF-S.pdf" TargetMode="External"/><Relationship Id="rId78" Type="http://schemas.openxmlformats.org/officeDocument/2006/relationships/hyperlink" Target="https://www.itu.int/md/S18-CL-C-0063/es" TargetMode="External"/><Relationship Id="rId81" Type="http://schemas.openxmlformats.org/officeDocument/2006/relationships/hyperlink" Target="https://genderchampions.com/champions/doreen-bogdan-martin" TargetMode="External"/><Relationship Id="rId86" Type="http://schemas.openxmlformats.org/officeDocument/2006/relationships/hyperlink" Target="https://www.unwomen.org/sites/default/files/Headquarters/Attachments/Sections/How%20We%20Work/UNSystemCoordination/UN-SWAP/UN-SWAP-2-TN-PI11-Gender-architecture-en.pdf" TargetMode="External"/><Relationship Id="rId94" Type="http://schemas.openxmlformats.org/officeDocument/2006/relationships/hyperlink" Target="https://www.unwomen.org/sites/default/files/Headquarters/Attachments/Sections/How%20We%20Work/UNSystemCoordination/UN-SWAP/UN-SWAP-2-TN-PI14-Capacity-assessment-en.pdf" TargetMode="External"/><Relationship Id="rId99" Type="http://schemas.openxmlformats.org/officeDocument/2006/relationships/hyperlink" Target="https://forum.generationequality.org/es/home" TargetMode="External"/><Relationship Id="rId10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itu.int/md/S23-CL-C-0076/es" TargetMode="External"/><Relationship Id="rId13" Type="http://schemas.openxmlformats.org/officeDocument/2006/relationships/hyperlink" Target="https://www.itu.int/en/action/gender-equality/data/Documents/2022-ITU-SWAP-2-reporting-results-en_.pdf" TargetMode="External"/><Relationship Id="rId18" Type="http://schemas.openxmlformats.org/officeDocument/2006/relationships/hyperlink" Target="https://www.itu.int/dms_pub/itu-d/md/18/wtdc21/c/D18-WTDC21-C-0103!R1!PDF-S.pdf" TargetMode="External"/><Relationship Id="rId39" Type="http://schemas.openxmlformats.org/officeDocument/2006/relationships/image" Target="media/image1.png"/><Relationship Id="rId34" Type="http://schemas.openxmlformats.org/officeDocument/2006/relationships/hyperlink" Target="https://www.itu.int/en/ITU-T/NoW/Pages/default.aspx" TargetMode="External"/><Relationship Id="rId50" Type="http://schemas.openxmlformats.org/officeDocument/2006/relationships/footer" Target="footer2.xml"/><Relationship Id="rId55"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76" Type="http://schemas.openxmlformats.org/officeDocument/2006/relationships/hyperlink" Target="https://www.unwomen.org/sites/default/files/Headquarters/Attachments/Sections/How%20We%20Work/UNSystemCoordination/UN-SWAP/UN-SWAP-2-TN-PI05-Audit-en.pdf" TargetMode="External"/><Relationship Id="rId97" Type="http://schemas.openxmlformats.org/officeDocument/2006/relationships/hyperlink" Target="https://www.unwomen.org/sites/default/files/Headquarters/Attachments/Sections/How%20We%20Work/UNSystemCoordination/UN-SWAP/UN-SWAP-2-TN-PI17-Coherence-en.pdf"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itu.int/dms_pub/itu-d/md/18/wtdc21/c/D18-WTDC21-C-0103!R1!PDF-S.pdf" TargetMode="External"/><Relationship Id="rId92" Type="http://schemas.openxmlformats.org/officeDocument/2006/relationships/hyperlink" Target="https://www.unwomen.org/sites/default/files/Headquarters/Attachments/Sections/How%20We%20Work/UNSystemCoordination/UN-SWAP/UN-SWAP-2-TN-PI13-Organizational-culture-en.pdf" TargetMode="External"/><Relationship Id="rId2" Type="http://schemas.openxmlformats.org/officeDocument/2006/relationships/numbering" Target="numbering.xml"/><Relationship Id="rId29" Type="http://schemas.openxmlformats.org/officeDocument/2006/relationships/hyperlink" Target="https://www.itu.int/en/ITU-D/Digital-Inclusion/Pages/EIF-Regional-Project-.aspx" TargetMode="External"/><Relationship Id="rId24" Type="http://schemas.openxmlformats.org/officeDocument/2006/relationships/hyperlink" Target="https://www.itu.int/women-and-girls/girls-in-ict/" TargetMode="External"/><Relationship Id="rId40"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45" Type="http://schemas.openxmlformats.org/officeDocument/2006/relationships/hyperlink" Target="https://www.itu.int/hub/publication/d-hdb-gender-2023-01/" TargetMode="External"/><Relationship Id="rId66" Type="http://schemas.openxmlformats.org/officeDocument/2006/relationships/hyperlink" Target="https://www.equals.org/" TargetMode="External"/><Relationship Id="rId87" Type="http://schemas.openxmlformats.org/officeDocument/2006/relationships/hyperlink" Target="https://www.unwomen.org/sites/default/files/2022-12/UN-SWAP-2-TN-PI12-Equal-representation-of-women-en.pdf" TargetMode="External"/><Relationship Id="rId61" Type="http://schemas.openxmlformats.org/officeDocument/2006/relationships/hyperlink" Target="https://www.itu.int/dms_pub/itu-s/opb/conf/S-CONF-ACTF-2018-R1-PDF-S.pdf" TargetMode="External"/><Relationship Id="rId82" Type="http://schemas.openxmlformats.org/officeDocument/2006/relationships/hyperlink" Target="https://genderchampions.com/champions/doreen-bogdan-martin" TargetMode="External"/><Relationship Id="rId19" Type="http://schemas.openxmlformats.org/officeDocument/2006/relationships/hyperlink" Target="https://www.itu.int/dms_pub/itu-t/opb/res/T-RES-T.55-2022-PDF-S.pdf" TargetMode="External"/><Relationship Id="rId14" Type="http://schemas.openxmlformats.org/officeDocument/2006/relationships/hyperlink" Target="https://www.itu.int/en/action/gender-equality/data/Documents/2022-ITU-SWAP-2-reporting-results-en_.pdf" TargetMode="External"/><Relationship Id="rId30" Type="http://schemas.openxmlformats.org/officeDocument/2006/relationships/hyperlink" Target="https://www.itu.int/women-and-girls/women-in-ict/mainstreaming-gender-in-digital-policies-workshop-asia-and-the-pacific-and-cis/" TargetMode="External"/><Relationship Id="rId35" Type="http://schemas.openxmlformats.org/officeDocument/2006/relationships/hyperlink" Target="https://www.itu.int/wtsa/2024/now/about/" TargetMode="External"/><Relationship Id="rId56" Type="http://schemas.openxmlformats.org/officeDocument/2006/relationships/hyperlink" Target="https://www.unwomen.org/sites/default/files/Headquarters/Attachments/Sections/How%20We%20Work/UNSystemCoordination/UN-SWAP/UN-SWAP-2-TN-PI02-Reporting-on-SDG-results-en.pdf" TargetMode="External"/><Relationship Id="rId77" Type="http://schemas.openxmlformats.org/officeDocument/2006/relationships/hyperlink" Target="https://www.unwomen.org/sites/default/files/Headquarters/Attachments/Sections/How%20We%20Work/UNSystemCoordination/UN-SWAP/UN-SWAP-2-TN-PI06-Policy-en.pdf" TargetMode="External"/><Relationship Id="rId100" Type="http://schemas.openxmlformats.org/officeDocument/2006/relationships/hyperlink" Target="https://genderchampions.com" TargetMode="External"/><Relationship Id="rId105" Type="http://schemas.openxmlformats.org/officeDocument/2006/relationships/footer" Target="footer4.xml"/><Relationship Id="rId8" Type="http://schemas.openxmlformats.org/officeDocument/2006/relationships/hyperlink" Target="https://www.itu.int/md/S23-CL-C-0125/es" TargetMode="External"/><Relationship Id="rId51" Type="http://schemas.openxmlformats.org/officeDocument/2006/relationships/hyperlink" Target="https://www.unwomen.org/en/how-we-work/un-system-coordination/promoting-un-accountability/key-tools-and-resources" TargetMode="External"/><Relationship Id="rId72" Type="http://schemas.openxmlformats.org/officeDocument/2006/relationships/hyperlink" Target="https://www.itu.int/md/S23-CL-C-0125/es" TargetMode="External"/><Relationship Id="rId93" Type="http://schemas.openxmlformats.org/officeDocument/2006/relationships/hyperlink" Target="https://www.unwomen.org/sites/default/files/Headquarters/Attachments/Sections/Library/Publications/2019/Gender-parity-Enabling-environment-guidelines-en.pdf" TargetMode="External"/><Relationship Id="rId98" Type="http://schemas.openxmlformats.org/officeDocument/2006/relationships/hyperlink" Target="https://unswap.unwomen.org" TargetMode="External"/><Relationship Id="rId3" Type="http://schemas.openxmlformats.org/officeDocument/2006/relationships/styles" Target="styles.xml"/><Relationship Id="rId25" Type="http://schemas.openxmlformats.org/officeDocument/2006/relationships/hyperlink" Target="https://www.un.org/es/observances/list-days-weeks" TargetMode="External"/><Relationship Id="rId46" Type="http://schemas.openxmlformats.org/officeDocument/2006/relationships/hyperlink" Target="https://www.unwomen.org/en/how-we-work/un-system-coordination/promoting-un-accountability" TargetMode="External"/><Relationship Id="rId67" Type="http://schemas.openxmlformats.org/officeDocument/2006/relationships/hyperlink" Target="https://www.itu.int/es/ITU-D/Conferences/WTDC/WTDC21/NoW/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L-C-0006" TargetMode="External"/><Relationship Id="rId2" Type="http://schemas.openxmlformats.org/officeDocument/2006/relationships/hyperlink" Target="http://www.itu.int/genderdashboard" TargetMode="External"/><Relationship Id="rId1" Type="http://schemas.openxmlformats.org/officeDocument/2006/relationships/hyperlink" Target="https://www.itu.int/en/council/Documents/basic-texts/Constitu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483E-C5D2-46D4-84E0-B5F87631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21</Pages>
  <Words>7752</Words>
  <Characters>50620</Characters>
  <Application>Microsoft Office Word</Application>
  <DocSecurity>0</DocSecurity>
  <Lines>421</Lines>
  <Paragraphs>116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58256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Marin Matas, Juan Gabriel</cp:lastModifiedBy>
  <cp:revision>10</cp:revision>
  <cp:lastPrinted>2006-03-24T09:51:00Z</cp:lastPrinted>
  <dcterms:created xsi:type="dcterms:W3CDTF">2024-05-13T11:55:00Z</dcterms:created>
  <dcterms:modified xsi:type="dcterms:W3CDTF">2024-05-15T09:26:00Z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