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CF0242" w14:paraId="2592CC74" w14:textId="77777777" w:rsidTr="00D72F49">
        <w:trPr>
          <w:cantSplit/>
          <w:trHeight w:val="23"/>
        </w:trPr>
        <w:tc>
          <w:tcPr>
            <w:tcW w:w="3969" w:type="dxa"/>
            <w:vMerge w:val="restart"/>
            <w:tcMar>
              <w:left w:w="0" w:type="dxa"/>
            </w:tcMar>
          </w:tcPr>
          <w:p w14:paraId="27E56DEB" w14:textId="5BD0ECD2" w:rsidR="00D72F49" w:rsidRPr="00CF0242" w:rsidRDefault="00D72F49" w:rsidP="00D72F49">
            <w:pPr>
              <w:tabs>
                <w:tab w:val="left" w:pos="851"/>
              </w:tabs>
              <w:spacing w:before="0" w:line="240" w:lineRule="atLeast"/>
              <w:rPr>
                <w:b/>
              </w:rPr>
            </w:pPr>
            <w:r w:rsidRPr="00CF0242">
              <w:rPr>
                <w:b/>
              </w:rPr>
              <w:t>Point de l'ordre du jour:</w:t>
            </w:r>
            <w:r w:rsidR="009E0840" w:rsidRPr="00CF0242">
              <w:rPr>
                <w:b/>
              </w:rPr>
              <w:t xml:space="preserve"> </w:t>
            </w:r>
            <w:r w:rsidR="009E0840" w:rsidRPr="00CF0242">
              <w:rPr>
                <w:b/>
                <w:bCs/>
              </w:rPr>
              <w:t>PL 2</w:t>
            </w:r>
          </w:p>
        </w:tc>
        <w:tc>
          <w:tcPr>
            <w:tcW w:w="5245" w:type="dxa"/>
          </w:tcPr>
          <w:p w14:paraId="27B6A98A" w14:textId="2D3CB941" w:rsidR="00D72F49" w:rsidRPr="00CF0242" w:rsidRDefault="00D72F49" w:rsidP="00D72F49">
            <w:pPr>
              <w:tabs>
                <w:tab w:val="left" w:pos="851"/>
              </w:tabs>
              <w:spacing w:before="0" w:line="240" w:lineRule="atLeast"/>
              <w:jc w:val="right"/>
              <w:rPr>
                <w:b/>
              </w:rPr>
            </w:pPr>
            <w:r w:rsidRPr="00CF0242">
              <w:rPr>
                <w:b/>
              </w:rPr>
              <w:t>Document C2</w:t>
            </w:r>
            <w:r w:rsidR="0073275D" w:rsidRPr="00CF0242">
              <w:rPr>
                <w:b/>
              </w:rPr>
              <w:t>4</w:t>
            </w:r>
            <w:r w:rsidRPr="00CF0242">
              <w:rPr>
                <w:b/>
              </w:rPr>
              <w:t>/</w:t>
            </w:r>
            <w:r w:rsidR="009E0840" w:rsidRPr="00CF0242">
              <w:rPr>
                <w:b/>
              </w:rPr>
              <w:t>5</w:t>
            </w:r>
            <w:r w:rsidRPr="00CF0242">
              <w:rPr>
                <w:b/>
              </w:rPr>
              <w:t>-F</w:t>
            </w:r>
          </w:p>
        </w:tc>
      </w:tr>
      <w:tr w:rsidR="00D72F49" w:rsidRPr="00CF0242" w14:paraId="41096C77" w14:textId="77777777" w:rsidTr="00D72F49">
        <w:trPr>
          <w:cantSplit/>
        </w:trPr>
        <w:tc>
          <w:tcPr>
            <w:tcW w:w="3969" w:type="dxa"/>
            <w:vMerge/>
          </w:tcPr>
          <w:p w14:paraId="0BBA5643" w14:textId="77777777" w:rsidR="00D72F49" w:rsidRPr="00CF0242" w:rsidRDefault="00D72F49" w:rsidP="00D72F49">
            <w:pPr>
              <w:tabs>
                <w:tab w:val="left" w:pos="851"/>
              </w:tabs>
              <w:spacing w:line="240" w:lineRule="atLeast"/>
              <w:rPr>
                <w:b/>
              </w:rPr>
            </w:pPr>
          </w:p>
        </w:tc>
        <w:tc>
          <w:tcPr>
            <w:tcW w:w="5245" w:type="dxa"/>
          </w:tcPr>
          <w:p w14:paraId="068BECD5" w14:textId="3ABB8F69" w:rsidR="00D72F49" w:rsidRPr="00CF0242" w:rsidRDefault="009E0840" w:rsidP="00D72F49">
            <w:pPr>
              <w:tabs>
                <w:tab w:val="left" w:pos="851"/>
              </w:tabs>
              <w:spacing w:before="0"/>
              <w:jc w:val="right"/>
              <w:rPr>
                <w:b/>
              </w:rPr>
            </w:pPr>
            <w:r w:rsidRPr="00CF0242">
              <w:rPr>
                <w:b/>
                <w:bCs/>
              </w:rPr>
              <w:t xml:space="preserve">9 avril </w:t>
            </w:r>
            <w:r w:rsidR="00D72F49" w:rsidRPr="00CF0242">
              <w:rPr>
                <w:b/>
              </w:rPr>
              <w:t>202</w:t>
            </w:r>
            <w:r w:rsidR="0073275D" w:rsidRPr="00CF0242">
              <w:rPr>
                <w:b/>
              </w:rPr>
              <w:t>4</w:t>
            </w:r>
          </w:p>
        </w:tc>
      </w:tr>
      <w:tr w:rsidR="00D72F49" w:rsidRPr="00CF0242" w14:paraId="17E5B988" w14:textId="77777777" w:rsidTr="00D72F49">
        <w:trPr>
          <w:cantSplit/>
          <w:trHeight w:val="23"/>
        </w:trPr>
        <w:tc>
          <w:tcPr>
            <w:tcW w:w="3969" w:type="dxa"/>
            <w:vMerge/>
          </w:tcPr>
          <w:p w14:paraId="2192D6D7" w14:textId="77777777" w:rsidR="00D72F49" w:rsidRPr="00CF0242" w:rsidRDefault="00D72F49" w:rsidP="00D72F49">
            <w:pPr>
              <w:tabs>
                <w:tab w:val="left" w:pos="851"/>
              </w:tabs>
              <w:spacing w:line="240" w:lineRule="atLeast"/>
              <w:rPr>
                <w:b/>
              </w:rPr>
            </w:pPr>
          </w:p>
        </w:tc>
        <w:tc>
          <w:tcPr>
            <w:tcW w:w="5245" w:type="dxa"/>
          </w:tcPr>
          <w:p w14:paraId="1948C622" w14:textId="77777777" w:rsidR="00D72F49" w:rsidRPr="00CF0242" w:rsidRDefault="00D72F49" w:rsidP="00D72F49">
            <w:pPr>
              <w:tabs>
                <w:tab w:val="left" w:pos="851"/>
              </w:tabs>
              <w:spacing w:before="0" w:line="240" w:lineRule="atLeast"/>
              <w:jc w:val="right"/>
              <w:rPr>
                <w:b/>
              </w:rPr>
            </w:pPr>
            <w:r w:rsidRPr="00CF0242">
              <w:rPr>
                <w:b/>
              </w:rPr>
              <w:t>Original: anglais</w:t>
            </w:r>
          </w:p>
        </w:tc>
      </w:tr>
      <w:tr w:rsidR="00D72F49" w:rsidRPr="00CF0242" w14:paraId="53623BEE" w14:textId="77777777" w:rsidTr="00D72F49">
        <w:trPr>
          <w:cantSplit/>
          <w:trHeight w:val="23"/>
        </w:trPr>
        <w:tc>
          <w:tcPr>
            <w:tcW w:w="3969" w:type="dxa"/>
          </w:tcPr>
          <w:p w14:paraId="630B4C34" w14:textId="77777777" w:rsidR="00D72F49" w:rsidRPr="00CF0242" w:rsidRDefault="00D72F49" w:rsidP="00D72F49">
            <w:pPr>
              <w:tabs>
                <w:tab w:val="left" w:pos="851"/>
              </w:tabs>
              <w:spacing w:line="240" w:lineRule="atLeast"/>
              <w:rPr>
                <w:b/>
              </w:rPr>
            </w:pPr>
          </w:p>
        </w:tc>
        <w:tc>
          <w:tcPr>
            <w:tcW w:w="5245" w:type="dxa"/>
          </w:tcPr>
          <w:p w14:paraId="437750C4" w14:textId="77777777" w:rsidR="00D72F49" w:rsidRPr="00CF0242" w:rsidRDefault="00D72F49" w:rsidP="00D72F49">
            <w:pPr>
              <w:tabs>
                <w:tab w:val="left" w:pos="851"/>
              </w:tabs>
              <w:spacing w:before="0" w:line="240" w:lineRule="atLeast"/>
              <w:jc w:val="right"/>
              <w:rPr>
                <w:b/>
              </w:rPr>
            </w:pPr>
          </w:p>
        </w:tc>
      </w:tr>
      <w:tr w:rsidR="00D72F49" w:rsidRPr="00CF0242" w14:paraId="31FFA2A5" w14:textId="77777777" w:rsidTr="00D72F49">
        <w:trPr>
          <w:cantSplit/>
        </w:trPr>
        <w:tc>
          <w:tcPr>
            <w:tcW w:w="9214" w:type="dxa"/>
            <w:gridSpan w:val="2"/>
            <w:tcMar>
              <w:left w:w="0" w:type="dxa"/>
            </w:tcMar>
          </w:tcPr>
          <w:p w14:paraId="7AA1F34C" w14:textId="3E7729BE" w:rsidR="00D72F49" w:rsidRPr="00CF0242" w:rsidRDefault="00D72F49" w:rsidP="00DD5796">
            <w:pPr>
              <w:pStyle w:val="Source"/>
              <w:spacing w:before="240"/>
              <w:jc w:val="left"/>
              <w:rPr>
                <w:sz w:val="34"/>
                <w:szCs w:val="34"/>
              </w:rPr>
            </w:pPr>
            <w:r w:rsidRPr="00CF0242">
              <w:rPr>
                <w:rFonts w:cstheme="minorHAnsi"/>
                <w:color w:val="000000"/>
                <w:sz w:val="34"/>
                <w:szCs w:val="34"/>
              </w:rPr>
              <w:t xml:space="preserve">Rapport </w:t>
            </w:r>
            <w:r w:rsidR="00E95647" w:rsidRPr="00CF0242">
              <w:rPr>
                <w:rFonts w:cstheme="minorHAnsi"/>
                <w:color w:val="000000"/>
                <w:sz w:val="34"/>
                <w:szCs w:val="34"/>
              </w:rPr>
              <w:t xml:space="preserve">de la </w:t>
            </w:r>
            <w:r w:rsidRPr="00CF0242">
              <w:rPr>
                <w:rFonts w:cstheme="minorHAnsi"/>
                <w:color w:val="000000"/>
                <w:sz w:val="34"/>
                <w:szCs w:val="34"/>
              </w:rPr>
              <w:t>Secrétaire général</w:t>
            </w:r>
            <w:r w:rsidR="00E95647" w:rsidRPr="00CF0242">
              <w:rPr>
                <w:rFonts w:cstheme="minorHAnsi"/>
                <w:color w:val="000000"/>
                <w:sz w:val="34"/>
                <w:szCs w:val="34"/>
              </w:rPr>
              <w:t>e</w:t>
            </w:r>
          </w:p>
        </w:tc>
      </w:tr>
      <w:tr w:rsidR="00D72F49" w:rsidRPr="00CF0242" w14:paraId="65E7E3D8" w14:textId="77777777" w:rsidTr="00D72F49">
        <w:trPr>
          <w:cantSplit/>
        </w:trPr>
        <w:tc>
          <w:tcPr>
            <w:tcW w:w="9214" w:type="dxa"/>
            <w:gridSpan w:val="2"/>
            <w:tcMar>
              <w:left w:w="0" w:type="dxa"/>
            </w:tcMar>
          </w:tcPr>
          <w:p w14:paraId="370F6D7B" w14:textId="76B26FDE" w:rsidR="00D72F49" w:rsidRPr="00CF0242" w:rsidRDefault="009E0840" w:rsidP="00D72F49">
            <w:pPr>
              <w:pStyle w:val="Subtitle"/>
              <w:framePr w:hSpace="0" w:wrap="auto" w:hAnchor="text" w:xAlign="left" w:yAlign="inline"/>
              <w:rPr>
                <w:lang w:val="fr-FR"/>
              </w:rPr>
            </w:pPr>
            <w:bookmarkStart w:id="0" w:name="_Hlk160693145"/>
            <w:r w:rsidRPr="00CF0242">
              <w:rPr>
                <w:lang w:val="fr-FR"/>
              </w:rPr>
              <w:t xml:space="preserve">TRAVAUX PRÉPARATOIRES EN VUE DU FORUM MONDIAL DES </w:t>
            </w:r>
            <w:r w:rsidRPr="00DD5796">
              <w:rPr>
                <w:spacing w:val="-2"/>
                <w:lang w:val="fr-FR"/>
              </w:rPr>
              <w:t>POLITIQUES DE TÉLÉCOMMUNICATION ET DES TECHNOLOGIES DE</w:t>
            </w:r>
            <w:r w:rsidRPr="00CF0242">
              <w:rPr>
                <w:lang w:val="fr-FR"/>
              </w:rPr>
              <w:t xml:space="preserve"> L'INFORMATION ET DES COMMUNICATIONS DE 2026 (FMPT</w:t>
            </w:r>
            <w:r w:rsidRPr="00CF0242">
              <w:rPr>
                <w:lang w:val="fr-FR"/>
              </w:rPr>
              <w:noBreakHyphen/>
              <w:t>26)</w:t>
            </w:r>
            <w:bookmarkEnd w:id="0"/>
          </w:p>
        </w:tc>
      </w:tr>
      <w:tr w:rsidR="00D72F49" w:rsidRPr="00CF0242"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CF0242" w:rsidRDefault="00F37FE5" w:rsidP="00D72F49">
            <w:pPr>
              <w:spacing w:before="160"/>
              <w:rPr>
                <w:b/>
                <w:bCs/>
                <w:sz w:val="26"/>
                <w:szCs w:val="26"/>
              </w:rPr>
            </w:pPr>
            <w:r w:rsidRPr="00CF0242">
              <w:rPr>
                <w:b/>
                <w:bCs/>
                <w:sz w:val="26"/>
                <w:szCs w:val="26"/>
              </w:rPr>
              <w:t>Objet</w:t>
            </w:r>
          </w:p>
          <w:p w14:paraId="45E55FB2" w14:textId="49D75326" w:rsidR="00D72F49" w:rsidRPr="00CF0242" w:rsidRDefault="009E0840" w:rsidP="00D72F49">
            <w:r w:rsidRPr="00CF0242">
              <w:t>Par sa Résolution 2 (Rév. Bucarest, 2022), la Conférence de plénipotentiaires a décidé que le Forum mondial des politiques de télécommunication/TIC (FMPT) se tiendrait de préférence juste avant ou juste après le Forum du Sommet mondial sur la société de l'information (SMSI) (Forum du SMSI), compte tenu de la nécessité de veiller à ce que les États Membres puissent bien se préparer. Le présent document donne des informations générales sur le FMPT et met en avant les instructions données par la Conférence de plénipotentiaires (Bucarest, 2022).</w:t>
            </w:r>
          </w:p>
          <w:p w14:paraId="0B950982" w14:textId="77777777" w:rsidR="00D72F49" w:rsidRPr="00CF0242" w:rsidRDefault="00D72F49" w:rsidP="00D72F49">
            <w:pPr>
              <w:spacing w:before="160"/>
              <w:rPr>
                <w:b/>
                <w:bCs/>
                <w:sz w:val="26"/>
                <w:szCs w:val="26"/>
              </w:rPr>
            </w:pPr>
            <w:r w:rsidRPr="00CF0242">
              <w:rPr>
                <w:b/>
                <w:bCs/>
                <w:sz w:val="26"/>
                <w:szCs w:val="26"/>
              </w:rPr>
              <w:t>Suite à donner par le Conseil</w:t>
            </w:r>
          </w:p>
          <w:p w14:paraId="7637DC40" w14:textId="77777777" w:rsidR="009E0840" w:rsidRPr="00CF0242" w:rsidRDefault="009E0840" w:rsidP="009E0840">
            <w:r w:rsidRPr="00CF0242">
              <w:t>Aux termes de la Résolution 2 (Rév. Bucarest, 2022), la Conférence de plénipotentiaires a chargé le Conseil de l'UIT:</w:t>
            </w:r>
          </w:p>
          <w:p w14:paraId="580970B8" w14:textId="0B3D56FF" w:rsidR="009E0840" w:rsidRPr="00CF0242" w:rsidRDefault="00F64129" w:rsidP="00F64129">
            <w:pPr>
              <w:pStyle w:val="enumlev1"/>
            </w:pPr>
            <w:r w:rsidRPr="00CF0242">
              <w:t>1)</w:t>
            </w:r>
            <w:r w:rsidR="009E0840" w:rsidRPr="00CF0242">
              <w:tab/>
            </w:r>
            <w:r w:rsidR="009E0840" w:rsidRPr="00CF0242">
              <w:rPr>
                <w:b/>
                <w:bCs/>
              </w:rPr>
              <w:t>d'arrêter</w:t>
            </w:r>
            <w:r w:rsidR="009E0840" w:rsidRPr="00CF0242">
              <w:t xml:space="preserve"> la durée, les dates, le lieu, l'ordre du jour et les thèmes des FMPT qui pourraient être organisés dans l'avenir;</w:t>
            </w:r>
          </w:p>
          <w:p w14:paraId="7D36399A" w14:textId="2D8CBD0D" w:rsidR="009E0840" w:rsidRPr="00CF0242" w:rsidRDefault="00F64129" w:rsidP="00F64129">
            <w:pPr>
              <w:pStyle w:val="enumlev1"/>
            </w:pPr>
            <w:r w:rsidRPr="00CF0242">
              <w:t>2)</w:t>
            </w:r>
            <w:r w:rsidR="009E0840" w:rsidRPr="00CF0242">
              <w:tab/>
            </w:r>
            <w:r w:rsidR="009E0840" w:rsidRPr="00CF0242">
              <w:rPr>
                <w:b/>
                <w:bCs/>
              </w:rPr>
              <w:t>d'adopter</w:t>
            </w:r>
            <w:r w:rsidR="009E0840" w:rsidRPr="00CF0242">
              <w:t xml:space="preserve"> une procédure pour l'élaboration du rapport du Secrétaire général au FMPT.</w:t>
            </w:r>
          </w:p>
          <w:p w14:paraId="6F9A6B88" w14:textId="244CC554" w:rsidR="00D72F49" w:rsidRPr="00CF0242" w:rsidRDefault="009E0840" w:rsidP="009E0840">
            <w:r w:rsidRPr="00CF0242">
              <w:t xml:space="preserve">Le Conseil est invité à </w:t>
            </w:r>
            <w:r w:rsidRPr="00CF0242">
              <w:rPr>
                <w:b/>
                <w:bCs/>
              </w:rPr>
              <w:t>fournir des orientations</w:t>
            </w:r>
            <w:r w:rsidRPr="00CF0242">
              <w:t xml:space="preserve"> sur la question ci-dessus.</w:t>
            </w:r>
          </w:p>
          <w:p w14:paraId="121C402A" w14:textId="4FDE1FF1" w:rsidR="00D72F49" w:rsidRPr="00CF0242" w:rsidRDefault="00D72F49" w:rsidP="00D72F49">
            <w:pPr>
              <w:spacing w:before="160"/>
              <w:rPr>
                <w:b/>
                <w:bCs/>
                <w:sz w:val="26"/>
                <w:szCs w:val="26"/>
              </w:rPr>
            </w:pPr>
            <w:r w:rsidRPr="00CF0242">
              <w:rPr>
                <w:b/>
                <w:bCs/>
                <w:sz w:val="26"/>
                <w:szCs w:val="26"/>
              </w:rPr>
              <w:t xml:space="preserve">Lien(s) pertinent(s) avec le </w:t>
            </w:r>
            <w:r w:rsidR="00F37FE5" w:rsidRPr="00CF0242">
              <w:rPr>
                <w:b/>
                <w:bCs/>
                <w:sz w:val="26"/>
                <w:szCs w:val="26"/>
              </w:rPr>
              <w:t>p</w:t>
            </w:r>
            <w:r w:rsidRPr="00CF0242">
              <w:rPr>
                <w:b/>
                <w:bCs/>
                <w:sz w:val="26"/>
                <w:szCs w:val="26"/>
              </w:rPr>
              <w:t>lan stratégique</w:t>
            </w:r>
          </w:p>
          <w:p w14:paraId="60D63331" w14:textId="6EFBC63E" w:rsidR="00D72F49" w:rsidRPr="00CF0242" w:rsidRDefault="009E0840" w:rsidP="00D72F49">
            <w:r w:rsidRPr="00CF0242">
              <w:t>Promouvoir la connectivité universelle et la transformation numérique durable; plate-forme fédératrice.</w:t>
            </w:r>
          </w:p>
          <w:p w14:paraId="11FAADC9" w14:textId="4FC7CD69" w:rsidR="00E95647" w:rsidRPr="00CF0242" w:rsidRDefault="00D72F49" w:rsidP="00D72F49">
            <w:pPr>
              <w:spacing w:before="160"/>
              <w:rPr>
                <w:b/>
                <w:bCs/>
                <w:sz w:val="26"/>
                <w:szCs w:val="26"/>
              </w:rPr>
            </w:pPr>
            <w:r w:rsidRPr="00CF0242">
              <w:rPr>
                <w:b/>
                <w:bCs/>
                <w:sz w:val="26"/>
                <w:szCs w:val="26"/>
              </w:rPr>
              <w:t>Incidences financières</w:t>
            </w:r>
          </w:p>
          <w:p w14:paraId="20DB6DEB" w14:textId="77777777" w:rsidR="00D72F49" w:rsidRDefault="00F64129" w:rsidP="00F64129">
            <w:pPr>
              <w:spacing w:after="120"/>
              <w:rPr>
                <w:spacing w:val="-4"/>
              </w:rPr>
            </w:pPr>
            <w:r w:rsidRPr="00CF0242">
              <w:t>Étant</w:t>
            </w:r>
            <w:r w:rsidR="009E0840" w:rsidRPr="00CF0242">
              <w:t xml:space="preserve"> donné que les travaux préparatoires débuteront en 2024 et 2025, 80 000 CHF seront </w:t>
            </w:r>
            <w:r w:rsidR="009E0840" w:rsidRPr="00DD5796">
              <w:rPr>
                <w:spacing w:val="-4"/>
              </w:rPr>
              <w:t>nécessaires pour le recrutement d</w:t>
            </w:r>
            <w:r w:rsidRPr="00DD5796">
              <w:rPr>
                <w:spacing w:val="-4"/>
              </w:rPr>
              <w:t>'</w:t>
            </w:r>
            <w:r w:rsidR="009E0840" w:rsidRPr="00DD5796">
              <w:rPr>
                <w:spacing w:val="-4"/>
              </w:rPr>
              <w:t>un consultant SSA, comme indiqué dans le Document</w:t>
            </w:r>
            <w:r w:rsidRPr="00DD5796">
              <w:rPr>
                <w:spacing w:val="-4"/>
              </w:rPr>
              <w:t> </w:t>
            </w:r>
            <w:hyperlink r:id="rId7" w:history="1">
              <w:r w:rsidR="009E0840" w:rsidRPr="00DD5796">
                <w:rPr>
                  <w:rStyle w:val="Hyperlink"/>
                  <w:spacing w:val="-4"/>
                </w:rPr>
                <w:t>C24/19</w:t>
              </w:r>
            </w:hyperlink>
            <w:r w:rsidR="009E0840" w:rsidRPr="00DD5796">
              <w:rPr>
                <w:spacing w:val="-4"/>
              </w:rPr>
              <w:t>.</w:t>
            </w:r>
          </w:p>
          <w:p w14:paraId="0CA7B928" w14:textId="77777777" w:rsidR="00DD5796" w:rsidRPr="00CF0242" w:rsidRDefault="00DD5796" w:rsidP="00DD5796">
            <w:pPr>
              <w:spacing w:before="160"/>
              <w:rPr>
                <w:caps/>
                <w:sz w:val="22"/>
              </w:rPr>
            </w:pPr>
            <w:r w:rsidRPr="00CF0242">
              <w:rPr>
                <w:sz w:val="22"/>
              </w:rPr>
              <w:t>__________________</w:t>
            </w:r>
          </w:p>
          <w:p w14:paraId="1976FBFD" w14:textId="77777777" w:rsidR="00DD5796" w:rsidRPr="00CF0242" w:rsidRDefault="00DD5796" w:rsidP="00DD5796">
            <w:pPr>
              <w:keepNext/>
              <w:keepLines/>
              <w:spacing w:before="160"/>
              <w:rPr>
                <w:b/>
                <w:bCs/>
                <w:sz w:val="26"/>
                <w:szCs w:val="26"/>
              </w:rPr>
            </w:pPr>
            <w:r w:rsidRPr="00CF0242">
              <w:rPr>
                <w:b/>
                <w:bCs/>
                <w:sz w:val="26"/>
                <w:szCs w:val="26"/>
              </w:rPr>
              <w:t>Références</w:t>
            </w:r>
          </w:p>
          <w:p w14:paraId="3B399B5C" w14:textId="04ADE531" w:rsidR="00DD5796" w:rsidRPr="00CF0242" w:rsidRDefault="00DD5796" w:rsidP="00DD5796">
            <w:pPr>
              <w:spacing w:after="120"/>
              <w:rPr>
                <w:sz w:val="26"/>
                <w:szCs w:val="26"/>
              </w:rPr>
            </w:pPr>
            <w:hyperlink r:id="rId8" w:history="1">
              <w:r w:rsidRPr="00DD5796">
                <w:rPr>
                  <w:rStyle w:val="Hyperlink"/>
                  <w:i/>
                  <w:iCs/>
                  <w:sz w:val="22"/>
                  <w:szCs w:val="22"/>
                </w:rPr>
                <w:t>Résolution 2</w:t>
              </w:r>
              <w:r w:rsidRPr="00DD5796">
                <w:rPr>
                  <w:i/>
                  <w:iCs/>
                  <w:sz w:val="22"/>
                  <w:szCs w:val="22"/>
                </w:rPr>
                <w:t xml:space="preserve"> (Rév. Bucarest, 2022) de la Conférence de plénipotentiaires; Document </w:t>
              </w:r>
              <w:r w:rsidRPr="00DD5796">
                <w:rPr>
                  <w:rStyle w:val="Hyperlink"/>
                  <w:i/>
                  <w:iCs/>
                  <w:sz w:val="22"/>
                  <w:szCs w:val="22"/>
                </w:rPr>
                <w:t>PP</w:t>
              </w:r>
              <w:r w:rsidRPr="00DD5796">
                <w:rPr>
                  <w:rStyle w:val="Hyperlink"/>
                  <w:i/>
                  <w:iCs/>
                  <w:sz w:val="22"/>
                  <w:szCs w:val="22"/>
                </w:rPr>
                <w:noBreakHyphen/>
                <w:t>22/207</w:t>
              </w:r>
              <w:r w:rsidRPr="00DD5796">
                <w:rPr>
                  <w:i/>
                  <w:iCs/>
                  <w:sz w:val="22"/>
                  <w:szCs w:val="22"/>
                </w:rPr>
                <w:t xml:space="preserve"> de la Conférence de plénipotentiaires</w:t>
              </w:r>
            </w:hyperlink>
          </w:p>
        </w:tc>
      </w:tr>
    </w:tbl>
    <w:p w14:paraId="3B7150AC" w14:textId="77777777" w:rsidR="00A51849" w:rsidRPr="00CF0242" w:rsidRDefault="00A51849">
      <w:pPr>
        <w:tabs>
          <w:tab w:val="clear" w:pos="567"/>
          <w:tab w:val="clear" w:pos="1134"/>
          <w:tab w:val="clear" w:pos="1701"/>
          <w:tab w:val="clear" w:pos="2268"/>
          <w:tab w:val="clear" w:pos="2835"/>
        </w:tabs>
        <w:overflowPunct/>
        <w:autoSpaceDE/>
        <w:autoSpaceDN/>
        <w:adjustRightInd/>
        <w:spacing w:before="0"/>
        <w:textAlignment w:val="auto"/>
      </w:pPr>
      <w:r w:rsidRPr="00CF0242">
        <w:br w:type="page"/>
      </w:r>
    </w:p>
    <w:p w14:paraId="3033672E" w14:textId="47AD953B" w:rsidR="009E0840" w:rsidRPr="00CF0242" w:rsidRDefault="009E0840" w:rsidP="000112EC">
      <w:pPr>
        <w:rPr>
          <w:rFonts w:cs="Calibri"/>
          <w:szCs w:val="24"/>
        </w:rPr>
      </w:pPr>
      <w:r w:rsidRPr="00CF0242">
        <w:lastRenderedPageBreak/>
        <w:t>1</w:t>
      </w:r>
      <w:r w:rsidRPr="00CF0242">
        <w:tab/>
        <w:t xml:space="preserve">Par sa </w:t>
      </w:r>
      <w:hyperlink r:id="rId9" w:history="1">
        <w:r w:rsidRPr="00CF0242">
          <w:rPr>
            <w:rStyle w:val="Hyperlink"/>
          </w:rPr>
          <w:t>Résolution 2</w:t>
        </w:r>
      </w:hyperlink>
      <w:r w:rsidRPr="00CF0242">
        <w:t xml:space="preserve"> (Rév. Bucarest, 2022), la Conférence de plénipotentiaires a décidé que le Forum mondial des politiques de télécommunication/TIC (FMPT) se tiendrait de préférence juste avant ou juste après le Forum du Sommet mondial sur la société de l'information (SMSI) (Forum du SMSI), compte tenu de la nécessité de veiller à ce que les États Membres puissent bien se préparer.</w:t>
      </w:r>
    </w:p>
    <w:p w14:paraId="3F0A2F78" w14:textId="154A6D26" w:rsidR="009E0840" w:rsidRPr="00CF0242" w:rsidRDefault="009E0840" w:rsidP="000112EC">
      <w:pPr>
        <w:rPr>
          <w:rFonts w:cs="Calibri"/>
          <w:szCs w:val="24"/>
        </w:rPr>
      </w:pPr>
      <w:r w:rsidRPr="00CF0242">
        <w:t>2</w:t>
      </w:r>
      <w:r w:rsidRPr="00CF0242">
        <w:tab/>
        <w:t>La Conférence de plénipotentiaires (Bucarest, 2022) a également chargé le Conseil de planifier l'organisation d</w:t>
      </w:r>
      <w:r w:rsidR="00F64129" w:rsidRPr="00CF0242">
        <w:t>'</w:t>
      </w:r>
      <w:r w:rsidRPr="00CF0242">
        <w:t>un FMPT en 2026.</w:t>
      </w:r>
    </w:p>
    <w:p w14:paraId="04CBEDAF" w14:textId="634A0A7E" w:rsidR="009E0840" w:rsidRPr="00CF0242" w:rsidRDefault="009E0840" w:rsidP="000112EC">
      <w:pPr>
        <w:rPr>
          <w:rFonts w:asciiTheme="minorHAnsi" w:hAnsiTheme="minorHAnsi"/>
          <w:szCs w:val="24"/>
        </w:rPr>
      </w:pPr>
      <w:r w:rsidRPr="00CF0242">
        <w:t>3</w:t>
      </w:r>
      <w:r w:rsidRPr="00CF0242">
        <w:tab/>
        <w:t>Aux termes de la Résolution 2 (Rév. Bucarest, 2022), la Conférence de plénipotentiaires a chargé le Conseil de l'UIT de ce qui suit:</w:t>
      </w:r>
    </w:p>
    <w:p w14:paraId="1E69F2F2" w14:textId="0F126C61" w:rsidR="009E0840" w:rsidRPr="00CF0242" w:rsidRDefault="000112EC" w:rsidP="000112EC">
      <w:pPr>
        <w:pStyle w:val="enumlev1"/>
        <w:rPr>
          <w:rFonts w:asciiTheme="minorHAnsi" w:hAnsiTheme="minorHAnsi"/>
        </w:rPr>
      </w:pPr>
      <w:r w:rsidRPr="00CF0242">
        <w:t>a)</w:t>
      </w:r>
      <w:r w:rsidRPr="00CF0242">
        <w:tab/>
      </w:r>
      <w:r w:rsidR="009E0840" w:rsidRPr="00CF0242">
        <w:t>arrêter la durée, les dates, le lieu, l'ordre du jour et les thèmes des FMPT qui pourraient être organisés dans l'avenir;</w:t>
      </w:r>
    </w:p>
    <w:p w14:paraId="6199F35F" w14:textId="6942C0F6" w:rsidR="009E0840" w:rsidRPr="00CF0242" w:rsidRDefault="000112EC" w:rsidP="000112EC">
      <w:pPr>
        <w:pStyle w:val="enumlev1"/>
      </w:pPr>
      <w:r w:rsidRPr="00CF0242">
        <w:t>b)</w:t>
      </w:r>
      <w:r w:rsidRPr="00CF0242">
        <w:tab/>
      </w:r>
      <w:r w:rsidR="009E0840" w:rsidRPr="00CF0242">
        <w:t>adopter une procédure pour l'élaboration du rapport du Secrétaire général au FMPT;</w:t>
      </w:r>
    </w:p>
    <w:p w14:paraId="6A1A6BF6" w14:textId="5F22557C" w:rsidR="009E0840" w:rsidRPr="00CF0242" w:rsidRDefault="000112EC" w:rsidP="000112EC">
      <w:pPr>
        <w:pStyle w:val="enumlev1"/>
      </w:pPr>
      <w:r w:rsidRPr="00CF0242">
        <w:t>c)</w:t>
      </w:r>
      <w:r w:rsidRPr="00CF0242">
        <w:tab/>
      </w:r>
      <w:r w:rsidR="009E0840" w:rsidRPr="00CF0242">
        <w:t xml:space="preserve">la procédure visée au point 2 du </w:t>
      </w:r>
      <w:r w:rsidR="009E0840" w:rsidRPr="00CF0242">
        <w:rPr>
          <w:i/>
          <w:iCs/>
        </w:rPr>
        <w:t>charge le Conseil de l'UIT</w:t>
      </w:r>
      <w:r w:rsidR="009E0840" w:rsidRPr="00CF0242">
        <w:t xml:space="preserve"> devrait être ouverte à la participation de tous les États Membres et de tous les Membres de Secteur, selon qu'il conviendra, et comprendre des consultations publiques en ligne ouvertes à toutes les parties prenantes intéressées, compte tenu de la pratique suivie antérieurement et de l'expérience acquise par l'UIT, y compris en ce qui concerne le processus préparatoire, concernant la tenue des éditions précédentes du FMPT.</w:t>
      </w:r>
    </w:p>
    <w:p w14:paraId="12AC9E27" w14:textId="3697A821" w:rsidR="009E0840" w:rsidRPr="00CF0242" w:rsidRDefault="009E0840" w:rsidP="000112EC">
      <w:pPr>
        <w:rPr>
          <w:rFonts w:cs="Calibri"/>
        </w:rPr>
      </w:pPr>
      <w:r w:rsidRPr="00CF0242">
        <w:t>4</w:t>
      </w:r>
      <w:r w:rsidRPr="00CF0242">
        <w:tab/>
      </w:r>
      <w:r w:rsidR="00453ACC" w:rsidRPr="00CF0242">
        <w:t>À</w:t>
      </w:r>
      <w:r w:rsidRPr="00CF0242">
        <w:t xml:space="preserve"> sa session de 2023, le Conseil a </w:t>
      </w:r>
      <w:r w:rsidRPr="00CF0242">
        <w:rPr>
          <w:b/>
          <w:bCs/>
        </w:rPr>
        <w:t>pris note</w:t>
      </w:r>
      <w:r w:rsidRPr="00CF0242">
        <w:t xml:space="preserve"> du Document C23/13 relatif à la préparation du Forum mondial des politiques de télécommunication/TIC (FMPT) de 2026, les conseillers ayant estimé que la décision finale sur les propositions pourrait être prise par le Conseil à sa session de 2024.</w:t>
      </w:r>
    </w:p>
    <w:p w14:paraId="033BF339" w14:textId="3FF1A86C" w:rsidR="009E0840" w:rsidRPr="00CF0242" w:rsidRDefault="009E0840" w:rsidP="000112EC">
      <w:r w:rsidRPr="00CF0242">
        <w:t>5</w:t>
      </w:r>
      <w:r w:rsidRPr="00CF0242">
        <w:tab/>
      </w:r>
      <w:r w:rsidR="00453ACC" w:rsidRPr="00CF0242">
        <w:t>À</w:t>
      </w:r>
      <w:r w:rsidRPr="00CF0242">
        <w:t xml:space="preserve"> sa session de 2023, le Conseil a nommé M. David Bédard (Canada) à la présidence du Groupe informel d</w:t>
      </w:r>
      <w:r w:rsidR="00F64129" w:rsidRPr="00CF0242">
        <w:t>'</w:t>
      </w:r>
      <w:r w:rsidRPr="00CF0242">
        <w:t>experts chargé de fournir des avis à la Secrétaire générale sur la suite de l'élaboration du rapport du Secrétaire général et sur les projets d'avis associés à ce rapport.</w:t>
      </w:r>
    </w:p>
    <w:p w14:paraId="2DEE75E6" w14:textId="34D70D7A" w:rsidR="009E0840" w:rsidRPr="00CF0242" w:rsidRDefault="009E0840" w:rsidP="00453ACC">
      <w:pPr>
        <w:spacing w:after="240"/>
      </w:pPr>
      <w:r w:rsidRPr="00CF0242">
        <w:t>6</w:t>
      </w:r>
      <w:r w:rsidR="000112EC" w:rsidRPr="00CF0242">
        <w:tab/>
      </w:r>
      <w:r w:rsidRPr="00CF0242">
        <w:t>Le calendrier proposé pour la préparation du FMPT-2026 est le suivant:</w:t>
      </w:r>
    </w:p>
    <w:tbl>
      <w:tblPr>
        <w:tblW w:w="9202" w:type="dxa"/>
        <w:jc w:val="center"/>
        <w:tblLayout w:type="fixed"/>
        <w:tblCellMar>
          <w:left w:w="0" w:type="dxa"/>
          <w:right w:w="0" w:type="dxa"/>
        </w:tblCellMar>
        <w:tblLook w:val="04A0" w:firstRow="1" w:lastRow="0" w:firstColumn="1" w:lastColumn="0" w:noHBand="0" w:noVBand="1"/>
      </w:tblPr>
      <w:tblGrid>
        <w:gridCol w:w="3342"/>
        <w:gridCol w:w="5860"/>
      </w:tblGrid>
      <w:tr w:rsidR="009E0840" w:rsidRPr="00CF0242" w14:paraId="334A503A" w14:textId="77777777" w:rsidTr="00453ACC">
        <w:trPr>
          <w:tblHeader/>
          <w:jc w:val="center"/>
        </w:trPr>
        <w:tc>
          <w:tcPr>
            <w:tcW w:w="3342"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67638715" w14:textId="77777777" w:rsidR="009E0840" w:rsidRPr="00CF0242" w:rsidRDefault="009E0840" w:rsidP="00453ACC">
            <w:pPr>
              <w:pStyle w:val="Tablehead"/>
              <w:rPr>
                <w:rFonts w:asciiTheme="minorHAnsi" w:eastAsiaTheme="minorEastAsia" w:hAnsiTheme="minorHAnsi" w:cstheme="minorHAnsi"/>
                <w:szCs w:val="24"/>
              </w:rPr>
            </w:pPr>
            <w:r w:rsidRPr="00CF0242">
              <w:t>Calendrier</w:t>
            </w:r>
          </w:p>
        </w:tc>
        <w:tc>
          <w:tcPr>
            <w:tcW w:w="5860"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70421C73" w14:textId="77777777" w:rsidR="009E0840" w:rsidRPr="00CF0242" w:rsidRDefault="009E0840" w:rsidP="00453ACC">
            <w:pPr>
              <w:pStyle w:val="Tablehead"/>
              <w:rPr>
                <w:rFonts w:asciiTheme="minorHAnsi" w:eastAsiaTheme="minorEastAsia" w:hAnsiTheme="minorHAnsi" w:cstheme="minorHAnsi"/>
                <w:szCs w:val="24"/>
                <w:lang w:eastAsia="zh-CN"/>
              </w:rPr>
            </w:pPr>
          </w:p>
        </w:tc>
      </w:tr>
      <w:tr w:rsidR="009E0840" w:rsidRPr="00CF0242" w14:paraId="36CBDF02" w14:textId="77777777" w:rsidTr="00453ACC">
        <w:trPr>
          <w:trHeight w:val="710"/>
          <w:tblHeader/>
          <w:jc w:val="center"/>
        </w:trPr>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F4A300" w14:textId="066A5095" w:rsidR="009E0840" w:rsidRPr="00CF0242" w:rsidRDefault="009E0840" w:rsidP="00453ACC">
            <w:pPr>
              <w:pStyle w:val="Tabletext"/>
              <w:rPr>
                <w:b/>
                <w:bCs/>
              </w:rPr>
            </w:pPr>
            <w:r w:rsidRPr="00CF0242">
              <w:rPr>
                <w:b/>
                <w:bCs/>
              </w:rPr>
              <w:t>Septembre 2024</w:t>
            </w:r>
            <w:r w:rsidR="00CD59FF" w:rsidRPr="00CF0242">
              <w:rPr>
                <w:b/>
                <w:bCs/>
              </w:rPr>
              <w:t xml:space="preserve"> </w:t>
            </w:r>
            <w:r w:rsidRPr="00CF0242">
              <w:rPr>
                <w:b/>
                <w:bCs/>
              </w:rPr>
              <w:t>(dans le cadre de la série de réunions des GTC)</w:t>
            </w:r>
          </w:p>
        </w:tc>
        <w:tc>
          <w:tcPr>
            <w:tcW w:w="5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81E2059" w14:textId="77777777" w:rsidR="009E0840" w:rsidRPr="00CF0242" w:rsidRDefault="009E0840" w:rsidP="00453ACC">
            <w:pPr>
              <w:pStyle w:val="Tabletext"/>
              <w:rPr>
                <w:rFonts w:asciiTheme="minorHAnsi" w:eastAsiaTheme="minorEastAsia" w:hAnsiTheme="minorHAnsi" w:cstheme="minorHAnsi"/>
                <w:szCs w:val="24"/>
              </w:rPr>
            </w:pPr>
            <w:r w:rsidRPr="00CF0242">
              <w:t>Première réunion du GEI (2 jours)</w:t>
            </w:r>
          </w:p>
        </w:tc>
      </w:tr>
      <w:tr w:rsidR="009E0840" w:rsidRPr="00CF0242" w14:paraId="3CADD9E2" w14:textId="77777777" w:rsidTr="00453ACC">
        <w:trPr>
          <w:tblHeader/>
          <w:jc w:val="center"/>
        </w:trPr>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841A4" w14:textId="72C3800A" w:rsidR="009E0840" w:rsidRPr="00CF0242" w:rsidRDefault="00453ACC" w:rsidP="00CD59FF">
            <w:pPr>
              <w:pStyle w:val="Tabletext"/>
              <w:rPr>
                <w:rFonts w:asciiTheme="minorHAnsi" w:eastAsiaTheme="minorEastAsia" w:hAnsiTheme="minorHAnsi" w:cstheme="minorHAnsi"/>
                <w:b/>
                <w:bCs/>
                <w:szCs w:val="24"/>
              </w:rPr>
            </w:pPr>
            <w:r w:rsidRPr="00CF0242">
              <w:rPr>
                <w:b/>
                <w:bCs/>
              </w:rPr>
              <w:t>F</w:t>
            </w:r>
            <w:r w:rsidR="009E0840" w:rsidRPr="00CF0242">
              <w:rPr>
                <w:b/>
                <w:bCs/>
              </w:rPr>
              <w:t>évrier 2025</w:t>
            </w:r>
            <w:r w:rsidR="00CD59FF" w:rsidRPr="00CF0242">
              <w:rPr>
                <w:b/>
                <w:bCs/>
              </w:rPr>
              <w:t xml:space="preserve"> </w:t>
            </w:r>
            <w:r w:rsidR="009E0840" w:rsidRPr="00CF0242">
              <w:rPr>
                <w:b/>
                <w:bCs/>
              </w:rPr>
              <w:t>(dans le cadre de la série de réunions des GTC)</w:t>
            </w:r>
          </w:p>
        </w:tc>
        <w:tc>
          <w:tcPr>
            <w:tcW w:w="5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B1E80" w14:textId="77777777" w:rsidR="009E0840" w:rsidRPr="00CF0242" w:rsidRDefault="009E0840" w:rsidP="00453ACC">
            <w:pPr>
              <w:pStyle w:val="Tabletext"/>
              <w:rPr>
                <w:rFonts w:asciiTheme="minorHAnsi" w:eastAsiaTheme="minorEastAsia" w:hAnsiTheme="minorHAnsi" w:cstheme="minorHAnsi"/>
                <w:szCs w:val="24"/>
              </w:rPr>
            </w:pPr>
            <w:r w:rsidRPr="00CF0242">
              <w:t>Deuxième réunion du GEI (2 jours)</w:t>
            </w:r>
          </w:p>
        </w:tc>
      </w:tr>
      <w:tr w:rsidR="009E0840" w:rsidRPr="00CF0242" w14:paraId="691A53F1" w14:textId="77777777" w:rsidTr="00453ACC">
        <w:trPr>
          <w:tblHeader/>
          <w:jc w:val="center"/>
        </w:trPr>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C9495" w14:textId="6A6C1FE2" w:rsidR="009E0840" w:rsidRPr="00CF0242" w:rsidRDefault="00453ACC" w:rsidP="00453ACC">
            <w:pPr>
              <w:pStyle w:val="Tabletext"/>
              <w:rPr>
                <w:rFonts w:asciiTheme="minorHAnsi" w:eastAsiaTheme="minorEastAsia" w:hAnsiTheme="minorHAnsi" w:cstheme="minorHAnsi"/>
                <w:b/>
                <w:bCs/>
                <w:szCs w:val="24"/>
              </w:rPr>
            </w:pPr>
            <w:r w:rsidRPr="00CF0242">
              <w:rPr>
                <w:b/>
                <w:bCs/>
              </w:rPr>
              <w:t>S</w:t>
            </w:r>
            <w:r w:rsidR="009E0840" w:rsidRPr="00CF0242">
              <w:rPr>
                <w:b/>
                <w:bCs/>
              </w:rPr>
              <w:t>eptembre 2025</w:t>
            </w:r>
            <w:r w:rsidR="00CD59FF" w:rsidRPr="00CF0242">
              <w:rPr>
                <w:b/>
                <w:bCs/>
              </w:rPr>
              <w:t xml:space="preserve"> (</w:t>
            </w:r>
            <w:r w:rsidR="009E0840" w:rsidRPr="00CF0242">
              <w:rPr>
                <w:b/>
                <w:bCs/>
              </w:rPr>
              <w:t>dans le cadre de la série de réunions des GTC)</w:t>
            </w:r>
          </w:p>
        </w:tc>
        <w:tc>
          <w:tcPr>
            <w:tcW w:w="5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CFE08" w14:textId="77777777" w:rsidR="009E0840" w:rsidRPr="00CF0242" w:rsidRDefault="009E0840" w:rsidP="00453ACC">
            <w:pPr>
              <w:pStyle w:val="Tabletext"/>
              <w:rPr>
                <w:rFonts w:asciiTheme="minorHAnsi" w:eastAsiaTheme="minorEastAsia" w:hAnsiTheme="minorHAnsi" w:cstheme="minorHAnsi"/>
                <w:szCs w:val="24"/>
              </w:rPr>
            </w:pPr>
            <w:r w:rsidRPr="00CF0242">
              <w:t>Troisième réunion du GEI (3 jours)</w:t>
            </w:r>
          </w:p>
        </w:tc>
      </w:tr>
      <w:tr w:rsidR="009E0840" w:rsidRPr="00CF0242" w14:paraId="0F8A2B8A" w14:textId="77777777" w:rsidTr="00453ACC">
        <w:trPr>
          <w:tblHeader/>
          <w:jc w:val="center"/>
        </w:trPr>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E2617" w14:textId="3BA37B50" w:rsidR="009E0840" w:rsidRPr="00CF0242" w:rsidRDefault="00453ACC" w:rsidP="00CD59FF">
            <w:pPr>
              <w:pStyle w:val="Tabletext"/>
              <w:keepNext/>
              <w:keepLines/>
              <w:rPr>
                <w:rFonts w:asciiTheme="minorHAnsi" w:eastAsiaTheme="minorEastAsia" w:hAnsiTheme="minorHAnsi" w:cstheme="minorHAnsi"/>
                <w:b/>
                <w:bCs/>
                <w:szCs w:val="24"/>
              </w:rPr>
            </w:pPr>
            <w:r w:rsidRPr="00CF0242">
              <w:rPr>
                <w:b/>
                <w:bCs/>
              </w:rPr>
              <w:t>F</w:t>
            </w:r>
            <w:r w:rsidR="009E0840" w:rsidRPr="00CF0242">
              <w:rPr>
                <w:b/>
                <w:bCs/>
              </w:rPr>
              <w:t>évrier 2026</w:t>
            </w:r>
            <w:r w:rsidR="00CD59FF" w:rsidRPr="00CF0242">
              <w:rPr>
                <w:b/>
                <w:bCs/>
              </w:rPr>
              <w:t xml:space="preserve"> </w:t>
            </w:r>
            <w:r w:rsidR="009E0840" w:rsidRPr="00CF0242">
              <w:rPr>
                <w:b/>
                <w:bCs/>
              </w:rPr>
              <w:t>(dans le cadre de la série de réunions des GTC)</w:t>
            </w:r>
          </w:p>
        </w:tc>
        <w:tc>
          <w:tcPr>
            <w:tcW w:w="5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881493" w14:textId="77777777" w:rsidR="009E0840" w:rsidRPr="00CF0242" w:rsidRDefault="009E0840" w:rsidP="00453ACC">
            <w:pPr>
              <w:pStyle w:val="Tabletext"/>
              <w:keepNext/>
              <w:keepLines/>
              <w:rPr>
                <w:rFonts w:asciiTheme="minorHAnsi" w:eastAsiaTheme="minorEastAsia" w:hAnsiTheme="minorHAnsi" w:cstheme="minorHAnsi"/>
                <w:szCs w:val="24"/>
              </w:rPr>
            </w:pPr>
            <w:r w:rsidRPr="00CF0242">
              <w:t>Quatrième réunion du GEI (3 jours)</w:t>
            </w:r>
          </w:p>
        </w:tc>
      </w:tr>
      <w:tr w:rsidR="009E0840" w:rsidRPr="00CF0242" w14:paraId="401CB6D8" w14:textId="77777777" w:rsidTr="00453ACC">
        <w:trPr>
          <w:tblHeader/>
          <w:jc w:val="center"/>
        </w:trPr>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B50255" w14:textId="5D24DBE8" w:rsidR="009E0840" w:rsidRPr="00CF0242" w:rsidRDefault="009E0840" w:rsidP="00453ACC">
            <w:pPr>
              <w:pStyle w:val="Tabletext"/>
              <w:keepNext/>
              <w:keepLines/>
              <w:rPr>
                <w:rFonts w:asciiTheme="minorHAnsi" w:eastAsiaTheme="minorEastAsia" w:hAnsiTheme="minorHAnsi" w:cstheme="minorHAnsi"/>
                <w:b/>
                <w:bCs/>
                <w:szCs w:val="24"/>
              </w:rPr>
            </w:pPr>
            <w:r w:rsidRPr="00CF0242">
              <w:rPr>
                <w:b/>
                <w:bCs/>
              </w:rPr>
              <w:t>Mi-2026 (</w:t>
            </w:r>
            <w:r w:rsidRPr="00CF0242">
              <w:rPr>
                <w:b/>
                <w:bCs/>
                <w:i/>
                <w:iCs/>
              </w:rPr>
              <w:t>juste avant ou juste après</w:t>
            </w:r>
            <w:r w:rsidRPr="00CF0242">
              <w:rPr>
                <w:b/>
                <w:bCs/>
              </w:rPr>
              <w:t xml:space="preserve"> le Forum du SMSI de 2026)</w:t>
            </w:r>
          </w:p>
        </w:tc>
        <w:tc>
          <w:tcPr>
            <w:tcW w:w="5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74F5F" w14:textId="77777777" w:rsidR="009E0840" w:rsidRPr="00CF0242" w:rsidRDefault="009E0840" w:rsidP="00453ACC">
            <w:pPr>
              <w:pStyle w:val="Tabletext"/>
              <w:keepNext/>
              <w:keepLines/>
              <w:rPr>
                <w:rFonts w:asciiTheme="minorHAnsi" w:eastAsiaTheme="minorEastAsia" w:hAnsiTheme="minorHAnsi" w:cstheme="minorHAnsi"/>
                <w:szCs w:val="24"/>
              </w:rPr>
            </w:pPr>
            <w:r w:rsidRPr="00CF0242">
              <w:t>Dates proposées pour le FMPT-26</w:t>
            </w:r>
          </w:p>
        </w:tc>
      </w:tr>
    </w:tbl>
    <w:p w14:paraId="05309BCC" w14:textId="4BF3C5BC" w:rsidR="00897553" w:rsidRPr="00CF0242" w:rsidRDefault="006A11AE" w:rsidP="00DD5796">
      <w:pPr>
        <w:spacing w:before="600"/>
        <w:jc w:val="center"/>
      </w:pPr>
      <w:r w:rsidRPr="00CF0242">
        <w:t>______________</w:t>
      </w:r>
    </w:p>
    <w:sectPr w:rsidR="00897553" w:rsidRPr="00CF0242" w:rsidSect="00D72F49">
      <w:headerReference w:type="even" r:id="rId10"/>
      <w:footerReference w:type="even" r:id="rId11"/>
      <w:footerReference w:type="default" r:id="rId12"/>
      <w:headerReference w:type="first" r:id="rId13"/>
      <w:footerReference w:type="first" r:id="rId1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35478526" w:rsidR="00732045" w:rsidRDefault="00370EDB">
    <w:pPr>
      <w:pStyle w:val="Footer"/>
    </w:pPr>
    <w:fldSimple w:instr=" FILENAME \p \* MERGEFORMAT ">
      <w:r>
        <w:t>P:\FRA\gDoc\24-00537F.docx</w:t>
      </w:r>
    </w:fldSimple>
    <w:r w:rsidR="00732045">
      <w:tab/>
    </w:r>
    <w:r w:rsidR="002F1B76">
      <w:fldChar w:fldCharType="begin"/>
    </w:r>
    <w:r w:rsidR="00732045">
      <w:instrText xml:space="preserve"> savedate \@ dd.MM.yy </w:instrText>
    </w:r>
    <w:r w:rsidR="002F1B76">
      <w:fldChar w:fldCharType="separate"/>
    </w:r>
    <w:r w:rsidR="00DD5796">
      <w:t>15.04.24</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4013822D" w:rsidR="00A51849" w:rsidRDefault="00A51849" w:rsidP="00A51849">
          <w:pPr>
            <w:pStyle w:val="Header"/>
            <w:jc w:val="left"/>
            <w:rPr>
              <w:noProof/>
            </w:rPr>
          </w:pPr>
        </w:p>
      </w:tc>
      <w:tc>
        <w:tcPr>
          <w:tcW w:w="8261" w:type="dxa"/>
        </w:tcPr>
        <w:p w14:paraId="0DB0A3C6" w14:textId="551D2FA5"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453ACC">
            <w:rPr>
              <w:bCs/>
            </w:rPr>
            <w:t>5</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4775CFA4"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DD5796"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517A11D5"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9E0840">
            <w:rPr>
              <w:bCs/>
            </w:rPr>
            <w:t>5</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5BB99D57"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646C1"/>
    <w:multiLevelType w:val="hybridMultilevel"/>
    <w:tmpl w:val="E3B2C43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031729F"/>
    <w:multiLevelType w:val="hybridMultilevel"/>
    <w:tmpl w:val="8EB0A1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5796908">
    <w:abstractNumId w:val="1"/>
  </w:num>
  <w:num w:numId="2" w16cid:durableId="19137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112EC"/>
    <w:rsid w:val="00076A2C"/>
    <w:rsid w:val="000D0D0A"/>
    <w:rsid w:val="00103163"/>
    <w:rsid w:val="00106B19"/>
    <w:rsid w:val="001133EF"/>
    <w:rsid w:val="00115D93"/>
    <w:rsid w:val="001247A8"/>
    <w:rsid w:val="001378C0"/>
    <w:rsid w:val="0018694A"/>
    <w:rsid w:val="001A3287"/>
    <w:rsid w:val="001A6508"/>
    <w:rsid w:val="001D4C31"/>
    <w:rsid w:val="001E4D21"/>
    <w:rsid w:val="00207CD1"/>
    <w:rsid w:val="00226657"/>
    <w:rsid w:val="002477A2"/>
    <w:rsid w:val="00263A51"/>
    <w:rsid w:val="00267E02"/>
    <w:rsid w:val="002A5D44"/>
    <w:rsid w:val="002E0BC4"/>
    <w:rsid w:val="002F1B76"/>
    <w:rsid w:val="0033568E"/>
    <w:rsid w:val="00355FF5"/>
    <w:rsid w:val="00361350"/>
    <w:rsid w:val="00370EDB"/>
    <w:rsid w:val="003C3FAE"/>
    <w:rsid w:val="004038CB"/>
    <w:rsid w:val="0040546F"/>
    <w:rsid w:val="0042404A"/>
    <w:rsid w:val="0044618F"/>
    <w:rsid w:val="00453ACC"/>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A11AE"/>
    <w:rsid w:val="006F0A53"/>
    <w:rsid w:val="007210CD"/>
    <w:rsid w:val="00732045"/>
    <w:rsid w:val="0073275D"/>
    <w:rsid w:val="007369DB"/>
    <w:rsid w:val="007956C2"/>
    <w:rsid w:val="007A187E"/>
    <w:rsid w:val="007C72C2"/>
    <w:rsid w:val="007D4436"/>
    <w:rsid w:val="007F257A"/>
    <w:rsid w:val="007F3665"/>
    <w:rsid w:val="00800037"/>
    <w:rsid w:val="0082299A"/>
    <w:rsid w:val="0083391C"/>
    <w:rsid w:val="00861D73"/>
    <w:rsid w:val="00897553"/>
    <w:rsid w:val="008A4E87"/>
    <w:rsid w:val="008D76E6"/>
    <w:rsid w:val="0092392D"/>
    <w:rsid w:val="0093234A"/>
    <w:rsid w:val="00937F84"/>
    <w:rsid w:val="00956A78"/>
    <w:rsid w:val="0097363B"/>
    <w:rsid w:val="00973F53"/>
    <w:rsid w:val="009A6BAA"/>
    <w:rsid w:val="009C307F"/>
    <w:rsid w:val="009C353C"/>
    <w:rsid w:val="009E0840"/>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B4545"/>
    <w:rsid w:val="00BD5873"/>
    <w:rsid w:val="00BF4B60"/>
    <w:rsid w:val="00C04BE3"/>
    <w:rsid w:val="00C25D29"/>
    <w:rsid w:val="00C27A7C"/>
    <w:rsid w:val="00C42437"/>
    <w:rsid w:val="00CA08ED"/>
    <w:rsid w:val="00CD59FF"/>
    <w:rsid w:val="00CF0242"/>
    <w:rsid w:val="00CF183B"/>
    <w:rsid w:val="00D375CD"/>
    <w:rsid w:val="00D553A2"/>
    <w:rsid w:val="00D72F49"/>
    <w:rsid w:val="00D774D3"/>
    <w:rsid w:val="00D904E8"/>
    <w:rsid w:val="00DA08C3"/>
    <w:rsid w:val="00DB5A3E"/>
    <w:rsid w:val="00DC22AA"/>
    <w:rsid w:val="00DD5796"/>
    <w:rsid w:val="00DF74DD"/>
    <w:rsid w:val="00E25AD0"/>
    <w:rsid w:val="00E4428F"/>
    <w:rsid w:val="00E93668"/>
    <w:rsid w:val="00E95647"/>
    <w:rsid w:val="00EB6350"/>
    <w:rsid w:val="00F15B57"/>
    <w:rsid w:val="00F35EF4"/>
    <w:rsid w:val="00F37FE5"/>
    <w:rsid w:val="00F427DB"/>
    <w:rsid w:val="00F64129"/>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paragraph" w:styleId="ListParagraph">
    <w:name w:val="List Paragraph"/>
    <w:basedOn w:val="Normal"/>
    <w:uiPriority w:val="34"/>
    <w:qFormat/>
    <w:rsid w:val="009E0840"/>
    <w:pPr>
      <w:ind w:left="720"/>
      <w:contextualSpacing/>
    </w:pPr>
    <w:rPr>
      <w:lang w:val="en-GB"/>
    </w:rPr>
  </w:style>
  <w:style w:type="character" w:styleId="UnresolvedMention">
    <w:name w:val="Unresolved Mention"/>
    <w:basedOn w:val="DefaultParagraphFont"/>
    <w:uiPriority w:val="99"/>
    <w:semiHidden/>
    <w:unhideWhenUsed/>
    <w:rsid w:val="00F64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PP-C-0207/e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itu.int/md/S24-CL-C-0019/e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en/council/Documents/basic-texts-2023/RES-002-F.pdf"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687</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4491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Travaux préparatoires en vue du forum mondial des politiques de télécommunication et des technologies de l'information et des communications de 2026 (FMPT 26)</dc:title>
  <dc:subject>Conseil 2024 de l'UIT</dc:subject>
  <dc:creator>Xue, Kun</dc:creator>
  <cp:keywords>C2024, C24, Council-24</cp:keywords>
  <dc:description/>
  <cp:lastModifiedBy>Brouard, Ricarda</cp:lastModifiedBy>
  <cp:revision>8</cp:revision>
  <cp:lastPrinted>2000-07-18T08:55:00Z</cp:lastPrinted>
  <dcterms:created xsi:type="dcterms:W3CDTF">2024-04-15T13:01:00Z</dcterms:created>
  <dcterms:modified xsi:type="dcterms:W3CDTF">2024-05-01T12:44:00Z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