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B50BE0" w14:paraId="09BC43AD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C0941F3" w14:textId="26F26764" w:rsidR="00D72F49" w:rsidRPr="00B50BE0" w:rsidRDefault="00D72F49" w:rsidP="004A6B2F">
            <w:pPr>
              <w:tabs>
                <w:tab w:val="left" w:pos="851"/>
              </w:tabs>
              <w:spacing w:before="0"/>
              <w:rPr>
                <w:b/>
              </w:rPr>
            </w:pPr>
            <w:r w:rsidRPr="00B50BE0">
              <w:rPr>
                <w:b/>
              </w:rPr>
              <w:t xml:space="preserve">Point de l'ordre du jour: </w:t>
            </w:r>
            <w:r w:rsidR="00171CF6" w:rsidRPr="00B50BE0">
              <w:rPr>
                <w:b/>
              </w:rPr>
              <w:t xml:space="preserve">PL </w:t>
            </w:r>
            <w:r w:rsidR="0089505F" w:rsidRPr="00B50BE0">
              <w:rPr>
                <w:b/>
              </w:rPr>
              <w:t>3</w:t>
            </w:r>
          </w:p>
        </w:tc>
        <w:tc>
          <w:tcPr>
            <w:tcW w:w="5245" w:type="dxa"/>
          </w:tcPr>
          <w:p w14:paraId="0A340BFB" w14:textId="272F6919" w:rsidR="00D72F49" w:rsidRPr="00B50BE0" w:rsidRDefault="00D72F49" w:rsidP="004A6B2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50BE0">
              <w:rPr>
                <w:b/>
              </w:rPr>
              <w:t>Document C2</w:t>
            </w:r>
            <w:r w:rsidR="00D7140C" w:rsidRPr="00B50BE0">
              <w:rPr>
                <w:b/>
              </w:rPr>
              <w:t>4</w:t>
            </w:r>
            <w:r w:rsidRPr="00B50BE0">
              <w:rPr>
                <w:b/>
              </w:rPr>
              <w:t>/</w:t>
            </w:r>
            <w:r w:rsidR="0089505F" w:rsidRPr="00B50BE0">
              <w:rPr>
                <w:b/>
              </w:rPr>
              <w:t>3</w:t>
            </w:r>
            <w:r w:rsidRPr="00B50BE0">
              <w:rPr>
                <w:b/>
              </w:rPr>
              <w:t>-F</w:t>
            </w:r>
          </w:p>
        </w:tc>
      </w:tr>
      <w:tr w:rsidR="00D72F49" w:rsidRPr="00B50BE0" w14:paraId="29AFB176" w14:textId="77777777" w:rsidTr="00D72F49">
        <w:trPr>
          <w:cantSplit/>
        </w:trPr>
        <w:tc>
          <w:tcPr>
            <w:tcW w:w="3969" w:type="dxa"/>
            <w:vMerge/>
          </w:tcPr>
          <w:p w14:paraId="167CECC3" w14:textId="77777777" w:rsidR="00D72F49" w:rsidRPr="00B50BE0" w:rsidRDefault="00D72F49" w:rsidP="004A6B2F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5193AF0F" w14:textId="617E7E48" w:rsidR="00D72F49" w:rsidRPr="00B50BE0" w:rsidRDefault="00D7140C" w:rsidP="004A6B2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50BE0">
              <w:rPr>
                <w:b/>
              </w:rPr>
              <w:t>23 février 2024</w:t>
            </w:r>
          </w:p>
        </w:tc>
      </w:tr>
      <w:tr w:rsidR="00D72F49" w:rsidRPr="00B50BE0" w14:paraId="41C50709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437BBA1" w14:textId="77777777" w:rsidR="00D72F49" w:rsidRPr="00B50BE0" w:rsidRDefault="00D72F49" w:rsidP="004A6B2F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925FF6E" w14:textId="77777777" w:rsidR="00D72F49" w:rsidRPr="00B50BE0" w:rsidRDefault="00D72F49" w:rsidP="004A6B2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50BE0">
              <w:rPr>
                <w:b/>
              </w:rPr>
              <w:t>Original: anglais</w:t>
            </w:r>
          </w:p>
        </w:tc>
      </w:tr>
      <w:tr w:rsidR="00D72F49" w:rsidRPr="00B50BE0" w14:paraId="0F473006" w14:textId="77777777" w:rsidTr="00D72F49">
        <w:trPr>
          <w:cantSplit/>
          <w:trHeight w:val="23"/>
        </w:trPr>
        <w:tc>
          <w:tcPr>
            <w:tcW w:w="3969" w:type="dxa"/>
          </w:tcPr>
          <w:p w14:paraId="3EABC9A6" w14:textId="77777777" w:rsidR="00D72F49" w:rsidRPr="00B50BE0" w:rsidRDefault="00D72F49" w:rsidP="004A6B2F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5F63B5ED" w14:textId="77777777" w:rsidR="00D72F49" w:rsidRPr="00B50BE0" w:rsidRDefault="00D72F49" w:rsidP="004A6B2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B50BE0" w14:paraId="5249566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90A1160" w14:textId="68A75BF3" w:rsidR="00D72F49" w:rsidRPr="00B50BE0" w:rsidRDefault="00D72F49" w:rsidP="004A6B2F">
            <w:pPr>
              <w:pStyle w:val="Source"/>
              <w:jc w:val="left"/>
              <w:rPr>
                <w:sz w:val="34"/>
                <w:szCs w:val="34"/>
              </w:rPr>
            </w:pPr>
            <w:bookmarkStart w:id="0" w:name="_Hlk134687132"/>
            <w:r w:rsidRPr="00B50BE0">
              <w:rPr>
                <w:rFonts w:cstheme="minorHAnsi"/>
                <w:color w:val="000000"/>
                <w:sz w:val="34"/>
                <w:szCs w:val="34"/>
              </w:rPr>
              <w:t>Rapport d</w:t>
            </w:r>
            <w:r w:rsidR="00171CF6" w:rsidRPr="00B50BE0">
              <w:rPr>
                <w:rFonts w:cstheme="minorHAnsi"/>
                <w:color w:val="000000"/>
                <w:sz w:val="34"/>
                <w:szCs w:val="34"/>
              </w:rPr>
              <w:t xml:space="preserve">e la </w:t>
            </w:r>
            <w:r w:rsidRPr="00B50BE0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171CF6" w:rsidRPr="00B50BE0">
              <w:rPr>
                <w:rFonts w:cstheme="minorHAnsi"/>
                <w:color w:val="000000"/>
                <w:sz w:val="34"/>
                <w:szCs w:val="34"/>
              </w:rPr>
              <w:t>e</w:t>
            </w:r>
            <w:bookmarkEnd w:id="0"/>
          </w:p>
        </w:tc>
      </w:tr>
      <w:tr w:rsidR="009157F0" w:rsidRPr="00B50BE0" w14:paraId="26CD6C43" w14:textId="77777777" w:rsidTr="009157F0">
        <w:trPr>
          <w:cantSplit/>
          <w:trHeight w:val="721"/>
        </w:trPr>
        <w:tc>
          <w:tcPr>
            <w:tcW w:w="9214" w:type="dxa"/>
            <w:gridSpan w:val="2"/>
            <w:tcMar>
              <w:left w:w="0" w:type="dxa"/>
            </w:tcMar>
          </w:tcPr>
          <w:p w14:paraId="05C9B911" w14:textId="1A4CA805" w:rsidR="009157F0" w:rsidRPr="00B50BE0" w:rsidRDefault="009157F0" w:rsidP="009157F0">
            <w:pPr>
              <w:pStyle w:val="Subtitle"/>
              <w:framePr w:hSpace="0" w:wrap="auto" w:hAnchor="text" w:xAlign="left" w:yAlign="inline"/>
              <w:spacing w:after="120"/>
              <w:rPr>
                <w:rFonts w:cstheme="minorHAnsi"/>
                <w:color w:val="000000"/>
                <w:szCs w:val="34"/>
                <w:lang w:val="fr-FR"/>
              </w:rPr>
            </w:pPr>
            <w:bookmarkStart w:id="1" w:name="_Hlk90471971"/>
            <w:r w:rsidRPr="00B50BE0">
              <w:rPr>
                <w:lang w:val="fr-FR"/>
              </w:rPr>
              <w:t>RÉSOLUTIONS ET DÉCISIONS DU CONSEIL DEVENUES CADUQUES</w:t>
            </w:r>
            <w:bookmarkEnd w:id="1"/>
          </w:p>
        </w:tc>
      </w:tr>
      <w:tr w:rsidR="00D72F49" w:rsidRPr="00B50BE0" w14:paraId="6D5BCD0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F1F6FDD" w14:textId="18C099D8" w:rsidR="00D72F49" w:rsidRPr="00B50BE0" w:rsidRDefault="00171CF6" w:rsidP="004A6B2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50BE0">
              <w:rPr>
                <w:b/>
                <w:bCs/>
                <w:sz w:val="26"/>
                <w:szCs w:val="26"/>
              </w:rPr>
              <w:t>Objet</w:t>
            </w:r>
          </w:p>
          <w:p w14:paraId="6413310C" w14:textId="199B23FA" w:rsidR="00D72F49" w:rsidRPr="00B50BE0" w:rsidRDefault="00C8789F" w:rsidP="004A6B2F">
            <w:r w:rsidRPr="00B50BE0">
              <w:t>Après chaque session ordinaire du Conseil</w:t>
            </w:r>
            <w:r w:rsidR="00171CF6" w:rsidRPr="00B50BE0">
              <w:t xml:space="preserve"> de l</w:t>
            </w:r>
            <w:r w:rsidR="004A6B2F" w:rsidRPr="00B50BE0">
              <w:t>'</w:t>
            </w:r>
            <w:r w:rsidR="00171CF6" w:rsidRPr="00B50BE0">
              <w:t>UIT</w:t>
            </w:r>
            <w:r w:rsidRPr="00B50BE0">
              <w:t xml:space="preserve">, il convient d'abroger et, par conséquent, de supprimer du </w:t>
            </w:r>
            <w:r w:rsidR="005F40CE" w:rsidRPr="00B50BE0">
              <w:t>r</w:t>
            </w:r>
            <w:r w:rsidRPr="00B50BE0">
              <w:t>ecueil des Résolutions et Décisions du Conseil celles qui ont été mises en</w:t>
            </w:r>
            <w:r w:rsidR="005F40CE" w:rsidRPr="00B50BE0">
              <w:t> </w:t>
            </w:r>
            <w:r w:rsidRPr="00B50BE0">
              <w:t>œuvre</w:t>
            </w:r>
            <w:r w:rsidR="00171CF6" w:rsidRPr="00B50BE0">
              <w:t xml:space="preserve"> ou qui sont devenues </w:t>
            </w:r>
            <w:r w:rsidR="00B403A2" w:rsidRPr="00B50BE0">
              <w:t>caduques</w:t>
            </w:r>
            <w:r w:rsidRPr="00B50BE0">
              <w:t>.</w:t>
            </w:r>
          </w:p>
          <w:p w14:paraId="4F4D894D" w14:textId="77777777" w:rsidR="00D72F49" w:rsidRPr="00B50BE0" w:rsidRDefault="00D72F49" w:rsidP="004A6B2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50BE0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C99370C" w14:textId="33DBDC9D" w:rsidR="00D72F49" w:rsidRPr="00B50BE0" w:rsidRDefault="00171CF6" w:rsidP="004A6B2F">
            <w:r w:rsidRPr="00B50BE0">
              <w:t xml:space="preserve">Le Conseil est invité à </w:t>
            </w:r>
            <w:r w:rsidRPr="00B50BE0">
              <w:rPr>
                <w:b/>
              </w:rPr>
              <w:t>examiner</w:t>
            </w:r>
            <w:r w:rsidRPr="00B50BE0">
              <w:t xml:space="preserve"> et à </w:t>
            </w:r>
            <w:r w:rsidRPr="00B50BE0">
              <w:rPr>
                <w:b/>
              </w:rPr>
              <w:t>approuver</w:t>
            </w:r>
            <w:r w:rsidRPr="00B50BE0">
              <w:t xml:space="preserve"> l</w:t>
            </w:r>
            <w:r w:rsidR="00C8789F" w:rsidRPr="00B50BE0">
              <w:t xml:space="preserve">a liste </w:t>
            </w:r>
            <w:r w:rsidRPr="00B50BE0">
              <w:t xml:space="preserve">proposée </w:t>
            </w:r>
            <w:r w:rsidR="00C8789F" w:rsidRPr="00B50BE0">
              <w:t xml:space="preserve">des Résolutions et Décisions qui devraient être abrogées, et donc supprimées du </w:t>
            </w:r>
            <w:r w:rsidR="005F40CE" w:rsidRPr="00B50BE0">
              <w:t>r</w:t>
            </w:r>
            <w:r w:rsidR="00C8789F" w:rsidRPr="00B50BE0">
              <w:t>ecueil</w:t>
            </w:r>
            <w:r w:rsidRPr="00B50BE0">
              <w:t>.</w:t>
            </w:r>
          </w:p>
          <w:p w14:paraId="4CE1ACA9" w14:textId="42F69DA9" w:rsidR="00D72F49" w:rsidRPr="00B50BE0" w:rsidRDefault="00D72F49" w:rsidP="004A6B2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50BE0">
              <w:rPr>
                <w:b/>
                <w:bCs/>
                <w:sz w:val="26"/>
                <w:szCs w:val="26"/>
              </w:rPr>
              <w:t>Lien</w:t>
            </w:r>
            <w:r w:rsidR="00171CF6" w:rsidRPr="00B50BE0">
              <w:rPr>
                <w:b/>
                <w:bCs/>
                <w:sz w:val="26"/>
                <w:szCs w:val="26"/>
              </w:rPr>
              <w:t xml:space="preserve"> </w:t>
            </w:r>
            <w:r w:rsidRPr="00B50BE0">
              <w:rPr>
                <w:b/>
                <w:bCs/>
                <w:sz w:val="26"/>
                <w:szCs w:val="26"/>
              </w:rPr>
              <w:t>pertinent</w:t>
            </w:r>
            <w:r w:rsidR="00171CF6" w:rsidRPr="00B50BE0">
              <w:rPr>
                <w:b/>
                <w:bCs/>
                <w:sz w:val="26"/>
                <w:szCs w:val="26"/>
              </w:rPr>
              <w:t xml:space="preserve"> </w:t>
            </w:r>
            <w:r w:rsidRPr="00B50BE0">
              <w:rPr>
                <w:b/>
                <w:bCs/>
                <w:sz w:val="26"/>
                <w:szCs w:val="26"/>
              </w:rPr>
              <w:t>avec le Plan stratégique</w:t>
            </w:r>
          </w:p>
          <w:p w14:paraId="08A9BF6B" w14:textId="509C0EEF" w:rsidR="00D72F49" w:rsidRPr="00B50BE0" w:rsidRDefault="00171CF6" w:rsidP="004A6B2F">
            <w:r w:rsidRPr="00B50BE0">
              <w:t>Sans objet</w:t>
            </w:r>
            <w:r w:rsidR="004A6B2F" w:rsidRPr="00B50BE0">
              <w:t>.</w:t>
            </w:r>
          </w:p>
          <w:p w14:paraId="73210E2F" w14:textId="77777777" w:rsidR="00D72F49" w:rsidRPr="00B50BE0" w:rsidRDefault="00D72F49" w:rsidP="004A6B2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50BE0">
              <w:rPr>
                <w:b/>
                <w:bCs/>
                <w:sz w:val="26"/>
                <w:szCs w:val="26"/>
              </w:rPr>
              <w:t>Inciden</w:t>
            </w:r>
            <w:r w:rsidR="00C8789F" w:rsidRPr="00B50BE0">
              <w:rPr>
                <w:b/>
                <w:bCs/>
                <w:sz w:val="26"/>
                <w:szCs w:val="26"/>
              </w:rPr>
              <w:t>ces financières</w:t>
            </w:r>
          </w:p>
          <w:p w14:paraId="562A289E" w14:textId="210D1B52" w:rsidR="00C8789F" w:rsidRPr="00B50BE0" w:rsidRDefault="00D7140C" w:rsidP="004A6B2F">
            <w:pPr>
              <w:spacing w:before="160"/>
              <w:rPr>
                <w:bCs/>
                <w:szCs w:val="24"/>
              </w:rPr>
            </w:pPr>
            <w:r w:rsidRPr="00B50BE0">
              <w:rPr>
                <w:bCs/>
                <w:szCs w:val="24"/>
              </w:rPr>
              <w:t>Dans les limites du budget alloué pour 2024-2025</w:t>
            </w:r>
            <w:r w:rsidR="00C8789F" w:rsidRPr="00B50BE0">
              <w:rPr>
                <w:bCs/>
                <w:szCs w:val="24"/>
              </w:rPr>
              <w:t>.</w:t>
            </w:r>
          </w:p>
          <w:p w14:paraId="2A6525DE" w14:textId="77777777" w:rsidR="00D72F49" w:rsidRPr="00B50BE0" w:rsidRDefault="00D72F49" w:rsidP="004A6B2F">
            <w:pPr>
              <w:spacing w:before="160"/>
              <w:rPr>
                <w:caps/>
                <w:sz w:val="22"/>
              </w:rPr>
            </w:pPr>
            <w:r w:rsidRPr="00B50BE0">
              <w:rPr>
                <w:sz w:val="22"/>
              </w:rPr>
              <w:t>__________________</w:t>
            </w:r>
          </w:p>
          <w:p w14:paraId="056A81C8" w14:textId="77777777" w:rsidR="00D72F49" w:rsidRPr="00B50BE0" w:rsidRDefault="00D72F49" w:rsidP="004A6B2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50BE0">
              <w:rPr>
                <w:b/>
                <w:bCs/>
                <w:sz w:val="26"/>
                <w:szCs w:val="26"/>
              </w:rPr>
              <w:t>Références</w:t>
            </w:r>
          </w:p>
          <w:p w14:paraId="620177BF" w14:textId="1A0B4DD6" w:rsidR="00D72F49" w:rsidRPr="00B50BE0" w:rsidRDefault="00834EA1" w:rsidP="004A6B2F">
            <w:pPr>
              <w:spacing w:after="160"/>
              <w:rPr>
                <w:i/>
                <w:iCs/>
              </w:rPr>
            </w:pPr>
            <w:hyperlink r:id="rId7" w:history="1">
              <w:r w:rsidR="004A6B2F" w:rsidRPr="00B50BE0">
                <w:rPr>
                  <w:rStyle w:val="Hyperlink"/>
                  <w:i/>
                  <w:iCs/>
                </w:rPr>
                <w:t>Résolutions et Décisions du Conseil (202</w:t>
              </w:r>
              <w:r w:rsidR="00D7140C" w:rsidRPr="00B50BE0">
                <w:rPr>
                  <w:rStyle w:val="Hyperlink"/>
                  <w:i/>
                  <w:iCs/>
                </w:rPr>
                <w:t>3</w:t>
              </w:r>
              <w:r w:rsidR="004A6B2F" w:rsidRPr="00B50BE0">
                <w:rPr>
                  <w:rStyle w:val="Hyperlink"/>
                  <w:i/>
                  <w:iCs/>
                </w:rPr>
                <w:t>)</w:t>
              </w:r>
            </w:hyperlink>
          </w:p>
        </w:tc>
      </w:tr>
    </w:tbl>
    <w:p w14:paraId="1534CA4D" w14:textId="77777777" w:rsidR="00A51849" w:rsidRPr="00B50BE0" w:rsidRDefault="00A51849" w:rsidP="004A6B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50BE0">
        <w:br w:type="page"/>
      </w:r>
    </w:p>
    <w:p w14:paraId="2541A3CC" w14:textId="54139932" w:rsidR="00C8789F" w:rsidRPr="00B50BE0" w:rsidRDefault="00C8789F" w:rsidP="004A6B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/>
        <w:textAlignment w:val="auto"/>
        <w:rPr>
          <w:b/>
          <w:sz w:val="28"/>
          <w:szCs w:val="28"/>
        </w:rPr>
      </w:pPr>
      <w:r w:rsidRPr="00B50BE0">
        <w:rPr>
          <w:b/>
          <w:sz w:val="28"/>
          <w:szCs w:val="28"/>
        </w:rPr>
        <w:lastRenderedPageBreak/>
        <w:t xml:space="preserve">Résolutions et Décisions </w:t>
      </w:r>
      <w:r w:rsidR="00171CF6" w:rsidRPr="00B50BE0">
        <w:rPr>
          <w:b/>
          <w:sz w:val="28"/>
          <w:szCs w:val="28"/>
        </w:rPr>
        <w:t>devant être abrogées</w:t>
      </w:r>
      <w:r w:rsidR="00C10278" w:rsidRPr="00B50BE0">
        <w:rPr>
          <w:b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 w:themeColor="background1" w:themeShade="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951"/>
        <w:gridCol w:w="1175"/>
        <w:gridCol w:w="6915"/>
      </w:tblGrid>
      <w:tr w:rsidR="00C8789F" w:rsidRPr="00B50BE0" w14:paraId="625F8BFC" w14:textId="77777777" w:rsidTr="00516ED2">
        <w:trPr>
          <w:tblHeader/>
          <w:jc w:val="center"/>
        </w:trPr>
        <w:tc>
          <w:tcPr>
            <w:tcW w:w="526" w:type="pct"/>
            <w:shd w:val="clear" w:color="auto" w:fill="009CD6"/>
          </w:tcPr>
          <w:p w14:paraId="623588F2" w14:textId="77777777" w:rsidR="00C8789F" w:rsidRPr="00B50BE0" w:rsidRDefault="00C8789F" w:rsidP="004A6B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50BE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tcW w:w="650" w:type="pct"/>
            <w:shd w:val="clear" w:color="auto" w:fill="009CD6"/>
          </w:tcPr>
          <w:p w14:paraId="3AD3A2D3" w14:textId="77777777" w:rsidR="00C8789F" w:rsidRPr="00B50BE0" w:rsidRDefault="00C8789F" w:rsidP="004A6B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50BE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Rés./Déc.</w:t>
            </w:r>
          </w:p>
        </w:tc>
        <w:tc>
          <w:tcPr>
            <w:tcW w:w="3824" w:type="pct"/>
            <w:shd w:val="clear" w:color="auto" w:fill="009CD6"/>
          </w:tcPr>
          <w:p w14:paraId="641A5C9B" w14:textId="77777777" w:rsidR="00C8789F" w:rsidRPr="00B50BE0" w:rsidRDefault="00C8789F" w:rsidP="004A6B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50BE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Titre</w:t>
            </w:r>
          </w:p>
        </w:tc>
      </w:tr>
      <w:tr w:rsidR="00D7140C" w:rsidRPr="00B50BE0" w14:paraId="1BE0242D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068A2F0C" w14:textId="450CCDE3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1.1</w:t>
            </w:r>
          </w:p>
        </w:tc>
        <w:tc>
          <w:tcPr>
            <w:tcW w:w="650" w:type="pct"/>
            <w:shd w:val="clear" w:color="auto" w:fill="FFFFFF"/>
          </w:tcPr>
          <w:p w14:paraId="7E3B936E" w14:textId="78BCFFD0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R 1412</w:t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footnoteReference w:id="1"/>
            </w:r>
          </w:p>
        </w:tc>
        <w:tc>
          <w:tcPr>
            <w:tcW w:w="3824" w:type="pct"/>
            <w:shd w:val="clear" w:color="auto" w:fill="FFFFFF"/>
          </w:tcPr>
          <w:p w14:paraId="4E93EC61" w14:textId="67022AD2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Équilibrer l'exécution du budget 2022</w:t>
            </w:r>
          </w:p>
        </w:tc>
      </w:tr>
      <w:tr w:rsidR="00D7140C" w:rsidRPr="00B50BE0" w14:paraId="1E07FA9F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00D88B26" w14:textId="1A79A733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0E5ED825" w14:textId="48100327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D 634</w:t>
            </w:r>
            <w:bookmarkStart w:id="2" w:name="_Ref153206452"/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footnoteReference w:id="2"/>
            </w:r>
            <w:bookmarkEnd w:id="2"/>
          </w:p>
        </w:tc>
        <w:tc>
          <w:tcPr>
            <w:tcW w:w="3824" w:type="pct"/>
            <w:shd w:val="clear" w:color="auto" w:fill="FFFFFF"/>
          </w:tcPr>
          <w:p w14:paraId="6796C4C7" w14:textId="3CBA2EC6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Passation par pertes et profits d'intérêts moratoires et de créances irrécupérables</w:t>
            </w:r>
          </w:p>
        </w:tc>
      </w:tr>
      <w:tr w:rsidR="00D7140C" w:rsidRPr="00B50BE0" w14:paraId="7DEF857E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33266C58" w14:textId="4D41B306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641749DA" w14:textId="6C7DD840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R 141</w:t>
            </w:r>
            <w:bookmarkStart w:id="3" w:name="_Ref134026482"/>
            <w:r w:rsidRPr="00B50BE0">
              <w:rPr>
                <w:b/>
                <w:bCs/>
                <w:color w:val="595959" w:themeColor="text1" w:themeTint="A6"/>
              </w:rPr>
              <w:t>9</w:t>
            </w:r>
            <w:bookmarkEnd w:id="3"/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footnoteReference w:id="3"/>
            </w:r>
          </w:p>
        </w:tc>
        <w:tc>
          <w:tcPr>
            <w:tcW w:w="3824" w:type="pct"/>
            <w:shd w:val="clear" w:color="auto" w:fill="FFFFFF"/>
          </w:tcPr>
          <w:p w14:paraId="6C7920E3" w14:textId="02750F8D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Conditions d'emploi des fonctionnaires élus de l'UIT</w:t>
            </w:r>
          </w:p>
        </w:tc>
      </w:tr>
      <w:tr w:rsidR="00D7140C" w:rsidRPr="00B50BE0" w14:paraId="7B4F4BE4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68E13BAA" w14:textId="73CD1555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3.2</w:t>
            </w:r>
          </w:p>
        </w:tc>
        <w:tc>
          <w:tcPr>
            <w:tcW w:w="650" w:type="pct"/>
            <w:shd w:val="clear" w:color="auto" w:fill="FFFFFF"/>
          </w:tcPr>
          <w:p w14:paraId="23BAE391" w14:textId="1DB84BA7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D 635</w:t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fldChar w:fldCharType="begin"/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instrText xml:space="preserve"> NOTEREF _Ref153206452 \h  \* MERGEFORMAT </w:instrText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fldChar w:fldCharType="separate"/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t>1</w:t>
            </w:r>
            <w:r w:rsidRPr="00B50BE0">
              <w:rPr>
                <w:rStyle w:val="FootnoteReference"/>
                <w:b/>
                <w:bCs/>
                <w:color w:val="595959" w:themeColor="text1" w:themeTint="A6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53B9005A" w14:textId="6B078E35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Dates et durée des sessions de 2024, 2025 et 2026 du Conseil et des séries de réunions des Groupes de travail du Conseil et des Groupes</w:t>
            </w:r>
            <w:r w:rsidR="005F40CE" w:rsidRPr="00B50BE0">
              <w:rPr>
                <w:color w:val="595959" w:themeColor="text1" w:themeTint="A6"/>
              </w:rPr>
              <w:t> </w:t>
            </w:r>
            <w:r w:rsidRPr="00B50BE0">
              <w:rPr>
                <w:color w:val="595959" w:themeColor="text1" w:themeTint="A6"/>
              </w:rPr>
              <w:t>d'experts de 2024, 2025 et 2026</w:t>
            </w:r>
          </w:p>
        </w:tc>
      </w:tr>
      <w:tr w:rsidR="00D7140C" w:rsidRPr="00B50BE0" w14:paraId="78539D25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2C1F69CF" w14:textId="6C100B21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4C2AE6F7" w14:textId="3E87D205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R 1399</w:t>
            </w:r>
          </w:p>
        </w:tc>
        <w:tc>
          <w:tcPr>
            <w:tcW w:w="3824" w:type="pct"/>
            <w:shd w:val="clear" w:color="auto" w:fill="FFFFFF"/>
          </w:tcPr>
          <w:p w14:paraId="24EB777C" w14:textId="6D326340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Ordre du jour de la Conférence mondiale des radiocommunications de 2023 (CMR-23)</w:t>
            </w:r>
          </w:p>
        </w:tc>
      </w:tr>
      <w:tr w:rsidR="00D7140C" w:rsidRPr="00B50BE0" w14:paraId="150D514C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3AC0911F" w14:textId="01C7E6B5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088C35B2" w14:textId="6CEA4F3F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D 609</w:t>
            </w:r>
          </w:p>
        </w:tc>
        <w:tc>
          <w:tcPr>
            <w:tcW w:w="3824" w:type="pct"/>
            <w:shd w:val="clear" w:color="auto" w:fill="FFFFFF"/>
          </w:tcPr>
          <w:p w14:paraId="05F4A291" w14:textId="7476062E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Convocation de la prochaine Conférence mondiale de développement des télécommunications (CMDT-21)</w:t>
            </w:r>
          </w:p>
        </w:tc>
      </w:tr>
      <w:tr w:rsidR="00D7140C" w:rsidRPr="00B50BE0" w14:paraId="113A8A8F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3AF48210" w14:textId="33A54485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512E7528" w14:textId="66426154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D 623</w:t>
            </w:r>
          </w:p>
        </w:tc>
        <w:tc>
          <w:tcPr>
            <w:tcW w:w="3824" w:type="pct"/>
            <w:shd w:val="clear" w:color="auto" w:fill="FFFFFF"/>
          </w:tcPr>
          <w:p w14:paraId="7E515519" w14:textId="5CD911CF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Lieu et dates de la Conférence mondiale des radiocommunications (CMR-23) et de l'Assemblée des radiocommunications (AR-23)</w:t>
            </w:r>
          </w:p>
        </w:tc>
      </w:tr>
      <w:tr w:rsidR="00D7140C" w:rsidRPr="00B50BE0" w14:paraId="4E66E07D" w14:textId="77777777" w:rsidTr="00516ED2">
        <w:trPr>
          <w:jc w:val="center"/>
        </w:trPr>
        <w:tc>
          <w:tcPr>
            <w:tcW w:w="526" w:type="pct"/>
            <w:shd w:val="clear" w:color="auto" w:fill="FFFFFF"/>
          </w:tcPr>
          <w:p w14:paraId="0DE247C6" w14:textId="69117B6C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4</w:t>
            </w:r>
          </w:p>
        </w:tc>
        <w:tc>
          <w:tcPr>
            <w:tcW w:w="650" w:type="pct"/>
            <w:shd w:val="clear" w:color="auto" w:fill="FFFFFF"/>
          </w:tcPr>
          <w:p w14:paraId="3CE836C5" w14:textId="5EB8BFCA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0BE0">
              <w:rPr>
                <w:b/>
                <w:bCs/>
                <w:color w:val="595959" w:themeColor="text1" w:themeTint="A6"/>
              </w:rPr>
              <w:t>R 1407</w:t>
            </w:r>
          </w:p>
        </w:tc>
        <w:tc>
          <w:tcPr>
            <w:tcW w:w="3824" w:type="pct"/>
            <w:shd w:val="clear" w:color="auto" w:fill="FFFFFF"/>
          </w:tcPr>
          <w:p w14:paraId="3389F41E" w14:textId="06A07513" w:rsidR="00D7140C" w:rsidRPr="00B50BE0" w:rsidRDefault="00D7140C" w:rsidP="00D714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50BE0">
              <w:rPr>
                <w:color w:val="595959" w:themeColor="text1" w:themeTint="A6"/>
              </w:rPr>
              <w:t>Plan opérationnel de l'Union pour 2023</w:t>
            </w:r>
          </w:p>
        </w:tc>
      </w:tr>
    </w:tbl>
    <w:p w14:paraId="35479E8A" w14:textId="77777777" w:rsidR="00897553" w:rsidRPr="00B50BE0" w:rsidRDefault="00C8789F" w:rsidP="005F40CE">
      <w:pPr>
        <w:spacing w:before="240"/>
        <w:jc w:val="center"/>
      </w:pPr>
      <w:r w:rsidRPr="00B50BE0">
        <w:t>______________</w:t>
      </w:r>
    </w:p>
    <w:sectPr w:rsidR="00897553" w:rsidRPr="00B50BE0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49B2" w14:textId="77777777" w:rsidR="00CD52C2" w:rsidRDefault="00CD52C2">
      <w:r>
        <w:separator/>
      </w:r>
    </w:p>
  </w:endnote>
  <w:endnote w:type="continuationSeparator" w:id="0">
    <w:p w14:paraId="0A8345B9" w14:textId="77777777" w:rsidR="00CD52C2" w:rsidRDefault="00CD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9DD6" w14:textId="4F30E0ED" w:rsidR="00732045" w:rsidRPr="00D7140C" w:rsidRDefault="00D955BB">
    <w:pPr>
      <w:pStyle w:val="Footer"/>
      <w:rPr>
        <w:lang w:val="it-IT"/>
      </w:rPr>
    </w:pPr>
    <w:r>
      <w:fldChar w:fldCharType="begin"/>
    </w:r>
    <w:r w:rsidRPr="00D7140C">
      <w:rPr>
        <w:lang w:val="it-IT"/>
      </w:rPr>
      <w:instrText xml:space="preserve"> FILENAME \p \* MERGEFORMAT </w:instrText>
    </w:r>
    <w:r>
      <w:fldChar w:fldCharType="separate"/>
    </w:r>
    <w:r w:rsidR="004A6B2F" w:rsidRPr="00D7140C">
      <w:rPr>
        <w:lang w:val="it-IT"/>
      </w:rPr>
      <w:t>P:\FRA\SG\CONSEIL\C23\000\003F.docx</w:t>
    </w:r>
    <w:r>
      <w:fldChar w:fldCharType="end"/>
    </w:r>
    <w:r w:rsidR="00732045" w:rsidRPr="00D7140C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34EA1">
      <w:t>08.04.24</w:t>
    </w:r>
    <w:r w:rsidR="002F1B76">
      <w:fldChar w:fldCharType="end"/>
    </w:r>
    <w:r w:rsidR="00732045" w:rsidRPr="00D7140C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A6B2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DE70D47" w14:textId="77777777" w:rsidTr="00E31DCE">
      <w:trPr>
        <w:jc w:val="center"/>
      </w:trPr>
      <w:tc>
        <w:tcPr>
          <w:tcW w:w="1803" w:type="dxa"/>
          <w:vAlign w:val="center"/>
        </w:tcPr>
        <w:p w14:paraId="6C698AB0" w14:textId="54AAB7AD" w:rsidR="00A51849" w:rsidRDefault="00A51849" w:rsidP="00DC6321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7FA71A8" w14:textId="6A799089" w:rsidR="00A51849" w:rsidRPr="00E06FD5" w:rsidRDefault="00A51849" w:rsidP="00DC6321">
          <w:pPr>
            <w:pStyle w:val="Header"/>
            <w:tabs>
              <w:tab w:val="left" w:pos="67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5F40CE">
            <w:rPr>
              <w:bCs/>
            </w:rPr>
            <w:t>4</w:t>
          </w:r>
          <w:r w:rsidRPr="00623AE3">
            <w:rPr>
              <w:bCs/>
            </w:rPr>
            <w:t>/</w:t>
          </w:r>
          <w:r w:rsidR="00DC6321">
            <w:rPr>
              <w:bCs/>
            </w:rPr>
            <w:t>3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157F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3F52F11" w14:textId="5FC6B465" w:rsidR="00732045" w:rsidRPr="00A51849" w:rsidRDefault="00732045" w:rsidP="00377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6754D609" w14:textId="77777777" w:rsidTr="00E31DCE">
      <w:trPr>
        <w:jc w:val="center"/>
      </w:trPr>
      <w:tc>
        <w:tcPr>
          <w:tcW w:w="1803" w:type="dxa"/>
          <w:vAlign w:val="center"/>
        </w:tcPr>
        <w:p w14:paraId="6EBD4D54" w14:textId="77777777" w:rsidR="00A51849" w:rsidRDefault="00834EA1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F4C909D" w14:textId="278937F3" w:rsidR="00A51849" w:rsidRPr="00E06FD5" w:rsidRDefault="00A51849" w:rsidP="00CF2D5C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5F40CE">
            <w:rPr>
              <w:bCs/>
            </w:rPr>
            <w:t>4</w:t>
          </w:r>
          <w:r w:rsidR="00DC6321">
            <w:rPr>
              <w:bCs/>
            </w:rPr>
            <w:t>/3</w:t>
          </w:r>
          <w:r w:rsidR="00CF2D5C" w:rsidRPr="00623AE3">
            <w:rPr>
              <w:bCs/>
            </w:rPr>
            <w:t>-</w:t>
          </w:r>
          <w:r w:rsidR="00CF2D5C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157F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CA412FA" w14:textId="77777777" w:rsidR="00732045" w:rsidRPr="00A51849" w:rsidRDefault="00732045" w:rsidP="00A5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7732" w14:textId="77777777" w:rsidR="00CD52C2" w:rsidRDefault="00CD52C2">
      <w:r>
        <w:t>____________________</w:t>
      </w:r>
    </w:p>
  </w:footnote>
  <w:footnote w:type="continuationSeparator" w:id="0">
    <w:p w14:paraId="12A46D77" w14:textId="77777777" w:rsidR="00CD52C2" w:rsidRDefault="00CD52C2">
      <w:r>
        <w:continuationSeparator/>
      </w:r>
    </w:p>
  </w:footnote>
  <w:footnote w:id="1">
    <w:p w14:paraId="05AECA46" w14:textId="4E1193F2" w:rsidR="00D7140C" w:rsidRPr="000D37BF" w:rsidRDefault="00D7140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5F40CE">
        <w:rPr>
          <w:lang w:val="fr-CH"/>
        </w:rPr>
        <w:tab/>
      </w:r>
      <w:r w:rsidR="00612264" w:rsidRPr="000D37BF">
        <w:rPr>
          <w:sz w:val="20"/>
          <w:lang w:val="fr-CH"/>
        </w:rPr>
        <w:t>Dès l'a</w:t>
      </w:r>
      <w:r w:rsidR="002849D8">
        <w:rPr>
          <w:sz w:val="20"/>
          <w:lang w:val="fr-CH"/>
        </w:rPr>
        <w:t>pprobation</w:t>
      </w:r>
      <w:r w:rsidR="00612264" w:rsidRPr="000D37BF">
        <w:rPr>
          <w:sz w:val="20"/>
          <w:lang w:val="fr-CH"/>
        </w:rPr>
        <w:t xml:space="preserve"> du Document</w:t>
      </w:r>
      <w:r w:rsidRPr="000D37BF">
        <w:rPr>
          <w:sz w:val="20"/>
          <w:lang w:val="fr-CH"/>
        </w:rPr>
        <w:t xml:space="preserve"> C24/40 </w:t>
      </w:r>
      <w:r w:rsidR="000D37BF">
        <w:rPr>
          <w:sz w:val="20"/>
          <w:lang w:val="fr-CH"/>
        </w:rPr>
        <w:t>(R</w:t>
      </w:r>
      <w:r w:rsidR="000D37BF" w:rsidRPr="000D37BF">
        <w:rPr>
          <w:sz w:val="20"/>
          <w:lang w:val="fr-CH"/>
        </w:rPr>
        <w:t>apport de gestion financière pour l'exercice financier 2022</w:t>
      </w:r>
      <w:r w:rsidR="000D37BF">
        <w:rPr>
          <w:sz w:val="20"/>
          <w:lang w:val="fr-CH"/>
        </w:rPr>
        <w:t>).</w:t>
      </w:r>
    </w:p>
  </w:footnote>
  <w:footnote w:id="2">
    <w:p w14:paraId="2955CEC7" w14:textId="3BD30D0F" w:rsidR="00D7140C" w:rsidRPr="00612264" w:rsidRDefault="00D7140C">
      <w:pPr>
        <w:pStyle w:val="FootnoteText"/>
        <w:rPr>
          <w:rFonts w:eastAsiaTheme="minorEastAsia"/>
          <w:lang w:val="fr-CH" w:eastAsia="zh-CN"/>
        </w:rPr>
      </w:pPr>
      <w:r>
        <w:rPr>
          <w:rStyle w:val="FootnoteReference"/>
        </w:rPr>
        <w:footnoteRef/>
      </w:r>
      <w:r w:rsidR="005F40CE">
        <w:rPr>
          <w:lang w:val="fr-CH"/>
        </w:rPr>
        <w:tab/>
      </w:r>
      <w:r w:rsidR="00612264" w:rsidRPr="00612264">
        <w:rPr>
          <w:sz w:val="20"/>
        </w:rPr>
        <w:t>Dès l'adoption d'une nouvelle Décision</w:t>
      </w:r>
      <w:r w:rsidRPr="00612264">
        <w:rPr>
          <w:sz w:val="20"/>
          <w:lang w:val="fr-CH"/>
        </w:rPr>
        <w:t>.</w:t>
      </w:r>
    </w:p>
  </w:footnote>
  <w:footnote w:id="3">
    <w:p w14:paraId="32DDFEBF" w14:textId="269B94F5" w:rsidR="00D7140C" w:rsidRPr="00612264" w:rsidRDefault="00D7140C">
      <w:pPr>
        <w:pStyle w:val="FootnoteText"/>
        <w:rPr>
          <w:rFonts w:eastAsiaTheme="minorEastAsia"/>
          <w:sz w:val="20"/>
          <w:lang w:val="fr-CH" w:eastAsia="zh-CN"/>
        </w:rPr>
      </w:pPr>
      <w:r>
        <w:rPr>
          <w:rStyle w:val="FootnoteReference"/>
        </w:rPr>
        <w:footnoteRef/>
      </w:r>
      <w:r w:rsidR="005F40CE">
        <w:rPr>
          <w:lang w:val="fr-CH"/>
        </w:rPr>
        <w:tab/>
      </w:r>
      <w:r w:rsidR="00612264" w:rsidRPr="00612264">
        <w:rPr>
          <w:sz w:val="20"/>
        </w:rPr>
        <w:t xml:space="preserve">Dès l'adoption d'une nouvelle </w:t>
      </w:r>
      <w:r w:rsidR="00612264">
        <w:rPr>
          <w:sz w:val="20"/>
        </w:rPr>
        <w:t>Résolution</w:t>
      </w:r>
      <w:r w:rsidR="00612264" w:rsidRPr="00612264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4F0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30F8ECA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717"/>
    </w:tblGrid>
    <w:tr w:rsidR="00A51849" w:rsidRPr="00784011" w14:paraId="6C4C1EAF" w14:textId="77777777" w:rsidTr="0089505F">
      <w:trPr>
        <w:trHeight w:val="1104"/>
        <w:jc w:val="center"/>
      </w:trPr>
      <w:tc>
        <w:tcPr>
          <w:tcW w:w="4390" w:type="dxa"/>
          <w:vAlign w:val="center"/>
        </w:tcPr>
        <w:p w14:paraId="15C8451D" w14:textId="0D134CAA" w:rsidR="00A51849" w:rsidRPr="009621F8" w:rsidRDefault="00D955BB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870C976" wp14:editId="59ED7414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7" w:type="dxa"/>
        </w:tcPr>
        <w:p w14:paraId="3F103849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p w14:paraId="3F421B6E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F4788" wp14:editId="3337EA00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FA5B29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C2"/>
    <w:rsid w:val="00076A2C"/>
    <w:rsid w:val="000A209E"/>
    <w:rsid w:val="000D0D0A"/>
    <w:rsid w:val="000D37BF"/>
    <w:rsid w:val="00103163"/>
    <w:rsid w:val="00106B19"/>
    <w:rsid w:val="00115D93"/>
    <w:rsid w:val="001247A8"/>
    <w:rsid w:val="001378C0"/>
    <w:rsid w:val="00171CF6"/>
    <w:rsid w:val="0018694A"/>
    <w:rsid w:val="001A113D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849D8"/>
    <w:rsid w:val="002A5D44"/>
    <w:rsid w:val="002E0BC4"/>
    <w:rsid w:val="002F1B76"/>
    <w:rsid w:val="0033568E"/>
    <w:rsid w:val="00355FF5"/>
    <w:rsid w:val="00361350"/>
    <w:rsid w:val="0037757E"/>
    <w:rsid w:val="003C3FAE"/>
    <w:rsid w:val="00402959"/>
    <w:rsid w:val="004038CB"/>
    <w:rsid w:val="0040546F"/>
    <w:rsid w:val="0042404A"/>
    <w:rsid w:val="0044618F"/>
    <w:rsid w:val="0046769A"/>
    <w:rsid w:val="00475FB3"/>
    <w:rsid w:val="004A6B2F"/>
    <w:rsid w:val="004C37A9"/>
    <w:rsid w:val="004D1D50"/>
    <w:rsid w:val="004F259E"/>
    <w:rsid w:val="00511F1D"/>
    <w:rsid w:val="00520F36"/>
    <w:rsid w:val="00540615"/>
    <w:rsid w:val="00540A6D"/>
    <w:rsid w:val="005647BB"/>
    <w:rsid w:val="00566D3E"/>
    <w:rsid w:val="00571EEA"/>
    <w:rsid w:val="00575417"/>
    <w:rsid w:val="005768E1"/>
    <w:rsid w:val="005A4304"/>
    <w:rsid w:val="005B1938"/>
    <w:rsid w:val="005C23C1"/>
    <w:rsid w:val="005C3890"/>
    <w:rsid w:val="005C7A83"/>
    <w:rsid w:val="005F40CE"/>
    <w:rsid w:val="005F7BFE"/>
    <w:rsid w:val="00600017"/>
    <w:rsid w:val="00612264"/>
    <w:rsid w:val="0061343F"/>
    <w:rsid w:val="006235CA"/>
    <w:rsid w:val="006643AB"/>
    <w:rsid w:val="006F0A53"/>
    <w:rsid w:val="007210CD"/>
    <w:rsid w:val="00732045"/>
    <w:rsid w:val="007369DB"/>
    <w:rsid w:val="007956C2"/>
    <w:rsid w:val="007A187E"/>
    <w:rsid w:val="007B6080"/>
    <w:rsid w:val="007C72C2"/>
    <w:rsid w:val="007D4436"/>
    <w:rsid w:val="007F257A"/>
    <w:rsid w:val="007F3665"/>
    <w:rsid w:val="00800037"/>
    <w:rsid w:val="0083391C"/>
    <w:rsid w:val="00834EA1"/>
    <w:rsid w:val="00861D73"/>
    <w:rsid w:val="0089505F"/>
    <w:rsid w:val="00897553"/>
    <w:rsid w:val="008A4E87"/>
    <w:rsid w:val="008D76E6"/>
    <w:rsid w:val="009157F0"/>
    <w:rsid w:val="0092392D"/>
    <w:rsid w:val="0093234A"/>
    <w:rsid w:val="00956A78"/>
    <w:rsid w:val="0097363B"/>
    <w:rsid w:val="00973F53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403A2"/>
    <w:rsid w:val="00B50BE0"/>
    <w:rsid w:val="00B61619"/>
    <w:rsid w:val="00BB4545"/>
    <w:rsid w:val="00BD5873"/>
    <w:rsid w:val="00C04BE3"/>
    <w:rsid w:val="00C10278"/>
    <w:rsid w:val="00C25D29"/>
    <w:rsid w:val="00C27A7C"/>
    <w:rsid w:val="00C8789F"/>
    <w:rsid w:val="00CA08ED"/>
    <w:rsid w:val="00CD52C2"/>
    <w:rsid w:val="00CF183B"/>
    <w:rsid w:val="00CF2D5C"/>
    <w:rsid w:val="00D10D5E"/>
    <w:rsid w:val="00D24B38"/>
    <w:rsid w:val="00D375CD"/>
    <w:rsid w:val="00D553A2"/>
    <w:rsid w:val="00D7140C"/>
    <w:rsid w:val="00D72F49"/>
    <w:rsid w:val="00D774D3"/>
    <w:rsid w:val="00D904E8"/>
    <w:rsid w:val="00D955BB"/>
    <w:rsid w:val="00DA08C3"/>
    <w:rsid w:val="00DB5A3E"/>
    <w:rsid w:val="00DC22AA"/>
    <w:rsid w:val="00DC6321"/>
    <w:rsid w:val="00DF74DD"/>
    <w:rsid w:val="00E25AD0"/>
    <w:rsid w:val="00E93668"/>
    <w:rsid w:val="00EB6350"/>
    <w:rsid w:val="00F15B57"/>
    <w:rsid w:val="00F35EF4"/>
    <w:rsid w:val="00F427DB"/>
    <w:rsid w:val="00F45F7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FBD69A"/>
  <w15:docId w15:val="{F3A222E4-7F4B-4D44-985A-3BB3DF06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8789F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pub/S-CONF-CL-2023/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3/Pages/defaul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GS\PF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FA76-F740-4416-BC00-2BC9164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PF_Council23.dotx</Template>
  <TotalTime>10</TotalTime>
  <Pages>2</Pages>
  <Words>254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RÉSOLUTIONS ET DÉCISIONS DU CONSEIL DEVENUES CADUQUES</vt:lpstr>
    </vt:vector>
  </TitlesOfParts>
  <Manager>Secrétariat général - Pool</Manager>
  <Company>Union internationale des télécommunications (UIT)</Company>
  <LinksUpToDate>false</LinksUpToDate>
  <CharactersWithSpaces>1760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ET DÉCISIONS DU CONSEIL DEVENUES CADUQUES</dc:title>
  <dc:subject>Conseil 2023</dc:subject>
  <dc:creator>French</dc:creator>
  <cp:keywords>C2023, C23, Council-23</cp:keywords>
  <dc:description/>
  <cp:lastModifiedBy>Brouard, Ricarda</cp:lastModifiedBy>
  <cp:revision>6</cp:revision>
  <cp:lastPrinted>2000-07-18T08:55:00Z</cp:lastPrinted>
  <dcterms:created xsi:type="dcterms:W3CDTF">2024-04-08T12:15:00Z</dcterms:created>
  <dcterms:modified xsi:type="dcterms:W3CDTF">2024-04-30T17:35:00Z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