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4736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575B776"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WG-FHR-</w:t>
            </w:r>
            <w:r w:rsidR="00F4736B">
              <w:rPr>
                <w:b/>
                <w:lang w:val="fr-CH"/>
              </w:rPr>
              <w:t>16</w:t>
            </w:r>
            <w:r w:rsidRPr="00A52C84">
              <w:rPr>
                <w:b/>
                <w:lang w:val="fr-CH"/>
              </w:rPr>
              <w:t>/</w:t>
            </w:r>
            <w:r w:rsidR="005A335D">
              <w:rPr>
                <w:b/>
                <w:lang w:val="fr-CH"/>
              </w:rPr>
              <w:t>INF-</w:t>
            </w:r>
            <w:r w:rsidR="00F4736B">
              <w:rPr>
                <w:b/>
                <w:lang w:val="fr-CH"/>
              </w:rPr>
              <w:t>1</w:t>
            </w:r>
            <w:r w:rsidRPr="00A52C84">
              <w:rPr>
                <w:b/>
                <w:lang w:val="fr-CH"/>
              </w:rPr>
              <w:t>-E</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70C9E5A" w:rsidR="00AD3606" w:rsidRPr="00E85629" w:rsidRDefault="00F4736B" w:rsidP="00AD3606">
            <w:pPr>
              <w:tabs>
                <w:tab w:val="left" w:pos="851"/>
              </w:tabs>
              <w:spacing w:before="0"/>
              <w:jc w:val="right"/>
              <w:rPr>
                <w:b/>
              </w:rPr>
            </w:pPr>
            <w:r>
              <w:rPr>
                <w:b/>
              </w:rPr>
              <w:t>18 August</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36A0A9D9" w:rsidR="00AD3606" w:rsidRPr="00E85629" w:rsidRDefault="00AD3606" w:rsidP="00AD3606">
            <w:pPr>
              <w:tabs>
                <w:tab w:val="left" w:pos="851"/>
              </w:tabs>
              <w:spacing w:before="0" w:line="240" w:lineRule="atLeast"/>
              <w:jc w:val="right"/>
              <w:rPr>
                <w:b/>
              </w:rPr>
            </w:pPr>
            <w:r>
              <w:rPr>
                <w:b/>
              </w:rPr>
              <w:t>English</w:t>
            </w:r>
            <w:r w:rsidR="009F47B9">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628EAA64" w:rsidR="00AD3606" w:rsidRPr="00813E5E" w:rsidRDefault="00627E96" w:rsidP="00DF0189">
            <w:pPr>
              <w:pStyle w:val="Subtitle"/>
              <w:framePr w:hSpace="0" w:wrap="auto" w:hAnchor="text" w:xAlign="left" w:yAlign="inline"/>
            </w:pPr>
            <w:bookmarkStart w:id="9" w:name="dtitle1" w:colFirst="0" w:colLast="0"/>
            <w:bookmarkEnd w:id="8"/>
            <w:r w:rsidRPr="00627E96">
              <w:t>THE USE OF THE “ONE ITU” CONCEPT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C2D1944" w:rsidR="00AD3606" w:rsidRPr="00813E5E" w:rsidRDefault="00627E96" w:rsidP="00F16BAB">
            <w:r w:rsidRPr="00627E96">
              <w:t>This document presents extracts of the use of the “One ITU” concept as agreed upon by the Member States in Plenipotentiary Conferences, and as a reference to help fill in the informal online consultation on the use of the “One ITU” concept and its implementation.</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79F38DAD" w14:textId="7FFE84F4" w:rsidR="00AD3606" w:rsidRPr="00484009" w:rsidRDefault="005A335D" w:rsidP="00AD3606">
            <w:r w:rsidRPr="005A335D">
              <w:t xml:space="preserve">This report is transmitted to the CWG-FHR </w:t>
            </w:r>
            <w:r w:rsidRPr="005A335D">
              <w:rPr>
                <w:b/>
                <w:bCs/>
              </w:rPr>
              <w:t>for information</w:t>
            </w:r>
            <w:r w:rsidRPr="005A335D">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5B4367BA" w:rsidR="00AD3606" w:rsidRDefault="00F4736B" w:rsidP="00F16BAB">
            <w:pPr>
              <w:spacing w:after="160"/>
            </w:pPr>
            <w:hyperlink r:id="rId8" w:history="1">
              <w:r w:rsidR="00627E96" w:rsidRPr="00627E96">
                <w:rPr>
                  <w:rStyle w:val="Hyperlink"/>
                  <w:i/>
                  <w:iCs/>
                </w:rPr>
                <w:t>Resolution 25</w:t>
              </w:r>
            </w:hyperlink>
            <w:r w:rsidR="00627E96" w:rsidRPr="00627E96">
              <w:rPr>
                <w:i/>
                <w:iCs/>
              </w:rPr>
              <w:t xml:space="preserve"> (Rev. Bucharest, 2022), </w:t>
            </w:r>
            <w:hyperlink r:id="rId9" w:history="1">
              <w:r w:rsidR="00627E96" w:rsidRPr="00627E96">
                <w:rPr>
                  <w:rStyle w:val="Hyperlink"/>
                  <w:i/>
                  <w:iCs/>
                </w:rPr>
                <w:t>Resolution 48</w:t>
              </w:r>
            </w:hyperlink>
            <w:r w:rsidR="00627E96" w:rsidRPr="00627E96">
              <w:rPr>
                <w:i/>
                <w:iCs/>
              </w:rPr>
              <w:t xml:space="preserve"> (Rev. Bucharest, 2022), </w:t>
            </w:r>
            <w:hyperlink r:id="rId10" w:history="1">
              <w:r w:rsidR="00627E96" w:rsidRPr="00627E96">
                <w:rPr>
                  <w:rStyle w:val="Hyperlink"/>
                  <w:i/>
                  <w:iCs/>
                </w:rPr>
                <w:t>Resolution 71</w:t>
              </w:r>
            </w:hyperlink>
            <w:r w:rsidR="00627E96" w:rsidRPr="00627E96">
              <w:rPr>
                <w:i/>
                <w:iCs/>
              </w:rPr>
              <w:t xml:space="preserve"> (Rev. Bucharest, 2022), </w:t>
            </w:r>
            <w:hyperlink r:id="rId11" w:history="1">
              <w:r w:rsidR="00627E96" w:rsidRPr="00627E96">
                <w:rPr>
                  <w:rStyle w:val="Hyperlink"/>
                  <w:i/>
                  <w:iCs/>
                </w:rPr>
                <w:t>Resolution 154</w:t>
              </w:r>
            </w:hyperlink>
            <w:r w:rsidR="00627E96" w:rsidRPr="00627E96">
              <w:rPr>
                <w:i/>
                <w:iCs/>
              </w:rPr>
              <w:t xml:space="preserve"> (Rev. Bucharest, 2022) and </w:t>
            </w:r>
            <w:hyperlink r:id="rId12" w:history="1">
              <w:r w:rsidR="00627E96" w:rsidRPr="00627E96">
                <w:rPr>
                  <w:rStyle w:val="Hyperlink"/>
                  <w:i/>
                  <w:iCs/>
                </w:rPr>
                <w:t>Resolution 191</w:t>
              </w:r>
            </w:hyperlink>
            <w:r w:rsidR="00627E96" w:rsidRPr="00627E96">
              <w:rPr>
                <w:i/>
                <w:iCs/>
              </w:rPr>
              <w:t xml:space="preserve"> (Rev. Bucharest, 2022) of the Plenipotentiary Conference</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4DB0699B" w14:textId="77777777" w:rsidR="00627E96" w:rsidRPr="007C1B6D" w:rsidRDefault="00627E96" w:rsidP="00627E96">
      <w:pPr>
        <w:jc w:val="both"/>
        <w:rPr>
          <w:rFonts w:cstheme="minorHAnsi"/>
          <w:b/>
          <w:bCs/>
          <w:szCs w:val="24"/>
          <w:lang w:val="en-US"/>
        </w:rPr>
      </w:pPr>
      <w:r w:rsidRPr="007C1B6D">
        <w:rPr>
          <w:rFonts w:cstheme="minorHAnsi"/>
          <w:b/>
          <w:bCs/>
          <w:szCs w:val="24"/>
          <w:lang w:val="en-US"/>
        </w:rPr>
        <w:lastRenderedPageBreak/>
        <w:t>The use of the “One</w:t>
      </w:r>
      <w:r>
        <w:rPr>
          <w:rFonts w:cstheme="minorHAnsi"/>
          <w:b/>
          <w:bCs/>
          <w:szCs w:val="24"/>
          <w:lang w:val="en-US"/>
        </w:rPr>
        <w:t xml:space="preserve"> </w:t>
      </w:r>
      <w:r w:rsidRPr="007C1B6D">
        <w:rPr>
          <w:rFonts w:cstheme="minorHAnsi"/>
          <w:b/>
          <w:bCs/>
          <w:szCs w:val="24"/>
          <w:lang w:val="en-US"/>
        </w:rPr>
        <w:t>ITU” concept</w:t>
      </w:r>
    </w:p>
    <w:p w14:paraId="03D042C8" w14:textId="77777777" w:rsidR="00627E96" w:rsidRPr="00813E5E" w:rsidRDefault="00627E96" w:rsidP="00627E96">
      <w:pPr>
        <w:jc w:val="both"/>
      </w:pPr>
      <w:r w:rsidRPr="009353A8">
        <w:t xml:space="preserve">This document presents extracts </w:t>
      </w:r>
      <w:r>
        <w:t xml:space="preserve">of the use of the “One ITU” concept as </w:t>
      </w:r>
      <w:r w:rsidRPr="009353A8">
        <w:t>agreed upon by the Member States</w:t>
      </w:r>
      <w:r>
        <w:t xml:space="preserve"> in Plenipotentiary Conferences, and as a reference to help fill in the informal online consultation on the use of the “One ITU” concept and its implementation</w:t>
      </w:r>
      <w:r w:rsidRPr="009353A8">
        <w:t>.</w:t>
      </w:r>
    </w:p>
    <w:p w14:paraId="679E97D2" w14:textId="77777777" w:rsidR="00627E96" w:rsidRDefault="00627E96" w:rsidP="00627E96">
      <w:pPr>
        <w:jc w:val="both"/>
        <w:rPr>
          <w:rFonts w:cstheme="minorHAnsi"/>
          <w:b/>
          <w:bCs/>
          <w:szCs w:val="24"/>
        </w:rPr>
      </w:pPr>
    </w:p>
    <w:p w14:paraId="4A3330B9" w14:textId="77777777" w:rsidR="00627E96" w:rsidRDefault="00F4736B" w:rsidP="00627E96">
      <w:pPr>
        <w:jc w:val="both"/>
        <w:rPr>
          <w:rFonts w:cstheme="minorHAnsi"/>
          <w:b/>
          <w:bCs/>
          <w:szCs w:val="24"/>
          <w:lang w:val="en-US"/>
        </w:rPr>
      </w:pPr>
      <w:hyperlink r:id="rId13" w:history="1">
        <w:r w:rsidR="00627E96" w:rsidRPr="006E50C6">
          <w:rPr>
            <w:rStyle w:val="Hyperlink"/>
            <w:rFonts w:cstheme="minorHAnsi"/>
            <w:b/>
            <w:bCs/>
            <w:szCs w:val="24"/>
            <w:lang w:val="en-US"/>
          </w:rPr>
          <w:t>ITU Plenipotentiary Conference 2014</w:t>
        </w:r>
      </w:hyperlink>
      <w:r w:rsidR="00627E96">
        <w:rPr>
          <w:rFonts w:cstheme="minorHAnsi"/>
          <w:b/>
          <w:bCs/>
          <w:szCs w:val="24"/>
          <w:lang w:val="en-US"/>
        </w:rPr>
        <w:t xml:space="preserve"> (PP-14)</w:t>
      </w:r>
    </w:p>
    <w:p w14:paraId="28E11674" w14:textId="77777777" w:rsidR="00627E96" w:rsidRPr="00387B32" w:rsidRDefault="00627E96" w:rsidP="00627E96">
      <w:pPr>
        <w:jc w:val="both"/>
        <w:rPr>
          <w:rFonts w:cstheme="minorHAnsi"/>
          <w:b/>
          <w:bCs/>
          <w:szCs w:val="24"/>
          <w:lang w:val="en-US"/>
        </w:rPr>
      </w:pPr>
      <w:r w:rsidRPr="00387B32">
        <w:rPr>
          <w:rFonts w:cstheme="minorHAnsi"/>
          <w:b/>
          <w:bCs/>
          <w:szCs w:val="24"/>
          <w:lang w:val="en-US"/>
        </w:rPr>
        <w:t>Resolution 71 (Rev. Busan, 2014)</w:t>
      </w:r>
    </w:p>
    <w:p w14:paraId="5E273389" w14:textId="77777777" w:rsidR="00627E96" w:rsidRDefault="00627E96" w:rsidP="00627E96">
      <w:pPr>
        <w:jc w:val="both"/>
        <w:rPr>
          <w:rFonts w:cstheme="minorHAnsi"/>
          <w:szCs w:val="24"/>
          <w:lang w:val="en-US"/>
        </w:rPr>
      </w:pPr>
      <w:r>
        <w:rPr>
          <w:rFonts w:cstheme="minorHAnsi"/>
          <w:szCs w:val="24"/>
          <w:lang w:val="en-US"/>
        </w:rPr>
        <w:t>Implementation criteria</w:t>
      </w:r>
    </w:p>
    <w:p w14:paraId="20F0EEFB" w14:textId="77777777" w:rsidR="00627E96" w:rsidRDefault="00627E96" w:rsidP="00627E96">
      <w:pPr>
        <w:jc w:val="both"/>
        <w:rPr>
          <w:rFonts w:cstheme="minorHAnsi"/>
          <w:szCs w:val="24"/>
          <w:lang w:val="en-US"/>
        </w:rPr>
      </w:pPr>
      <w:r w:rsidRPr="00433174">
        <w:rPr>
          <w:rFonts w:cstheme="minorHAnsi"/>
          <w:szCs w:val="24"/>
          <w:lang w:val="en-US"/>
        </w:rPr>
        <w:t>Working as One ITU: The Sectors shall work cohesively for the</w:t>
      </w:r>
      <w:r>
        <w:rPr>
          <w:rFonts w:cstheme="minorHAnsi"/>
          <w:szCs w:val="24"/>
          <w:lang w:val="en-US"/>
        </w:rPr>
        <w:t xml:space="preserve"> </w:t>
      </w:r>
      <w:r w:rsidRPr="00433174">
        <w:rPr>
          <w:rFonts w:cstheme="minorHAnsi"/>
          <w:szCs w:val="24"/>
          <w:lang w:val="en-US"/>
        </w:rPr>
        <w:t xml:space="preserve">implementation of the </w:t>
      </w:r>
      <w:r>
        <w:rPr>
          <w:rFonts w:cstheme="minorHAnsi"/>
          <w:szCs w:val="24"/>
          <w:lang w:val="en-US"/>
        </w:rPr>
        <w:t>s</w:t>
      </w:r>
      <w:r w:rsidRPr="00433174">
        <w:rPr>
          <w:rFonts w:cstheme="minorHAnsi"/>
          <w:szCs w:val="24"/>
          <w:lang w:val="en-US"/>
        </w:rPr>
        <w:t>trategic plan. The secretariat shall support</w:t>
      </w:r>
      <w:r>
        <w:rPr>
          <w:rFonts w:cstheme="minorHAnsi"/>
          <w:szCs w:val="24"/>
          <w:lang w:val="en-US"/>
        </w:rPr>
        <w:t xml:space="preserve"> </w:t>
      </w:r>
      <w:r w:rsidRPr="00433174">
        <w:rPr>
          <w:rFonts w:cstheme="minorHAnsi"/>
          <w:szCs w:val="24"/>
          <w:lang w:val="en-US"/>
        </w:rPr>
        <w:t>coordinated operational planning, avoiding redundancies and duplication</w:t>
      </w:r>
      <w:r>
        <w:rPr>
          <w:rFonts w:cstheme="minorHAnsi"/>
          <w:szCs w:val="24"/>
          <w:lang w:val="en-US"/>
        </w:rPr>
        <w:t xml:space="preserve"> </w:t>
      </w:r>
      <w:r w:rsidRPr="00433174">
        <w:rPr>
          <w:rFonts w:cstheme="minorHAnsi"/>
          <w:szCs w:val="24"/>
          <w:lang w:val="en-US"/>
        </w:rPr>
        <w:t xml:space="preserve">and maximizing synergies across the Sectors, the </w:t>
      </w:r>
      <w:proofErr w:type="spellStart"/>
      <w:proofErr w:type="gramStart"/>
      <w:r w:rsidRPr="00433174">
        <w:rPr>
          <w:rFonts w:cstheme="minorHAnsi"/>
          <w:szCs w:val="24"/>
          <w:lang w:val="en-US"/>
        </w:rPr>
        <w:t>Bureaux</w:t>
      </w:r>
      <w:proofErr w:type="spellEnd"/>
      <w:proofErr w:type="gramEnd"/>
      <w:r w:rsidRPr="00433174">
        <w:rPr>
          <w:rFonts w:cstheme="minorHAnsi"/>
          <w:szCs w:val="24"/>
          <w:lang w:val="en-US"/>
        </w:rPr>
        <w:t xml:space="preserve"> and the General</w:t>
      </w:r>
      <w:r>
        <w:rPr>
          <w:rFonts w:cstheme="minorHAnsi"/>
          <w:szCs w:val="24"/>
          <w:lang w:val="en-US"/>
        </w:rPr>
        <w:t xml:space="preserve"> </w:t>
      </w:r>
      <w:r w:rsidRPr="00433174">
        <w:rPr>
          <w:rFonts w:cstheme="minorHAnsi"/>
          <w:szCs w:val="24"/>
          <w:lang w:val="en-US"/>
        </w:rPr>
        <w:t>Secretariat.</w:t>
      </w:r>
    </w:p>
    <w:p w14:paraId="560CCF5A" w14:textId="77777777" w:rsidR="00627E96" w:rsidRDefault="00627E96" w:rsidP="00627E96">
      <w:pPr>
        <w:jc w:val="both"/>
        <w:rPr>
          <w:rFonts w:cstheme="minorHAnsi"/>
          <w:b/>
          <w:bCs/>
          <w:szCs w:val="24"/>
          <w:lang w:val="en-US"/>
        </w:rPr>
      </w:pPr>
    </w:p>
    <w:p w14:paraId="447B8411" w14:textId="77777777" w:rsidR="00627E96" w:rsidRDefault="00F4736B" w:rsidP="00627E96">
      <w:pPr>
        <w:jc w:val="both"/>
        <w:rPr>
          <w:rFonts w:cstheme="minorHAnsi"/>
          <w:b/>
          <w:bCs/>
          <w:szCs w:val="24"/>
        </w:rPr>
      </w:pPr>
      <w:hyperlink r:id="rId14" w:history="1">
        <w:r w:rsidR="00627E96" w:rsidRPr="00661BCB">
          <w:rPr>
            <w:rStyle w:val="Hyperlink"/>
            <w:rFonts w:cstheme="minorHAnsi"/>
            <w:b/>
            <w:bCs/>
            <w:szCs w:val="24"/>
          </w:rPr>
          <w:t>ITU Plenipotentiary Conference 2018</w:t>
        </w:r>
      </w:hyperlink>
      <w:r w:rsidR="00627E96">
        <w:rPr>
          <w:rFonts w:cstheme="minorHAnsi"/>
          <w:b/>
          <w:bCs/>
          <w:szCs w:val="24"/>
        </w:rPr>
        <w:t xml:space="preserve"> (PP-18)</w:t>
      </w:r>
    </w:p>
    <w:p w14:paraId="518647E2" w14:textId="77777777" w:rsidR="00627E96" w:rsidRPr="00387B32" w:rsidRDefault="00627E96" w:rsidP="00627E96">
      <w:pPr>
        <w:jc w:val="both"/>
        <w:rPr>
          <w:rFonts w:cstheme="minorHAnsi"/>
          <w:b/>
          <w:bCs/>
          <w:szCs w:val="24"/>
          <w:lang w:val="en-US"/>
        </w:rPr>
      </w:pPr>
      <w:r w:rsidRPr="00387B32">
        <w:rPr>
          <w:rFonts w:cstheme="minorHAnsi"/>
          <w:b/>
          <w:bCs/>
          <w:szCs w:val="24"/>
          <w:lang w:val="en-US"/>
        </w:rPr>
        <w:t>Resolution 25 (Rev. Dubai, 2018)</w:t>
      </w:r>
    </w:p>
    <w:p w14:paraId="27807C6C" w14:textId="77777777" w:rsidR="00627E96" w:rsidRPr="00387B32" w:rsidRDefault="00627E96" w:rsidP="00627E96">
      <w:pPr>
        <w:jc w:val="both"/>
        <w:rPr>
          <w:rFonts w:cstheme="minorHAnsi"/>
          <w:i/>
          <w:iCs/>
          <w:szCs w:val="24"/>
          <w:lang w:val="en-US"/>
        </w:rPr>
      </w:pPr>
      <w:r w:rsidRPr="00387B32">
        <w:rPr>
          <w:rFonts w:cstheme="minorHAnsi"/>
          <w:i/>
          <w:iCs/>
          <w:szCs w:val="24"/>
          <w:lang w:val="en-US"/>
        </w:rPr>
        <w:t xml:space="preserve">bearing in mind </w:t>
      </w:r>
    </w:p>
    <w:p w14:paraId="0732147A" w14:textId="77777777" w:rsidR="00627E96" w:rsidRPr="006E50C6" w:rsidRDefault="00627E96" w:rsidP="00627E96">
      <w:pPr>
        <w:jc w:val="both"/>
        <w:rPr>
          <w:rFonts w:cstheme="minorHAnsi"/>
          <w:szCs w:val="24"/>
          <w:lang w:val="en-US"/>
        </w:rPr>
      </w:pPr>
      <w:r w:rsidRPr="006E50C6">
        <w:rPr>
          <w:rFonts w:cstheme="minorHAnsi"/>
          <w:szCs w:val="24"/>
          <w:lang w:val="en-US"/>
        </w:rPr>
        <w:t xml:space="preserve">k) the 2012 JIU report, in particular its recommendation 12, which recommends that the 2018 plenipotentiary conference should ensure that the role of the regional presence in achieving "One ITU" is mainstreamed in the strategic plan of the Union, and that the ITU Council should ensure that this role is appropriately cascaded down into the operational plans of each </w:t>
      </w:r>
      <w:proofErr w:type="gramStart"/>
      <w:r w:rsidRPr="006E50C6">
        <w:rPr>
          <w:rFonts w:cstheme="minorHAnsi"/>
          <w:szCs w:val="24"/>
          <w:lang w:val="en-US"/>
        </w:rPr>
        <w:t>Sector;</w:t>
      </w:r>
      <w:proofErr w:type="gramEnd"/>
    </w:p>
    <w:p w14:paraId="27484C9C" w14:textId="77777777" w:rsidR="00627E96" w:rsidRPr="007E1DDD" w:rsidRDefault="00627E96" w:rsidP="00627E96">
      <w:pPr>
        <w:jc w:val="both"/>
        <w:rPr>
          <w:rFonts w:cstheme="minorHAnsi"/>
          <w:b/>
          <w:bCs/>
          <w:szCs w:val="24"/>
        </w:rPr>
      </w:pPr>
      <w:r w:rsidRPr="007E1DDD">
        <w:rPr>
          <w:rFonts w:cstheme="minorHAnsi"/>
          <w:b/>
          <w:bCs/>
          <w:szCs w:val="24"/>
        </w:rPr>
        <w:t>Resolution 71 (Rev. Dubai, 2018)</w:t>
      </w:r>
    </w:p>
    <w:p w14:paraId="1BAFD0AB" w14:textId="77777777" w:rsidR="00627E96" w:rsidRPr="002644E1" w:rsidRDefault="00627E96" w:rsidP="00627E96">
      <w:pPr>
        <w:jc w:val="both"/>
        <w:rPr>
          <w:rFonts w:cstheme="minorHAnsi"/>
          <w:szCs w:val="24"/>
        </w:rPr>
      </w:pPr>
      <w:r>
        <w:rPr>
          <w:rFonts w:cstheme="minorHAnsi"/>
          <w:szCs w:val="24"/>
        </w:rPr>
        <w:t>Outputs</w:t>
      </w:r>
    </w:p>
    <w:p w14:paraId="42E4FB59" w14:textId="77777777" w:rsidR="00627E96" w:rsidRPr="002644E1" w:rsidRDefault="00627E96" w:rsidP="00627E96">
      <w:pPr>
        <w:jc w:val="both"/>
        <w:rPr>
          <w:rFonts w:cstheme="minorHAnsi"/>
          <w:b/>
          <w:bCs/>
          <w:szCs w:val="24"/>
        </w:rPr>
      </w:pPr>
      <w:r w:rsidRPr="00A1713F">
        <w:rPr>
          <w:rFonts w:cstheme="minorHAnsi"/>
          <w:szCs w:val="24"/>
          <w:lang w:val="en-US"/>
        </w:rPr>
        <w:t>I.6-2: Implement the concept of "One ITU",</w:t>
      </w:r>
      <w:r>
        <w:rPr>
          <w:rFonts w:cstheme="minorHAnsi"/>
          <w:szCs w:val="24"/>
          <w:lang w:val="en-US"/>
        </w:rPr>
        <w:t xml:space="preserve"> </w:t>
      </w:r>
      <w:r w:rsidRPr="00A1713F">
        <w:rPr>
          <w:rFonts w:cstheme="minorHAnsi"/>
          <w:szCs w:val="24"/>
          <w:lang w:val="en-US"/>
        </w:rPr>
        <w:t>harmonizing, to the extent feasible,</w:t>
      </w:r>
      <w:r>
        <w:rPr>
          <w:rFonts w:cstheme="minorHAnsi"/>
          <w:szCs w:val="24"/>
          <w:lang w:val="en-US"/>
        </w:rPr>
        <w:t xml:space="preserve"> </w:t>
      </w:r>
      <w:r w:rsidRPr="00A1713F">
        <w:rPr>
          <w:rFonts w:cstheme="minorHAnsi"/>
          <w:szCs w:val="24"/>
          <w:lang w:val="en-US"/>
        </w:rPr>
        <w:t>procedures across Sectors and regional</w:t>
      </w:r>
      <w:r>
        <w:rPr>
          <w:rFonts w:cstheme="minorHAnsi"/>
          <w:szCs w:val="24"/>
          <w:lang w:val="en-US"/>
        </w:rPr>
        <w:t xml:space="preserve"> </w:t>
      </w:r>
      <w:r w:rsidRPr="00A1713F">
        <w:rPr>
          <w:rFonts w:cstheme="minorHAnsi"/>
          <w:szCs w:val="24"/>
          <w:lang w:val="en-US"/>
        </w:rPr>
        <w:t>offices/the regional presence in the</w:t>
      </w:r>
      <w:r>
        <w:rPr>
          <w:rFonts w:cstheme="minorHAnsi"/>
          <w:szCs w:val="24"/>
          <w:lang w:val="en-US"/>
        </w:rPr>
        <w:t xml:space="preserve"> </w:t>
      </w:r>
      <w:r w:rsidRPr="00A1713F">
        <w:rPr>
          <w:rFonts w:cstheme="minorHAnsi"/>
          <w:szCs w:val="24"/>
          <w:lang w:val="en-US"/>
        </w:rPr>
        <w:t>implementation of goals and objectives of</w:t>
      </w:r>
      <w:r>
        <w:rPr>
          <w:rFonts w:cstheme="minorHAnsi"/>
          <w:szCs w:val="24"/>
          <w:lang w:val="en-US"/>
        </w:rPr>
        <w:t xml:space="preserve"> </w:t>
      </w:r>
      <w:r w:rsidRPr="00A1713F">
        <w:rPr>
          <w:rFonts w:cstheme="minorHAnsi"/>
          <w:szCs w:val="24"/>
          <w:lang w:val="en-US"/>
        </w:rPr>
        <w:t>the ITU and Sectors</w:t>
      </w:r>
    </w:p>
    <w:p w14:paraId="658B6D41" w14:textId="77777777" w:rsidR="00627E96" w:rsidRPr="007E1DDD" w:rsidRDefault="00627E96" w:rsidP="00627E96">
      <w:pPr>
        <w:jc w:val="both"/>
        <w:rPr>
          <w:rFonts w:cstheme="minorHAnsi"/>
          <w:szCs w:val="24"/>
        </w:rPr>
      </w:pPr>
      <w:r w:rsidRPr="007E1DDD">
        <w:rPr>
          <w:rFonts w:cstheme="minorHAnsi"/>
          <w:szCs w:val="24"/>
        </w:rPr>
        <w:t>Implementation criteria</w:t>
      </w:r>
    </w:p>
    <w:p w14:paraId="30EB5458" w14:textId="77777777" w:rsidR="00627E96" w:rsidRPr="00C816E1" w:rsidRDefault="00627E96" w:rsidP="00627E96">
      <w:pPr>
        <w:jc w:val="both"/>
        <w:rPr>
          <w:rFonts w:cstheme="minorHAnsi"/>
          <w:szCs w:val="24"/>
        </w:rPr>
      </w:pPr>
      <w:r w:rsidRPr="00C816E1">
        <w:rPr>
          <w:rFonts w:cstheme="minorHAnsi"/>
          <w:szCs w:val="24"/>
          <w:lang w:val="en-US"/>
        </w:rPr>
        <w:t>Working as One ITU: The Sectors shall work cohesively for the</w:t>
      </w:r>
      <w:r>
        <w:rPr>
          <w:rFonts w:cstheme="minorHAnsi"/>
          <w:szCs w:val="24"/>
          <w:lang w:val="en-US"/>
        </w:rPr>
        <w:t xml:space="preserve"> </w:t>
      </w:r>
      <w:r w:rsidRPr="00C816E1">
        <w:rPr>
          <w:rFonts w:cstheme="minorHAnsi"/>
          <w:szCs w:val="24"/>
          <w:lang w:val="en-US"/>
        </w:rPr>
        <w:t>implementation of the strategic plan. The secretariat shall support</w:t>
      </w:r>
      <w:r>
        <w:rPr>
          <w:rFonts w:cstheme="minorHAnsi"/>
          <w:szCs w:val="24"/>
          <w:lang w:val="en-US"/>
        </w:rPr>
        <w:t xml:space="preserve"> </w:t>
      </w:r>
      <w:r w:rsidRPr="00C816E1">
        <w:rPr>
          <w:rFonts w:cstheme="minorHAnsi"/>
          <w:szCs w:val="24"/>
          <w:lang w:val="en-US"/>
        </w:rPr>
        <w:t>coordinated operational planning, avoiding redundancies and duplication</w:t>
      </w:r>
      <w:r>
        <w:rPr>
          <w:rFonts w:cstheme="minorHAnsi"/>
          <w:szCs w:val="24"/>
          <w:lang w:val="en-US"/>
        </w:rPr>
        <w:t xml:space="preserve"> </w:t>
      </w:r>
      <w:r w:rsidRPr="00C816E1">
        <w:rPr>
          <w:rFonts w:cstheme="minorHAnsi"/>
          <w:szCs w:val="24"/>
          <w:lang w:val="en-US"/>
        </w:rPr>
        <w:t xml:space="preserve">and maximizing synergies across the Sectors, the </w:t>
      </w:r>
      <w:proofErr w:type="spellStart"/>
      <w:proofErr w:type="gramStart"/>
      <w:r w:rsidRPr="00C816E1">
        <w:rPr>
          <w:rFonts w:cstheme="minorHAnsi"/>
          <w:szCs w:val="24"/>
          <w:lang w:val="en-US"/>
        </w:rPr>
        <w:t>Bureaux</w:t>
      </w:r>
      <w:proofErr w:type="spellEnd"/>
      <w:proofErr w:type="gramEnd"/>
      <w:r w:rsidRPr="00C816E1">
        <w:rPr>
          <w:rFonts w:cstheme="minorHAnsi"/>
          <w:szCs w:val="24"/>
          <w:lang w:val="en-US"/>
        </w:rPr>
        <w:t xml:space="preserve"> and the General</w:t>
      </w:r>
      <w:r>
        <w:rPr>
          <w:rFonts w:cstheme="minorHAnsi"/>
          <w:szCs w:val="24"/>
          <w:lang w:val="en-US"/>
        </w:rPr>
        <w:t xml:space="preserve"> </w:t>
      </w:r>
      <w:r w:rsidRPr="00C816E1">
        <w:rPr>
          <w:rFonts w:cstheme="minorHAnsi"/>
          <w:szCs w:val="24"/>
          <w:lang w:val="en-US"/>
        </w:rPr>
        <w:t>Secretariat.</w:t>
      </w:r>
    </w:p>
    <w:p w14:paraId="4F0F85DD" w14:textId="77777777" w:rsidR="00627E96" w:rsidRPr="007E1DDD" w:rsidRDefault="00627E96" w:rsidP="00627E96">
      <w:pPr>
        <w:jc w:val="both"/>
        <w:rPr>
          <w:rFonts w:cstheme="minorHAnsi"/>
          <w:szCs w:val="24"/>
        </w:rPr>
      </w:pPr>
      <w:r w:rsidRPr="007E1DDD">
        <w:rPr>
          <w:rFonts w:cstheme="minorHAnsi"/>
          <w:szCs w:val="24"/>
        </w:rPr>
        <w:t>Situational Analysis - Lessons learnt from the ITU strategic plan for 2016-2019</w:t>
      </w:r>
    </w:p>
    <w:p w14:paraId="218F5D95" w14:textId="77777777" w:rsidR="00627E96" w:rsidRPr="007D20AB" w:rsidRDefault="00627E96" w:rsidP="00627E96">
      <w:pPr>
        <w:jc w:val="both"/>
        <w:rPr>
          <w:rFonts w:cstheme="minorHAnsi"/>
          <w:szCs w:val="24"/>
          <w:lang w:val="en-US"/>
        </w:rPr>
      </w:pPr>
      <w:r w:rsidRPr="00074AFC">
        <w:rPr>
          <w:rFonts w:cstheme="minorHAnsi"/>
          <w:szCs w:val="24"/>
          <w:lang w:val="en-US"/>
        </w:rPr>
        <w:t>The ITU strategic plan for 2016-2019 also introduced significant improvements</w:t>
      </w:r>
      <w:r>
        <w:rPr>
          <w:rFonts w:cstheme="minorHAnsi"/>
          <w:szCs w:val="24"/>
          <w:lang w:val="en-US"/>
        </w:rPr>
        <w:t xml:space="preserve"> </w:t>
      </w:r>
      <w:r w:rsidRPr="00074AFC">
        <w:rPr>
          <w:rFonts w:cstheme="minorHAnsi"/>
          <w:szCs w:val="24"/>
          <w:lang w:val="en-US"/>
        </w:rPr>
        <w:t>internally for the organization, by strengthening the concept of working as "One</w:t>
      </w:r>
      <w:r>
        <w:rPr>
          <w:rFonts w:cstheme="minorHAnsi"/>
          <w:szCs w:val="24"/>
          <w:lang w:val="en-US"/>
        </w:rPr>
        <w:t xml:space="preserve"> </w:t>
      </w:r>
      <w:r w:rsidRPr="00074AFC">
        <w:rPr>
          <w:rFonts w:cstheme="minorHAnsi"/>
          <w:szCs w:val="24"/>
          <w:lang w:val="en-US"/>
        </w:rPr>
        <w:t>ITU". The common vision, mission and strategic goals for the whole organization</w:t>
      </w:r>
      <w:r>
        <w:rPr>
          <w:rFonts w:cstheme="minorHAnsi"/>
          <w:szCs w:val="24"/>
          <w:lang w:val="en-US"/>
        </w:rPr>
        <w:t xml:space="preserve"> </w:t>
      </w:r>
      <w:r w:rsidRPr="00074AFC">
        <w:rPr>
          <w:rFonts w:cstheme="minorHAnsi"/>
          <w:szCs w:val="24"/>
          <w:lang w:val="en-US"/>
        </w:rPr>
        <w:t>aimed for all the Sectors to work cohesively on the implementation of the</w:t>
      </w:r>
      <w:r>
        <w:rPr>
          <w:rFonts w:cstheme="minorHAnsi"/>
          <w:szCs w:val="24"/>
          <w:lang w:val="en-US"/>
        </w:rPr>
        <w:t xml:space="preserve"> </w:t>
      </w:r>
      <w:r w:rsidRPr="00074AFC">
        <w:rPr>
          <w:rFonts w:cstheme="minorHAnsi"/>
          <w:szCs w:val="24"/>
          <w:lang w:val="en-US"/>
        </w:rPr>
        <w:t xml:space="preserve">strategic plan, and for the secretariat to support - in a coordinated fashion </w:t>
      </w:r>
      <w:r>
        <w:rPr>
          <w:rFonts w:cstheme="minorHAnsi"/>
          <w:szCs w:val="24"/>
          <w:lang w:val="en-US"/>
        </w:rPr>
        <w:t>–</w:t>
      </w:r>
      <w:r w:rsidRPr="00074AFC">
        <w:rPr>
          <w:rFonts w:cstheme="minorHAnsi"/>
          <w:szCs w:val="24"/>
          <w:lang w:val="en-US"/>
        </w:rPr>
        <w:t xml:space="preserve"> the</w:t>
      </w:r>
      <w:r>
        <w:rPr>
          <w:rFonts w:cstheme="minorHAnsi"/>
          <w:szCs w:val="24"/>
          <w:lang w:val="en-US"/>
        </w:rPr>
        <w:t xml:space="preserve"> </w:t>
      </w:r>
      <w:r w:rsidRPr="00074AFC">
        <w:rPr>
          <w:rFonts w:cstheme="minorHAnsi"/>
          <w:szCs w:val="24"/>
          <w:lang w:val="en-US"/>
        </w:rPr>
        <w:t>implementation of the operational plans, seeking to avoid redundancies and</w:t>
      </w:r>
      <w:r>
        <w:rPr>
          <w:rFonts w:cstheme="minorHAnsi"/>
          <w:szCs w:val="24"/>
          <w:lang w:val="en-US"/>
        </w:rPr>
        <w:t xml:space="preserve"> </w:t>
      </w:r>
      <w:r w:rsidRPr="00074AFC">
        <w:rPr>
          <w:rFonts w:cstheme="minorHAnsi"/>
          <w:szCs w:val="24"/>
          <w:lang w:val="en-US"/>
        </w:rPr>
        <w:t xml:space="preserve">duplication, and maximizing synergies across the Sectors, the </w:t>
      </w:r>
      <w:proofErr w:type="spellStart"/>
      <w:proofErr w:type="gramStart"/>
      <w:r w:rsidRPr="00074AFC">
        <w:rPr>
          <w:rFonts w:cstheme="minorHAnsi"/>
          <w:szCs w:val="24"/>
          <w:lang w:val="en-US"/>
        </w:rPr>
        <w:t>Bureaux</w:t>
      </w:r>
      <w:proofErr w:type="spellEnd"/>
      <w:proofErr w:type="gramEnd"/>
      <w:r w:rsidRPr="00074AFC">
        <w:rPr>
          <w:rFonts w:cstheme="minorHAnsi"/>
          <w:szCs w:val="24"/>
          <w:lang w:val="en-US"/>
        </w:rPr>
        <w:t xml:space="preserve"> and the</w:t>
      </w:r>
      <w:r>
        <w:rPr>
          <w:rFonts w:cstheme="minorHAnsi"/>
          <w:szCs w:val="24"/>
          <w:lang w:val="en-US"/>
        </w:rPr>
        <w:t xml:space="preserve"> </w:t>
      </w:r>
      <w:r w:rsidRPr="00074AFC">
        <w:rPr>
          <w:rFonts w:cstheme="minorHAnsi"/>
          <w:szCs w:val="24"/>
          <w:lang w:val="en-US"/>
        </w:rPr>
        <w:t>General Secretariat.</w:t>
      </w:r>
    </w:p>
    <w:p w14:paraId="1405DEFE" w14:textId="77777777" w:rsidR="00627E96" w:rsidRDefault="00627E96" w:rsidP="00627E96">
      <w:pPr>
        <w:jc w:val="both"/>
        <w:rPr>
          <w:rFonts w:cstheme="minorHAnsi"/>
          <w:szCs w:val="24"/>
          <w:lang w:val="en-US"/>
        </w:rPr>
      </w:pPr>
    </w:p>
    <w:p w14:paraId="40488326" w14:textId="77777777" w:rsidR="00627E96" w:rsidRPr="007E1DDD" w:rsidRDefault="00627E96" w:rsidP="00627E96">
      <w:pPr>
        <w:jc w:val="both"/>
        <w:rPr>
          <w:rFonts w:cstheme="minorHAnsi"/>
          <w:b/>
          <w:bCs/>
          <w:szCs w:val="24"/>
        </w:rPr>
      </w:pPr>
      <w:r w:rsidRPr="007E1DDD">
        <w:rPr>
          <w:rFonts w:cstheme="minorHAnsi"/>
          <w:b/>
          <w:bCs/>
          <w:szCs w:val="24"/>
        </w:rPr>
        <w:lastRenderedPageBreak/>
        <w:t>Resolution 154 (Rev. Dubai, 2018)</w:t>
      </w:r>
    </w:p>
    <w:p w14:paraId="38DC3095" w14:textId="77777777" w:rsidR="00627E96" w:rsidRDefault="00627E96" w:rsidP="00627E96">
      <w:pPr>
        <w:jc w:val="both"/>
        <w:rPr>
          <w:rFonts w:cstheme="minorHAnsi"/>
          <w:i/>
          <w:iCs/>
          <w:szCs w:val="24"/>
          <w:lang w:val="en-US"/>
        </w:rPr>
      </w:pPr>
      <w:r w:rsidRPr="009829AD">
        <w:rPr>
          <w:rFonts w:cstheme="minorHAnsi"/>
          <w:i/>
          <w:iCs/>
          <w:szCs w:val="24"/>
          <w:lang w:val="en-US"/>
        </w:rPr>
        <w:t>instructs the Secretary-General, in close collaboration with the Directors of</w:t>
      </w:r>
      <w:r>
        <w:rPr>
          <w:rFonts w:cstheme="minorHAnsi"/>
          <w:i/>
          <w:iCs/>
          <w:szCs w:val="24"/>
          <w:lang w:val="en-US"/>
        </w:rPr>
        <w:t xml:space="preserve"> </w:t>
      </w:r>
      <w:r w:rsidRPr="009829AD">
        <w:rPr>
          <w:rFonts w:cstheme="minorHAnsi"/>
          <w:i/>
          <w:iCs/>
          <w:szCs w:val="24"/>
          <w:lang w:val="en-US"/>
        </w:rPr>
        <w:t xml:space="preserve">the </w:t>
      </w:r>
      <w:proofErr w:type="spellStart"/>
      <w:r w:rsidRPr="009829AD">
        <w:rPr>
          <w:rFonts w:cstheme="minorHAnsi"/>
          <w:i/>
          <w:iCs/>
          <w:szCs w:val="24"/>
          <w:lang w:val="en-US"/>
        </w:rPr>
        <w:t>Bureaux</w:t>
      </w:r>
      <w:proofErr w:type="spellEnd"/>
    </w:p>
    <w:p w14:paraId="72408D8E" w14:textId="77777777" w:rsidR="00627E96" w:rsidRPr="006E50C6" w:rsidRDefault="00627E96" w:rsidP="00627E96">
      <w:pPr>
        <w:jc w:val="both"/>
        <w:rPr>
          <w:rFonts w:cstheme="minorHAnsi"/>
          <w:szCs w:val="24"/>
          <w:lang w:val="en-US"/>
        </w:rPr>
      </w:pPr>
      <w:r w:rsidRPr="006E50C6">
        <w:rPr>
          <w:rFonts w:cstheme="minorHAnsi"/>
          <w:szCs w:val="24"/>
          <w:lang w:val="en-US"/>
        </w:rPr>
        <w:t xml:space="preserve">3 to continue work on harmonization of the ITU Sectors' websites to ensure clarity, ease of navigation and an image of One </w:t>
      </w:r>
      <w:proofErr w:type="gramStart"/>
      <w:r w:rsidRPr="006E50C6">
        <w:rPr>
          <w:rFonts w:cstheme="minorHAnsi"/>
          <w:szCs w:val="24"/>
          <w:lang w:val="en-US"/>
        </w:rPr>
        <w:t>ITU;</w:t>
      </w:r>
      <w:proofErr w:type="gramEnd"/>
    </w:p>
    <w:p w14:paraId="31838117" w14:textId="77777777" w:rsidR="00627E96" w:rsidRPr="007F16FA" w:rsidRDefault="00627E96" w:rsidP="00627E96">
      <w:pPr>
        <w:jc w:val="both"/>
        <w:rPr>
          <w:rFonts w:cstheme="minorHAnsi"/>
          <w:b/>
          <w:bCs/>
          <w:szCs w:val="24"/>
          <w:lang w:val="en-US"/>
        </w:rPr>
      </w:pPr>
      <w:r w:rsidRPr="007F16FA">
        <w:rPr>
          <w:rFonts w:cstheme="minorHAnsi"/>
          <w:b/>
          <w:bCs/>
          <w:szCs w:val="24"/>
          <w:lang w:val="en-US"/>
        </w:rPr>
        <w:t>Resolution 191 (Rev. Dubai, 2018)</w:t>
      </w:r>
    </w:p>
    <w:p w14:paraId="1CFC169D" w14:textId="77777777" w:rsidR="00627E96" w:rsidRPr="007F16FA" w:rsidRDefault="00627E96" w:rsidP="00627E96">
      <w:pPr>
        <w:jc w:val="both"/>
        <w:rPr>
          <w:rFonts w:cstheme="minorHAnsi"/>
          <w:i/>
          <w:iCs/>
          <w:szCs w:val="24"/>
          <w:lang w:val="en-US"/>
        </w:rPr>
      </w:pPr>
      <w:r>
        <w:rPr>
          <w:rFonts w:cstheme="minorHAnsi"/>
          <w:i/>
          <w:iCs/>
          <w:szCs w:val="24"/>
          <w:lang w:val="en-US"/>
        </w:rPr>
        <w:t>r</w:t>
      </w:r>
      <w:r w:rsidRPr="007F16FA">
        <w:rPr>
          <w:rFonts w:cstheme="minorHAnsi"/>
          <w:i/>
          <w:iCs/>
          <w:szCs w:val="24"/>
          <w:lang w:val="en-US"/>
        </w:rPr>
        <w:t>ecognizing</w:t>
      </w:r>
    </w:p>
    <w:p w14:paraId="0DFC54E9" w14:textId="77777777" w:rsidR="00627E96" w:rsidRPr="00661BCB" w:rsidRDefault="00627E96" w:rsidP="00627E96">
      <w:pPr>
        <w:jc w:val="both"/>
        <w:rPr>
          <w:rFonts w:cstheme="minorHAnsi"/>
          <w:szCs w:val="24"/>
        </w:rPr>
      </w:pPr>
      <w:r w:rsidRPr="00661BCB">
        <w:rPr>
          <w:rFonts w:cstheme="minorHAnsi"/>
          <w:szCs w:val="24"/>
          <w:lang w:val="en-US"/>
        </w:rPr>
        <w:t>a) the growing number of areas for common studies carried out by the three Sectors and the related need for coordination and cooperation among the Sectors, providing an integrated approach within the framework of the "One ITU</w:t>
      </w:r>
      <w:proofErr w:type="gramStart"/>
      <w:r w:rsidRPr="00661BCB">
        <w:rPr>
          <w:rFonts w:cstheme="minorHAnsi"/>
          <w:szCs w:val="24"/>
          <w:lang w:val="en-US"/>
        </w:rPr>
        <w:t>";</w:t>
      </w:r>
      <w:proofErr w:type="gramEnd"/>
    </w:p>
    <w:p w14:paraId="24523A40" w14:textId="77777777" w:rsidR="00627E96" w:rsidRDefault="00627E96" w:rsidP="00627E96">
      <w:pPr>
        <w:jc w:val="both"/>
        <w:rPr>
          <w:rFonts w:cstheme="minorHAnsi"/>
          <w:b/>
          <w:bCs/>
          <w:szCs w:val="24"/>
          <w:lang w:val="en-US"/>
        </w:rPr>
      </w:pPr>
    </w:p>
    <w:p w14:paraId="0191674B" w14:textId="77777777" w:rsidR="00627E96" w:rsidRDefault="00627E96" w:rsidP="00627E96">
      <w:pPr>
        <w:jc w:val="both"/>
        <w:rPr>
          <w:rFonts w:cstheme="minorHAnsi"/>
          <w:b/>
          <w:bCs/>
          <w:color w:val="1A1A1A"/>
          <w:szCs w:val="24"/>
          <w:lang w:val="en-US"/>
        </w:rPr>
      </w:pPr>
      <w:r>
        <w:rPr>
          <w:rFonts w:cstheme="minorHAnsi"/>
          <w:b/>
          <w:bCs/>
          <w:color w:val="1A1A1A"/>
          <w:szCs w:val="24"/>
          <w:lang w:val="en-US"/>
        </w:rPr>
        <w:t>ITU Plenipotentiary Conference 2022 (PP-22)</w:t>
      </w:r>
    </w:p>
    <w:p w14:paraId="42346B02" w14:textId="77777777" w:rsidR="00627E96" w:rsidRPr="007F16FA" w:rsidRDefault="00F4736B" w:rsidP="00627E96">
      <w:pPr>
        <w:jc w:val="both"/>
        <w:rPr>
          <w:rFonts w:cstheme="minorHAnsi"/>
          <w:b/>
          <w:bCs/>
          <w:szCs w:val="24"/>
          <w:lang w:val="en-US"/>
        </w:rPr>
      </w:pPr>
      <w:hyperlink r:id="rId15" w:history="1">
        <w:r w:rsidR="00627E96" w:rsidRPr="00661BCB">
          <w:rPr>
            <w:rStyle w:val="Hyperlink"/>
            <w:rFonts w:cstheme="minorHAnsi"/>
            <w:b/>
            <w:bCs/>
            <w:szCs w:val="24"/>
            <w:lang w:val="en-US"/>
          </w:rPr>
          <w:t>Resolution 25 (Rev. Bucharest, 2022)</w:t>
        </w:r>
      </w:hyperlink>
    </w:p>
    <w:p w14:paraId="6FF9FF7F" w14:textId="77777777" w:rsidR="00627E96" w:rsidRPr="007F16FA" w:rsidRDefault="00627E96" w:rsidP="00627E96">
      <w:pPr>
        <w:jc w:val="both"/>
        <w:rPr>
          <w:rFonts w:cstheme="minorHAnsi"/>
          <w:i/>
          <w:iCs/>
          <w:szCs w:val="24"/>
          <w:lang w:val="en-US"/>
        </w:rPr>
      </w:pPr>
      <w:r w:rsidRPr="007F16FA">
        <w:rPr>
          <w:rFonts w:cstheme="minorHAnsi"/>
          <w:i/>
          <w:iCs/>
          <w:szCs w:val="24"/>
          <w:lang w:val="en-US"/>
        </w:rPr>
        <w:t>bearing in mind</w:t>
      </w:r>
    </w:p>
    <w:p w14:paraId="64CB9349" w14:textId="77777777" w:rsidR="00627E96" w:rsidRPr="00661BCB" w:rsidRDefault="00627E96" w:rsidP="00627E96">
      <w:pPr>
        <w:jc w:val="both"/>
        <w:rPr>
          <w:rFonts w:cstheme="minorHAnsi"/>
          <w:color w:val="1A1A1A"/>
          <w:szCs w:val="24"/>
          <w:lang w:val="en-US"/>
        </w:rPr>
      </w:pPr>
      <w:r w:rsidRPr="00661BCB">
        <w:rPr>
          <w:rFonts w:cstheme="minorHAnsi"/>
          <w:color w:val="1A1A1A"/>
          <w:szCs w:val="24"/>
          <w:lang w:val="en-US"/>
        </w:rPr>
        <w:t xml:space="preserve">e) reports of the United Nations Joint Inspection Unit (JIU), which made recommendations to improve the ITU regional presence and highlighted the need to mainstream regional presence in the strategic plan for the Union and to appropriately cascade it down into the operational plans of each Sector </w:t>
      </w:r>
      <w:proofErr w:type="gramStart"/>
      <w:r w:rsidRPr="00661BCB">
        <w:rPr>
          <w:rFonts w:cstheme="minorHAnsi"/>
          <w:color w:val="1A1A1A"/>
          <w:szCs w:val="24"/>
          <w:lang w:val="en-US"/>
        </w:rPr>
        <w:t>in order to</w:t>
      </w:r>
      <w:proofErr w:type="gramEnd"/>
      <w:r w:rsidRPr="00661BCB">
        <w:rPr>
          <w:rFonts w:cstheme="minorHAnsi"/>
          <w:color w:val="1A1A1A"/>
          <w:szCs w:val="24"/>
          <w:lang w:val="en-US"/>
        </w:rPr>
        <w:t xml:space="preserve"> achieve "One ITU",</w:t>
      </w:r>
    </w:p>
    <w:p w14:paraId="70DE43F0" w14:textId="77777777" w:rsidR="00627E96" w:rsidRPr="007F16FA" w:rsidRDefault="00627E96" w:rsidP="00627E96">
      <w:pPr>
        <w:jc w:val="both"/>
        <w:rPr>
          <w:rFonts w:cstheme="minorHAnsi"/>
          <w:i/>
          <w:iCs/>
          <w:color w:val="1A1A1A"/>
          <w:szCs w:val="24"/>
          <w:lang w:val="en-US"/>
        </w:rPr>
      </w:pPr>
      <w:r w:rsidRPr="007F16FA">
        <w:rPr>
          <w:rFonts w:cstheme="minorHAnsi"/>
          <w:i/>
          <w:iCs/>
          <w:color w:val="1A1A1A"/>
          <w:szCs w:val="24"/>
          <w:lang w:val="en-US"/>
        </w:rPr>
        <w:t>convinced</w:t>
      </w:r>
    </w:p>
    <w:p w14:paraId="19E14806" w14:textId="77777777" w:rsidR="00627E96" w:rsidRPr="00661BCB" w:rsidRDefault="00627E96" w:rsidP="00627E96">
      <w:pPr>
        <w:jc w:val="both"/>
        <w:rPr>
          <w:rFonts w:cstheme="minorHAnsi"/>
          <w:color w:val="1A1A1A"/>
          <w:szCs w:val="24"/>
          <w:lang w:val="en-US"/>
        </w:rPr>
      </w:pPr>
      <w:r w:rsidRPr="00661BCB">
        <w:rPr>
          <w:rFonts w:cstheme="minorHAnsi"/>
          <w:color w:val="1A1A1A"/>
          <w:szCs w:val="24"/>
          <w:lang w:val="en-US"/>
        </w:rPr>
        <w:t xml:space="preserve">b) the importance of collaboration between the Radiocommunication Bureau (BR), the Telecommunication Standardization Bureau (TSB), the Telecommunication Development Bureau (BDT) and the General Secretariat in order to promote and improve the work of the regional and area offices and mainstream the "One ITU" concept, to serve the </w:t>
      </w:r>
      <w:proofErr w:type="gramStart"/>
      <w:r w:rsidRPr="00661BCB">
        <w:rPr>
          <w:rFonts w:cstheme="minorHAnsi"/>
          <w:color w:val="1A1A1A"/>
          <w:szCs w:val="24"/>
          <w:lang w:val="en-US"/>
        </w:rPr>
        <w:t>membership;</w:t>
      </w:r>
      <w:proofErr w:type="gramEnd"/>
    </w:p>
    <w:p w14:paraId="7294CF24" w14:textId="77777777" w:rsidR="00627E96" w:rsidRPr="00BF30DB" w:rsidRDefault="00627E96" w:rsidP="00627E96">
      <w:pPr>
        <w:jc w:val="both"/>
        <w:rPr>
          <w:rFonts w:cstheme="minorHAnsi"/>
          <w:i/>
          <w:iCs/>
          <w:color w:val="1A1A1A"/>
          <w:szCs w:val="24"/>
          <w:lang w:val="en-US"/>
        </w:rPr>
      </w:pPr>
      <w:r w:rsidRPr="00BF30DB">
        <w:rPr>
          <w:rFonts w:cstheme="minorHAnsi"/>
          <w:i/>
          <w:iCs/>
          <w:color w:val="1A1A1A"/>
          <w:szCs w:val="24"/>
          <w:lang w:val="en-US"/>
        </w:rPr>
        <w:t>instructs the Directors of the Radiocommunication Bureau and the Telecommunication</w:t>
      </w:r>
      <w:r>
        <w:rPr>
          <w:rFonts w:cstheme="minorHAnsi"/>
          <w:i/>
          <w:iCs/>
          <w:color w:val="1A1A1A"/>
          <w:szCs w:val="24"/>
          <w:lang w:val="en-US"/>
        </w:rPr>
        <w:t xml:space="preserve"> </w:t>
      </w:r>
      <w:r w:rsidRPr="00BF30DB">
        <w:rPr>
          <w:rFonts w:cstheme="minorHAnsi"/>
          <w:i/>
          <w:iCs/>
          <w:color w:val="1A1A1A"/>
          <w:szCs w:val="24"/>
          <w:lang w:val="en-US"/>
        </w:rPr>
        <w:t>Standardization Bureau</w:t>
      </w:r>
    </w:p>
    <w:p w14:paraId="51DB846C" w14:textId="77777777" w:rsidR="00627E96" w:rsidRPr="00661BCB" w:rsidRDefault="00627E96" w:rsidP="00627E96">
      <w:pPr>
        <w:jc w:val="both"/>
        <w:rPr>
          <w:rFonts w:cstheme="minorHAnsi"/>
          <w:color w:val="1A1A1A"/>
          <w:szCs w:val="24"/>
          <w:lang w:val="en-US"/>
        </w:rPr>
      </w:pPr>
      <w:r w:rsidRPr="00661BCB">
        <w:rPr>
          <w:rFonts w:cstheme="minorHAnsi"/>
          <w:color w:val="1A1A1A"/>
          <w:szCs w:val="24"/>
          <w:lang w:val="en-US"/>
        </w:rPr>
        <w:t xml:space="preserve">1 to continue coordinating with the Director of BDT to provide information on their Sectors' activities, as well as the necessary expertise, and submit requests and/or proposals from regional and area offices, to strengthen cooperation and coordination with the relevant regional and United Nations organizations and to facilitate the participation of all Member States and Sector Members in the activities of the three Sectors of the Union in accordance with the "One ITU" </w:t>
      </w:r>
      <w:proofErr w:type="gramStart"/>
      <w:r w:rsidRPr="00661BCB">
        <w:rPr>
          <w:rFonts w:cstheme="minorHAnsi"/>
          <w:color w:val="1A1A1A"/>
          <w:szCs w:val="24"/>
          <w:lang w:val="en-US"/>
        </w:rPr>
        <w:t>concept;</w:t>
      </w:r>
      <w:proofErr w:type="gramEnd"/>
    </w:p>
    <w:p w14:paraId="6D74163F" w14:textId="77777777" w:rsidR="00627E96" w:rsidRPr="007F16FA" w:rsidRDefault="00F4736B" w:rsidP="00627E96">
      <w:pPr>
        <w:jc w:val="both"/>
        <w:rPr>
          <w:rFonts w:cstheme="minorHAnsi"/>
          <w:b/>
          <w:bCs/>
          <w:color w:val="1A1A1A"/>
          <w:szCs w:val="24"/>
          <w:lang w:val="en-US"/>
        </w:rPr>
      </w:pPr>
      <w:hyperlink r:id="rId16" w:history="1">
        <w:r w:rsidR="00627E96" w:rsidRPr="00661BCB">
          <w:rPr>
            <w:rStyle w:val="Hyperlink"/>
            <w:rFonts w:cstheme="minorHAnsi"/>
            <w:b/>
            <w:bCs/>
            <w:szCs w:val="24"/>
            <w:lang w:val="en-US"/>
          </w:rPr>
          <w:t>Resolution 48 (Rev. Bucharest, 2022)</w:t>
        </w:r>
      </w:hyperlink>
    </w:p>
    <w:p w14:paraId="19866820" w14:textId="77777777" w:rsidR="00627E96" w:rsidRPr="007F16FA" w:rsidRDefault="00627E96" w:rsidP="00627E96">
      <w:pPr>
        <w:jc w:val="both"/>
        <w:rPr>
          <w:rFonts w:cstheme="minorHAnsi"/>
          <w:i/>
          <w:iCs/>
          <w:color w:val="1A1A1A"/>
          <w:szCs w:val="24"/>
          <w:lang w:val="en-US"/>
        </w:rPr>
      </w:pPr>
      <w:r w:rsidRPr="007F16FA">
        <w:rPr>
          <w:rFonts w:cstheme="minorHAnsi"/>
          <w:i/>
          <w:iCs/>
          <w:color w:val="1A1A1A"/>
          <w:szCs w:val="24"/>
          <w:lang w:val="en-US"/>
        </w:rPr>
        <w:t>noting</w:t>
      </w:r>
    </w:p>
    <w:p w14:paraId="54554334" w14:textId="77777777" w:rsidR="00627E96" w:rsidRDefault="00627E96" w:rsidP="00627E96">
      <w:pPr>
        <w:jc w:val="both"/>
        <w:rPr>
          <w:rFonts w:cstheme="minorHAnsi"/>
          <w:color w:val="1A1A1A"/>
          <w:szCs w:val="24"/>
          <w:lang w:val="en-US"/>
        </w:rPr>
      </w:pPr>
      <w:r w:rsidRPr="00661BCB">
        <w:rPr>
          <w:rFonts w:cstheme="minorHAnsi"/>
          <w:color w:val="1A1A1A"/>
          <w:szCs w:val="24"/>
          <w:lang w:val="en-US"/>
        </w:rPr>
        <w:t>f) Resolution 25 (Rev. Bucharest, 2022) of this conference, on strengthening the regional presence, and specifically on the need for ongoing evaluation of the effectiveness and staffing requirements of regional and area offices within the concept of "One ITU</w:t>
      </w:r>
      <w:proofErr w:type="gramStart"/>
      <w:r w:rsidRPr="00661BCB">
        <w:rPr>
          <w:rFonts w:cstheme="minorHAnsi"/>
          <w:color w:val="1A1A1A"/>
          <w:szCs w:val="24"/>
          <w:lang w:val="en-US"/>
        </w:rPr>
        <w:t>";</w:t>
      </w:r>
      <w:proofErr w:type="gramEnd"/>
    </w:p>
    <w:p w14:paraId="660008D7" w14:textId="77777777" w:rsidR="00627E96" w:rsidRPr="007F16FA" w:rsidRDefault="00F4736B" w:rsidP="00627E96">
      <w:pPr>
        <w:keepNext/>
        <w:keepLines/>
        <w:jc w:val="both"/>
        <w:rPr>
          <w:rFonts w:cstheme="minorHAnsi"/>
          <w:b/>
          <w:bCs/>
          <w:color w:val="1A1A1A"/>
          <w:szCs w:val="24"/>
          <w:lang w:val="en-US"/>
        </w:rPr>
      </w:pPr>
      <w:hyperlink r:id="rId17" w:history="1">
        <w:r w:rsidR="00627E96" w:rsidRPr="00661BCB">
          <w:rPr>
            <w:rStyle w:val="Hyperlink"/>
            <w:rFonts w:cstheme="minorHAnsi"/>
            <w:b/>
            <w:bCs/>
            <w:szCs w:val="24"/>
            <w:lang w:val="en-US"/>
          </w:rPr>
          <w:t>Resolution 71 (Rev. Bucharest, 2022)</w:t>
        </w:r>
      </w:hyperlink>
    </w:p>
    <w:p w14:paraId="2A600FFA" w14:textId="77777777" w:rsidR="00627E96" w:rsidRPr="002644E1" w:rsidRDefault="00627E96" w:rsidP="00627E96">
      <w:pPr>
        <w:keepNext/>
        <w:keepLines/>
        <w:jc w:val="both"/>
        <w:rPr>
          <w:rFonts w:cstheme="minorHAnsi"/>
          <w:i/>
          <w:iCs/>
          <w:color w:val="1A1A1A"/>
          <w:szCs w:val="24"/>
        </w:rPr>
      </w:pPr>
      <w:r w:rsidRPr="002644E1">
        <w:rPr>
          <w:rFonts w:cstheme="minorHAnsi"/>
          <w:i/>
          <w:iCs/>
          <w:color w:val="1A1A1A"/>
          <w:szCs w:val="24"/>
        </w:rPr>
        <w:t>invites Member States</w:t>
      </w:r>
    </w:p>
    <w:p w14:paraId="4251A490" w14:textId="77777777" w:rsidR="00627E96" w:rsidRPr="00661BCB" w:rsidRDefault="00627E96" w:rsidP="00627E96">
      <w:pPr>
        <w:keepNext/>
        <w:keepLines/>
        <w:jc w:val="both"/>
        <w:rPr>
          <w:rFonts w:cstheme="minorHAnsi"/>
          <w:color w:val="1A1A1A"/>
          <w:szCs w:val="24"/>
          <w:lang w:val="en-US"/>
        </w:rPr>
      </w:pPr>
      <w:r w:rsidRPr="00661BCB">
        <w:rPr>
          <w:rFonts w:cstheme="minorHAnsi"/>
          <w:color w:val="1A1A1A"/>
          <w:szCs w:val="24"/>
          <w:lang w:val="en-US"/>
        </w:rPr>
        <w:t xml:space="preserve">to contribute national and regional insights on policy, regulatory and operational matters in the domain of telecommunications/ICTs to the strategic planning process undertaken by the Union in the period before the next plenipotentiary conference, </w:t>
      </w:r>
      <w:proofErr w:type="gramStart"/>
      <w:r w:rsidRPr="00661BCB">
        <w:rPr>
          <w:rFonts w:cstheme="minorHAnsi"/>
          <w:color w:val="1A1A1A"/>
          <w:szCs w:val="24"/>
          <w:lang w:val="en-US"/>
        </w:rPr>
        <w:t>in order to</w:t>
      </w:r>
      <w:proofErr w:type="gramEnd"/>
      <w:r w:rsidRPr="00661BCB">
        <w:rPr>
          <w:rFonts w:cstheme="minorHAnsi"/>
          <w:color w:val="1A1A1A"/>
          <w:szCs w:val="24"/>
          <w:lang w:val="en-US"/>
        </w:rPr>
        <w:t>:</w:t>
      </w:r>
    </w:p>
    <w:p w14:paraId="512311BC" w14:textId="77777777" w:rsidR="00627E96" w:rsidRPr="00661BCB" w:rsidRDefault="00627E96" w:rsidP="00627E96">
      <w:pPr>
        <w:pStyle w:val="ListParagraph"/>
        <w:numPr>
          <w:ilvl w:val="0"/>
          <w:numId w:val="2"/>
        </w:numPr>
        <w:jc w:val="both"/>
        <w:rPr>
          <w:rFonts w:cstheme="minorHAnsi"/>
          <w:color w:val="1A1A1A"/>
          <w:kern w:val="0"/>
          <w:sz w:val="24"/>
          <w:szCs w:val="24"/>
          <w:lang w:val="en-US"/>
        </w:rPr>
      </w:pPr>
      <w:r w:rsidRPr="00661BCB">
        <w:rPr>
          <w:rFonts w:cstheme="minorHAnsi"/>
          <w:color w:val="1A1A1A"/>
          <w:kern w:val="0"/>
          <w:sz w:val="24"/>
          <w:szCs w:val="24"/>
          <w:lang w:val="en-US"/>
        </w:rPr>
        <w:t xml:space="preserve"> strengthen the effectiveness of the Union in fulfilling its purposes as set out in the instruments of the Union, by cooperating in the implementation of the strategic plan, keeping in mind the values and principles of "One ITU</w:t>
      </w:r>
      <w:proofErr w:type="gramStart"/>
      <w:r w:rsidRPr="00661BCB">
        <w:rPr>
          <w:rFonts w:cstheme="minorHAnsi"/>
          <w:color w:val="1A1A1A"/>
          <w:kern w:val="0"/>
          <w:sz w:val="24"/>
          <w:szCs w:val="24"/>
          <w:lang w:val="en-US"/>
        </w:rPr>
        <w:t>";</w:t>
      </w:r>
      <w:proofErr w:type="gramEnd"/>
    </w:p>
    <w:p w14:paraId="496C48F1" w14:textId="77777777" w:rsidR="00627E96" w:rsidRPr="007F16FA" w:rsidRDefault="00F4736B" w:rsidP="00627E96">
      <w:pPr>
        <w:jc w:val="both"/>
        <w:rPr>
          <w:rFonts w:cstheme="minorHAnsi"/>
          <w:b/>
          <w:bCs/>
          <w:color w:val="1A1A1A"/>
          <w:szCs w:val="24"/>
          <w:lang w:val="en-US"/>
        </w:rPr>
      </w:pPr>
      <w:hyperlink r:id="rId18" w:history="1">
        <w:r w:rsidR="00627E96" w:rsidRPr="00661BCB">
          <w:rPr>
            <w:rStyle w:val="Hyperlink"/>
            <w:rFonts w:cstheme="minorHAnsi"/>
            <w:b/>
            <w:bCs/>
            <w:szCs w:val="24"/>
            <w:lang w:val="en-US"/>
          </w:rPr>
          <w:t>Resolution 154 (Rev. Bucharest, 2022)</w:t>
        </w:r>
      </w:hyperlink>
    </w:p>
    <w:p w14:paraId="5A3711C0" w14:textId="77777777" w:rsidR="00627E96" w:rsidRPr="007F16FA" w:rsidRDefault="00627E96" w:rsidP="00627E96">
      <w:pPr>
        <w:jc w:val="both"/>
        <w:rPr>
          <w:rFonts w:cstheme="minorHAnsi"/>
          <w:i/>
          <w:iCs/>
          <w:color w:val="1A1A1A"/>
          <w:szCs w:val="24"/>
          <w:lang w:val="en-US"/>
        </w:rPr>
      </w:pPr>
      <w:r w:rsidRPr="007F16FA">
        <w:rPr>
          <w:rFonts w:cstheme="minorHAnsi"/>
          <w:i/>
          <w:iCs/>
          <w:color w:val="1A1A1A"/>
          <w:szCs w:val="24"/>
          <w:lang w:val="en-US"/>
        </w:rPr>
        <w:t xml:space="preserve">instructs the Secretary-General, in close collaboration with the Directors of the </w:t>
      </w:r>
      <w:proofErr w:type="spellStart"/>
      <w:r w:rsidRPr="007F16FA">
        <w:rPr>
          <w:rFonts w:cstheme="minorHAnsi"/>
          <w:i/>
          <w:iCs/>
          <w:color w:val="1A1A1A"/>
          <w:szCs w:val="24"/>
          <w:lang w:val="en-US"/>
        </w:rPr>
        <w:t>Bureaux</w:t>
      </w:r>
      <w:proofErr w:type="spellEnd"/>
    </w:p>
    <w:p w14:paraId="0DB0E88A" w14:textId="77777777" w:rsidR="00627E96" w:rsidRPr="00661BCB" w:rsidRDefault="00627E96" w:rsidP="00627E96">
      <w:pPr>
        <w:jc w:val="both"/>
        <w:rPr>
          <w:rFonts w:cstheme="minorHAnsi"/>
          <w:color w:val="1A1A1A"/>
          <w:szCs w:val="24"/>
          <w:lang w:val="en-US"/>
        </w:rPr>
      </w:pPr>
      <w:r w:rsidRPr="00661BCB">
        <w:rPr>
          <w:rFonts w:cstheme="minorHAnsi"/>
          <w:color w:val="1A1A1A"/>
          <w:szCs w:val="24"/>
          <w:lang w:val="en-US"/>
        </w:rPr>
        <w:t>3 to intensify work on harmonization of the websites of the ITU Sectors and the General Secretariat in all the official languages of the Union to ensure clarity and ease of navigation and to achieve the image of "One ITU</w:t>
      </w:r>
      <w:proofErr w:type="gramStart"/>
      <w:r w:rsidRPr="00661BCB">
        <w:rPr>
          <w:rFonts w:cstheme="minorHAnsi"/>
          <w:color w:val="1A1A1A"/>
          <w:szCs w:val="24"/>
          <w:lang w:val="en-US"/>
        </w:rPr>
        <w:t>";</w:t>
      </w:r>
      <w:proofErr w:type="gramEnd"/>
    </w:p>
    <w:p w14:paraId="56D5BE4A" w14:textId="77777777" w:rsidR="00627E96" w:rsidRPr="007F16FA" w:rsidRDefault="00F4736B" w:rsidP="00627E96">
      <w:pPr>
        <w:jc w:val="both"/>
        <w:rPr>
          <w:rFonts w:cstheme="minorHAnsi"/>
          <w:b/>
          <w:bCs/>
          <w:color w:val="1A1A1A"/>
          <w:szCs w:val="24"/>
          <w:lang w:val="en-US"/>
        </w:rPr>
      </w:pPr>
      <w:hyperlink r:id="rId19" w:history="1">
        <w:r w:rsidR="00627E96" w:rsidRPr="00661BCB">
          <w:rPr>
            <w:rStyle w:val="Hyperlink"/>
            <w:rFonts w:cstheme="minorHAnsi"/>
            <w:b/>
            <w:bCs/>
            <w:szCs w:val="24"/>
            <w:lang w:val="en-US"/>
          </w:rPr>
          <w:t>Resolution 191 (Rev. Bucharest, 2022)</w:t>
        </w:r>
      </w:hyperlink>
    </w:p>
    <w:p w14:paraId="60F1F3A6" w14:textId="77777777" w:rsidR="00627E96" w:rsidRPr="007F16FA" w:rsidRDefault="00627E96" w:rsidP="00627E96">
      <w:pPr>
        <w:jc w:val="both"/>
        <w:rPr>
          <w:rFonts w:cstheme="minorHAnsi"/>
          <w:i/>
          <w:iCs/>
          <w:color w:val="1A1A1A"/>
          <w:szCs w:val="24"/>
          <w:lang w:val="en-US"/>
        </w:rPr>
      </w:pPr>
      <w:r>
        <w:rPr>
          <w:rFonts w:cstheme="minorHAnsi"/>
          <w:i/>
          <w:iCs/>
          <w:color w:val="1A1A1A"/>
          <w:szCs w:val="24"/>
          <w:lang w:val="en-US"/>
        </w:rPr>
        <w:t>r</w:t>
      </w:r>
      <w:r w:rsidRPr="007F16FA">
        <w:rPr>
          <w:rFonts w:cstheme="minorHAnsi"/>
          <w:i/>
          <w:iCs/>
          <w:color w:val="1A1A1A"/>
          <w:szCs w:val="24"/>
          <w:lang w:val="en-US"/>
        </w:rPr>
        <w:t>ecognizing</w:t>
      </w:r>
    </w:p>
    <w:p w14:paraId="3D1D0E2F" w14:textId="77777777" w:rsidR="00627E96" w:rsidRDefault="00627E96" w:rsidP="00627E96">
      <w:pPr>
        <w:jc w:val="both"/>
        <w:rPr>
          <w:rFonts w:cstheme="minorHAnsi"/>
          <w:color w:val="1A1A1A"/>
          <w:szCs w:val="24"/>
          <w:lang w:val="en-US"/>
        </w:rPr>
      </w:pPr>
      <w:r w:rsidRPr="00A677ED">
        <w:rPr>
          <w:rFonts w:cstheme="minorHAnsi"/>
          <w:color w:val="1A1A1A"/>
          <w:szCs w:val="24"/>
          <w:lang w:val="en-US"/>
        </w:rPr>
        <w:t xml:space="preserve">a) the growing number of areas for common studies carried out by the three Sectors and the related need for coordination and cooperation among the Sectors, providing an </w:t>
      </w:r>
      <w:r>
        <w:rPr>
          <w:rFonts w:cstheme="minorHAnsi"/>
          <w:color w:val="1A1A1A"/>
          <w:szCs w:val="24"/>
          <w:lang w:val="en-US"/>
        </w:rPr>
        <w:t>i</w:t>
      </w:r>
      <w:r w:rsidRPr="00A677ED">
        <w:rPr>
          <w:rFonts w:cstheme="minorHAnsi"/>
          <w:color w:val="1A1A1A"/>
          <w:szCs w:val="24"/>
          <w:lang w:val="en-US"/>
        </w:rPr>
        <w:t>ntegrated approach within the framework of "One ITU</w:t>
      </w:r>
      <w:proofErr w:type="gramStart"/>
      <w:r w:rsidRPr="00A677ED">
        <w:rPr>
          <w:rFonts w:cstheme="minorHAnsi"/>
          <w:color w:val="1A1A1A"/>
          <w:szCs w:val="24"/>
          <w:lang w:val="en-US"/>
        </w:rPr>
        <w:t>";</w:t>
      </w:r>
      <w:proofErr w:type="gramEnd"/>
    </w:p>
    <w:p w14:paraId="1EB5E39D" w14:textId="77777777" w:rsidR="00627E96" w:rsidRPr="007F16FA" w:rsidRDefault="00627E96" w:rsidP="00627E96">
      <w:pPr>
        <w:jc w:val="both"/>
        <w:rPr>
          <w:rFonts w:cstheme="minorHAnsi"/>
          <w:i/>
          <w:iCs/>
          <w:color w:val="1A1A1A"/>
          <w:szCs w:val="24"/>
          <w:lang w:val="en-US"/>
        </w:rPr>
      </w:pPr>
      <w:r w:rsidRPr="007F16FA">
        <w:rPr>
          <w:rFonts w:cstheme="minorHAnsi"/>
          <w:i/>
          <w:iCs/>
          <w:color w:val="1A1A1A"/>
          <w:szCs w:val="24"/>
          <w:lang w:val="en-US"/>
        </w:rPr>
        <w:t>resolves</w:t>
      </w:r>
    </w:p>
    <w:p w14:paraId="42E9BCE6" w14:textId="77777777" w:rsidR="00627E96" w:rsidRDefault="00627E96" w:rsidP="00627E96">
      <w:pPr>
        <w:jc w:val="both"/>
        <w:rPr>
          <w:rFonts w:cstheme="minorHAnsi"/>
          <w:color w:val="1A1A1A"/>
          <w:szCs w:val="24"/>
          <w:lang w:val="en-US"/>
        </w:rPr>
      </w:pPr>
      <w:r w:rsidRPr="00A677ED">
        <w:rPr>
          <w:rFonts w:cstheme="minorHAnsi"/>
          <w:color w:val="1A1A1A"/>
          <w:szCs w:val="24"/>
          <w:lang w:val="en-US"/>
        </w:rPr>
        <w:t xml:space="preserve">2 that, </w:t>
      </w:r>
      <w:proofErr w:type="gramStart"/>
      <w:r w:rsidRPr="00A677ED">
        <w:rPr>
          <w:rFonts w:cstheme="minorHAnsi"/>
          <w:color w:val="1A1A1A"/>
          <w:szCs w:val="24"/>
          <w:lang w:val="en-US"/>
        </w:rPr>
        <w:t>in order to</w:t>
      </w:r>
      <w:proofErr w:type="gramEnd"/>
      <w:r w:rsidRPr="00A677ED">
        <w:rPr>
          <w:rFonts w:cstheme="minorHAnsi"/>
          <w:color w:val="1A1A1A"/>
          <w:szCs w:val="24"/>
          <w:lang w:val="en-US"/>
        </w:rPr>
        <w:t xml:space="preserve"> achieve "One ITU", it is crucial that all ITU Sectors coordinate their regional projects and activities with full involvement of the regional and area offices, as they are</w:t>
      </w:r>
      <w:r>
        <w:rPr>
          <w:rFonts w:cstheme="minorHAnsi"/>
          <w:color w:val="1A1A1A"/>
          <w:szCs w:val="24"/>
          <w:lang w:val="en-US"/>
        </w:rPr>
        <w:t xml:space="preserve"> </w:t>
      </w:r>
      <w:r w:rsidRPr="00A677ED">
        <w:rPr>
          <w:rFonts w:cstheme="minorHAnsi"/>
          <w:color w:val="1A1A1A"/>
          <w:szCs w:val="24"/>
          <w:lang w:val="en-US"/>
        </w:rPr>
        <w:t>the focal points and representatives of all three ITU Sectors and the General Secretariat at the regional level,</w:t>
      </w:r>
    </w:p>
    <w:p w14:paraId="1C00AC9B" w14:textId="77777777" w:rsidR="00627E96" w:rsidRPr="007169B7" w:rsidRDefault="00F4736B" w:rsidP="00627E96">
      <w:pPr>
        <w:jc w:val="both"/>
        <w:rPr>
          <w:rFonts w:cstheme="minorHAnsi"/>
          <w:b/>
          <w:bCs/>
          <w:color w:val="1A1A1A"/>
          <w:szCs w:val="24"/>
          <w:lang w:val="en-US"/>
        </w:rPr>
      </w:pPr>
      <w:hyperlink r:id="rId20" w:history="1">
        <w:r w:rsidR="00627E96" w:rsidRPr="00661BCB">
          <w:rPr>
            <w:rStyle w:val="Hyperlink"/>
            <w:rFonts w:cstheme="minorHAnsi"/>
            <w:b/>
            <w:bCs/>
            <w:szCs w:val="24"/>
            <w:lang w:val="en-US"/>
          </w:rPr>
          <w:t>Committee 6 Recommendation</w:t>
        </w:r>
      </w:hyperlink>
    </w:p>
    <w:p w14:paraId="60EA831C" w14:textId="77777777" w:rsidR="00627E96" w:rsidRDefault="00627E96" w:rsidP="00627E96">
      <w:pPr>
        <w:jc w:val="both"/>
        <w:rPr>
          <w:rFonts w:cstheme="minorHAnsi"/>
          <w:color w:val="1A1A1A"/>
          <w:szCs w:val="24"/>
        </w:rPr>
      </w:pPr>
      <w:r w:rsidRPr="00D14571">
        <w:rPr>
          <w:rFonts w:cstheme="minorHAnsi"/>
          <w:color w:val="1A1A1A"/>
          <w:szCs w:val="24"/>
        </w:rPr>
        <w:t>Committee 6 recommended that the Plenary instruct the Secretary-General, working in coordination with the Directors of the Bureaux, to submit a report on the implementation of the concept of "One ITU" to the 2024 session of the Council, and that the Council be instructed to evaluate the Secretary-General's report and report to the next plenipotentiary conference on the implementation of the "One ITU" concept, including, inter alia, the activities of regional and area offices."</w:t>
      </w:r>
    </w:p>
    <w:p w14:paraId="1FB4A9FB" w14:textId="77777777" w:rsidR="00627E96" w:rsidRDefault="00627E96" w:rsidP="00627E96">
      <w:pPr>
        <w:jc w:val="both"/>
        <w:rPr>
          <w:rFonts w:cstheme="minorHAnsi"/>
          <w:b/>
          <w:bCs/>
          <w:color w:val="1A1A1A"/>
          <w:szCs w:val="24"/>
          <w:lang w:val="en-US"/>
        </w:rPr>
      </w:pPr>
    </w:p>
    <w:p w14:paraId="70E9CFBB" w14:textId="77777777" w:rsidR="00627E96" w:rsidRPr="008F0228" w:rsidRDefault="00627E96" w:rsidP="00627E96">
      <w:pPr>
        <w:jc w:val="both"/>
        <w:rPr>
          <w:rFonts w:cstheme="minorHAnsi"/>
          <w:b/>
          <w:bCs/>
          <w:color w:val="1A1A1A"/>
          <w:szCs w:val="24"/>
          <w:lang w:val="en-US"/>
        </w:rPr>
      </w:pPr>
      <w:r w:rsidRPr="008F0228">
        <w:rPr>
          <w:rFonts w:cstheme="minorHAnsi"/>
          <w:b/>
          <w:bCs/>
          <w:color w:val="1A1A1A"/>
          <w:szCs w:val="24"/>
          <w:lang w:val="en-US"/>
        </w:rPr>
        <w:t>Other relevant references:</w:t>
      </w:r>
    </w:p>
    <w:p w14:paraId="54D3390F" w14:textId="77777777" w:rsidR="00627E96" w:rsidRDefault="00627E96" w:rsidP="00627E96">
      <w:pPr>
        <w:jc w:val="both"/>
        <w:rPr>
          <w:rFonts w:cstheme="minorHAnsi"/>
          <w:color w:val="1A1A1A"/>
          <w:szCs w:val="24"/>
          <w:lang w:val="en-US"/>
        </w:rPr>
      </w:pPr>
      <w:r w:rsidRPr="002B12FA">
        <w:rPr>
          <w:rFonts w:cstheme="minorHAnsi"/>
          <w:color w:val="1A1A1A"/>
          <w:szCs w:val="24"/>
          <w:lang w:val="en-US"/>
        </w:rPr>
        <w:t>Joint Inspection Unit of the UN System - Review of Management and Administration of the ITU</w:t>
      </w:r>
    </w:p>
    <w:p w14:paraId="4640E5AA" w14:textId="3901EA95" w:rsidR="00627E96" w:rsidRPr="007F16FA" w:rsidRDefault="00627E96" w:rsidP="00627E96">
      <w:pPr>
        <w:jc w:val="both"/>
        <w:rPr>
          <w:rFonts w:cstheme="minorHAnsi"/>
          <w:color w:val="1A1A1A"/>
          <w:szCs w:val="24"/>
          <w:lang w:val="en-US"/>
        </w:rPr>
      </w:pPr>
      <w:r w:rsidRPr="00FB73BF">
        <w:rPr>
          <w:rFonts w:cstheme="minorHAnsi"/>
          <w:b/>
          <w:bCs/>
          <w:color w:val="1A1A1A"/>
          <w:szCs w:val="24"/>
          <w:lang w:val="en-US"/>
        </w:rPr>
        <w:t>Recommendation 12:</w:t>
      </w:r>
      <w:r w:rsidRPr="00FB73BF">
        <w:rPr>
          <w:rFonts w:cstheme="minorHAnsi"/>
          <w:color w:val="1A1A1A"/>
          <w:szCs w:val="24"/>
          <w:lang w:val="en-US"/>
        </w:rPr>
        <w:t xml:space="preserve"> The 2018 Plenipotentiary Conference should ensure that the role of the regional presence in achieving “One ITU” is mainstreamed in the Strategic Plan of the Union, and the Council should ensure that this role is appropriately cascaded down into the operational plans of each Sector.</w:t>
      </w:r>
    </w:p>
    <w:p w14:paraId="42B79635" w14:textId="77777777" w:rsidR="00627E96" w:rsidRPr="007169B7" w:rsidRDefault="00627E96" w:rsidP="00627E96">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257674B4" w14:textId="613A56EF" w:rsidR="00A514A4" w:rsidRPr="00627E96" w:rsidRDefault="00627E96" w:rsidP="00627E96">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Pr>
          <w:lang w:val="en-US"/>
        </w:rPr>
        <w:t>___________________</w:t>
      </w:r>
    </w:p>
    <w:sectPr w:rsidR="00A514A4" w:rsidRPr="00627E96" w:rsidSect="00AD3606">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5E74DE79" w:rsidR="00EE49E8" w:rsidRDefault="00EE49E8" w:rsidP="00EE49E8">
          <w:pPr>
            <w:pStyle w:val="Header"/>
            <w:jc w:val="left"/>
            <w:rPr>
              <w:noProof/>
            </w:rPr>
          </w:pPr>
        </w:p>
      </w:tc>
      <w:tc>
        <w:tcPr>
          <w:tcW w:w="8261" w:type="dxa"/>
        </w:tcPr>
        <w:p w14:paraId="2D49E76E" w14:textId="6AFF47DD"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WG-FHR-</w:t>
          </w:r>
          <w:r w:rsidR="00F4736B">
            <w:rPr>
              <w:bCs/>
            </w:rPr>
            <w:t>16</w:t>
          </w:r>
          <w:r w:rsidR="00A52C84" w:rsidRPr="00623AE3">
            <w:rPr>
              <w:bCs/>
            </w:rPr>
            <w:t>/</w:t>
          </w:r>
          <w:r w:rsidR="005A335D">
            <w:rPr>
              <w:bCs/>
            </w:rPr>
            <w:t>INF-</w:t>
          </w:r>
          <w:r w:rsidR="00F4736B">
            <w:rPr>
              <w:bCs/>
            </w:rPr>
            <w:t>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2FEDED02"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WG-FHR-XX</w:t>
          </w:r>
          <w:r w:rsidRPr="00623AE3">
            <w:rPr>
              <w:bCs/>
            </w:rPr>
            <w:t>/</w:t>
          </w:r>
          <w:r w:rsidR="005A335D">
            <w:rPr>
              <w:bCs/>
            </w:rPr>
            <w:t>INF</w:t>
          </w:r>
          <w:r w:rsidR="005E2BD5">
            <w:rPr>
              <w:bCs/>
            </w:rPr>
            <w:t>-</w:t>
          </w:r>
          <w:r w:rsidRPr="00623AE3">
            <w:rPr>
              <w:bCs/>
            </w:rPr>
            <w:t>xx-E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86226B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on Financial and Human Resources</w:t>
                          </w:r>
                          <w:r>
                            <w:br/>
                          </w:r>
                          <w:r w:rsidRPr="00130599">
                            <w:rPr>
                              <w:sz w:val="20"/>
                            </w:rPr>
                            <w:t>Sixteenth meeting - 11 to 13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86226B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on Financial and Human Resources</w:t>
                    </w:r>
                    <w:r>
                      <w:br/>
                    </w:r>
                    <w:r w:rsidRPr="00130599">
                      <w:rPr>
                        <w:sz w:val="20"/>
                      </w:rPr>
                      <w:t>Sixteenth meeting - 11 to 13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4C2A99"/>
    <w:multiLevelType w:val="hybridMultilevel"/>
    <w:tmpl w:val="216A33D6"/>
    <w:lvl w:ilvl="0" w:tplc="59EE6D3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78318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23AE3"/>
    <w:rsid w:val="00627E96"/>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B4A6A"/>
    <w:rsid w:val="008C7E27"/>
    <w:rsid w:val="008F7448"/>
    <w:rsid w:val="0090147A"/>
    <w:rsid w:val="009173EF"/>
    <w:rsid w:val="00932906"/>
    <w:rsid w:val="00961B0B"/>
    <w:rsid w:val="00962D33"/>
    <w:rsid w:val="009B38C3"/>
    <w:rsid w:val="009E17BD"/>
    <w:rsid w:val="009E485A"/>
    <w:rsid w:val="009F47B9"/>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4736B"/>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627E96"/>
    <w:rPr>
      <w:color w:val="605E5C"/>
      <w:shd w:val="clear" w:color="auto" w:fill="E1DFDD"/>
    </w:rPr>
  </w:style>
  <w:style w:type="paragraph" w:styleId="ListParagraph">
    <w:name w:val="List Paragraph"/>
    <w:basedOn w:val="Normal"/>
    <w:uiPriority w:val="34"/>
    <w:qFormat/>
    <w:rsid w:val="00627E9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E.pdf" TargetMode="External"/><Relationship Id="rId13" Type="http://schemas.openxmlformats.org/officeDocument/2006/relationships/hyperlink" Target="https://www.itu.int/pub/S-CONF-ACTF-2014" TargetMode="External"/><Relationship Id="rId18" Type="http://schemas.openxmlformats.org/officeDocument/2006/relationships/hyperlink" Target="https://www.itu.int/en/council/Documents/basic-texts-2023/RES-154-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council/Documents/basic-texts-2023/RES-191-E.pdf" TargetMode="External"/><Relationship Id="rId17" Type="http://schemas.openxmlformats.org/officeDocument/2006/relationships/hyperlink" Target="https://www.itu.int/en/council/Documents/basic-texts-2023/RES-071-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council/Documents/basic-texts-2023/RES-048-E.pdf" TargetMode="External"/><Relationship Id="rId20" Type="http://schemas.openxmlformats.org/officeDocument/2006/relationships/hyperlink" Target="file:///C:\Users\sukenik\AppData\Local\Microsoft\Windows\INetCache\Content.Outlook\JEWJCGZ1\ITU%20Plenipotentiary%20Conference%202022%20(PP-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54-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council/Documents/basic-texts-2023/RES-025-E.pdf" TargetMode="External"/><Relationship Id="rId23" Type="http://schemas.openxmlformats.org/officeDocument/2006/relationships/footer" Target="footer2.xml"/><Relationship Id="rId10" Type="http://schemas.openxmlformats.org/officeDocument/2006/relationships/hyperlink" Target="https://www.itu.int/en/council/Documents/basic-texts-2023/RES-071-E.pdf" TargetMode="External"/><Relationship Id="rId19" Type="http://schemas.openxmlformats.org/officeDocument/2006/relationships/hyperlink" Target="https://www.itu.int/en/council/Documents/basic-texts-2023/RES-191-E.pdf" TargetMode="External"/><Relationship Id="rId4" Type="http://schemas.openxmlformats.org/officeDocument/2006/relationships/settings" Target="settings.xml"/><Relationship Id="rId9" Type="http://schemas.openxmlformats.org/officeDocument/2006/relationships/hyperlink" Target="https://www.itu.int/en/council/Documents/basic-texts-2023/RES-048-E.pdf" TargetMode="External"/><Relationship Id="rId14" Type="http://schemas.openxmlformats.org/officeDocument/2006/relationships/hyperlink" Target="https://www.itu.int/pub/S-CONF-ACTF-201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7747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Financial and Human Resources</dc:subject>
  <dc:creator/>
  <cp:keywords>CWG-FHR, C23, Council-23, C23-ADD</cp:keywords>
  <dc:description/>
  <cp:lastModifiedBy/>
  <cp:revision>1</cp:revision>
  <dcterms:created xsi:type="dcterms:W3CDTF">2023-08-15T07:56:00Z</dcterms:created>
  <dcterms:modified xsi:type="dcterms:W3CDTF">2023-08-18T14:00:00Z</dcterms:modified>
  <cp:category>Conference document</cp:category>
</cp:coreProperties>
</file>