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3C4F97" w14:paraId="6CD725E1" w14:textId="77777777">
        <w:trPr>
          <w:cantSplit/>
          <w:trHeight w:val="23"/>
        </w:trPr>
        <w:tc>
          <w:tcPr>
            <w:tcW w:w="3969" w:type="dxa"/>
            <w:vMerge w:val="restart"/>
            <w:tcMar>
              <w:left w:w="0" w:type="dxa"/>
            </w:tcMar>
          </w:tcPr>
          <w:p w14:paraId="79616446" w14:textId="77777777" w:rsidR="003C4F97" w:rsidRDefault="003C4F97">
            <w:pPr>
              <w:tabs>
                <w:tab w:val="left" w:pos="851"/>
              </w:tabs>
              <w:spacing w:before="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2850DD53" w14:textId="77777777" w:rsidR="003C4F97" w:rsidRPr="008B2545" w:rsidRDefault="008B2545" w:rsidP="008B2545">
            <w:pPr>
              <w:tabs>
                <w:tab w:val="left" w:pos="851"/>
              </w:tabs>
              <w:wordWrap w:val="0"/>
              <w:spacing w:before="0" w:after="0" w:line="240" w:lineRule="atLeast"/>
              <w:jc w:val="right"/>
              <w:rPr>
                <w:rFonts w:eastAsiaTheme="minorEastAsia"/>
                <w:b/>
                <w:lang w:val="it-IT" w:eastAsia="zh-CN"/>
              </w:rPr>
            </w:pPr>
            <w:bookmarkStart w:id="5" w:name="dnum" w:colFirst="1" w:colLast="1"/>
            <w:bookmarkEnd w:id="0"/>
            <w:r>
              <w:rPr>
                <w:rFonts w:eastAsiaTheme="minorEastAsia" w:hint="eastAsia"/>
                <w:b/>
                <w:lang w:val="it-IT" w:eastAsia="zh-CN"/>
              </w:rPr>
              <w:t>R</w:t>
            </w:r>
            <w:r>
              <w:rPr>
                <w:rFonts w:eastAsiaTheme="minorEastAsia"/>
                <w:b/>
                <w:lang w:val="it-IT" w:eastAsia="zh-CN"/>
              </w:rPr>
              <w:t>evision 1 to</w:t>
            </w:r>
          </w:p>
          <w:p w14:paraId="4147716C" w14:textId="77777777" w:rsidR="003C4F97" w:rsidRDefault="008B2545" w:rsidP="008B2545">
            <w:pPr>
              <w:tabs>
                <w:tab w:val="left" w:pos="851"/>
              </w:tabs>
              <w:spacing w:before="0" w:after="0" w:line="240" w:lineRule="atLeast"/>
              <w:jc w:val="right"/>
              <w:rPr>
                <w:b/>
                <w:lang w:val="it-IT"/>
              </w:rPr>
            </w:pPr>
            <w:r>
              <w:rPr>
                <w:b/>
                <w:lang w:val="it-IT"/>
              </w:rPr>
              <w:t>Document CWG-FHR-16/23</w:t>
            </w:r>
          </w:p>
        </w:tc>
        <w:bookmarkEnd w:id="5"/>
      </w:tr>
      <w:tr w:rsidR="003C4F97" w14:paraId="4D317CA0" w14:textId="77777777">
        <w:trPr>
          <w:cantSplit/>
        </w:trPr>
        <w:tc>
          <w:tcPr>
            <w:tcW w:w="3969" w:type="dxa"/>
            <w:vMerge/>
          </w:tcPr>
          <w:p w14:paraId="14D52D4A" w14:textId="77777777" w:rsidR="003C4F97" w:rsidRDefault="003C4F97">
            <w:pPr>
              <w:tabs>
                <w:tab w:val="left" w:pos="851"/>
              </w:tabs>
              <w:spacing w:line="240" w:lineRule="atLeast"/>
              <w:rPr>
                <w:b/>
                <w:lang w:val="it-IT"/>
              </w:rPr>
            </w:pPr>
          </w:p>
        </w:tc>
        <w:tc>
          <w:tcPr>
            <w:tcW w:w="5245" w:type="dxa"/>
          </w:tcPr>
          <w:p w14:paraId="51372FCC" w14:textId="5A45F881" w:rsidR="003C4F97" w:rsidRDefault="008B2545" w:rsidP="008B2545">
            <w:pPr>
              <w:tabs>
                <w:tab w:val="left" w:pos="851"/>
              </w:tabs>
              <w:spacing w:before="0" w:after="0"/>
              <w:jc w:val="right"/>
              <w:rPr>
                <w:b/>
              </w:rPr>
            </w:pPr>
            <w:bookmarkStart w:id="6" w:name="ddate" w:colFirst="1" w:colLast="1"/>
            <w:r>
              <w:rPr>
                <w:b/>
              </w:rPr>
              <w:t>9 October</w:t>
            </w:r>
            <w:r>
              <w:rPr>
                <w:b/>
              </w:rPr>
              <w:t xml:space="preserve"> 2023</w:t>
            </w:r>
          </w:p>
        </w:tc>
        <w:bookmarkEnd w:id="6"/>
      </w:tr>
      <w:tr w:rsidR="003C4F97" w14:paraId="235DD836" w14:textId="77777777">
        <w:trPr>
          <w:cantSplit/>
          <w:trHeight w:val="23"/>
        </w:trPr>
        <w:tc>
          <w:tcPr>
            <w:tcW w:w="3969" w:type="dxa"/>
            <w:vMerge/>
          </w:tcPr>
          <w:p w14:paraId="7E86E5F4" w14:textId="77777777" w:rsidR="003C4F97" w:rsidRDefault="003C4F97">
            <w:pPr>
              <w:tabs>
                <w:tab w:val="left" w:pos="851"/>
              </w:tabs>
              <w:spacing w:line="240" w:lineRule="atLeast"/>
              <w:rPr>
                <w:b/>
              </w:rPr>
            </w:pPr>
          </w:p>
        </w:tc>
        <w:tc>
          <w:tcPr>
            <w:tcW w:w="5245" w:type="dxa"/>
          </w:tcPr>
          <w:p w14:paraId="1830CE0F" w14:textId="77777777" w:rsidR="003C4F97" w:rsidRDefault="008B2545" w:rsidP="008B2545">
            <w:pPr>
              <w:tabs>
                <w:tab w:val="left" w:pos="851"/>
              </w:tabs>
              <w:spacing w:before="0" w:after="0" w:line="240" w:lineRule="atLeast"/>
              <w:jc w:val="right"/>
              <w:rPr>
                <w:b/>
              </w:rPr>
            </w:pPr>
            <w:bookmarkStart w:id="7" w:name="dorlang" w:colFirst="1" w:colLast="1"/>
            <w:r>
              <w:rPr>
                <w:b/>
              </w:rPr>
              <w:t>English only</w:t>
            </w:r>
          </w:p>
        </w:tc>
      </w:tr>
      <w:tr w:rsidR="003C4F97" w14:paraId="24223998" w14:textId="77777777">
        <w:trPr>
          <w:cantSplit/>
          <w:trHeight w:val="23"/>
        </w:trPr>
        <w:tc>
          <w:tcPr>
            <w:tcW w:w="3969" w:type="dxa"/>
          </w:tcPr>
          <w:p w14:paraId="623C6363" w14:textId="77777777" w:rsidR="003C4F97" w:rsidRDefault="003C4F97">
            <w:pPr>
              <w:tabs>
                <w:tab w:val="left" w:pos="851"/>
              </w:tabs>
              <w:spacing w:line="240" w:lineRule="atLeast"/>
              <w:rPr>
                <w:b/>
              </w:rPr>
            </w:pPr>
          </w:p>
        </w:tc>
        <w:tc>
          <w:tcPr>
            <w:tcW w:w="5245" w:type="dxa"/>
          </w:tcPr>
          <w:p w14:paraId="41BDA9A7" w14:textId="77777777" w:rsidR="003C4F97" w:rsidRDefault="003C4F97">
            <w:pPr>
              <w:tabs>
                <w:tab w:val="left" w:pos="851"/>
              </w:tabs>
              <w:spacing w:before="0" w:line="240" w:lineRule="atLeast"/>
              <w:jc w:val="right"/>
              <w:rPr>
                <w:b/>
              </w:rPr>
            </w:pPr>
          </w:p>
        </w:tc>
        <w:bookmarkEnd w:id="7"/>
      </w:tr>
      <w:tr w:rsidR="003C4F97" w14:paraId="6A505554" w14:textId="77777777">
        <w:trPr>
          <w:cantSplit/>
        </w:trPr>
        <w:tc>
          <w:tcPr>
            <w:tcW w:w="9214" w:type="dxa"/>
            <w:gridSpan w:val="2"/>
            <w:tcMar>
              <w:left w:w="0" w:type="dxa"/>
            </w:tcMar>
          </w:tcPr>
          <w:p w14:paraId="50085276" w14:textId="77777777" w:rsidR="003C4F97" w:rsidRDefault="008B2545">
            <w:pPr>
              <w:pStyle w:val="Source"/>
              <w:framePr w:hSpace="0" w:wrap="auto" w:vAnchor="margin" w:hAnchor="text" w:yAlign="inline"/>
            </w:pPr>
            <w:bookmarkStart w:id="8" w:name="dsource" w:colFirst="0" w:colLast="0"/>
            <w:r>
              <w:t>Contribution from 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Pr>
                <w:rFonts w:eastAsia="SimSun"/>
                <w:lang w:val="en-US" w:eastAsia="zh-CN"/>
              </w:rPr>
              <w:t>), Cuba (Republic of), Russian Federation and South Africa (Republic of).</w:t>
            </w:r>
          </w:p>
        </w:tc>
        <w:bookmarkEnd w:id="8"/>
      </w:tr>
      <w:tr w:rsidR="003C4F97" w14:paraId="6DA09828" w14:textId="77777777">
        <w:trPr>
          <w:cantSplit/>
        </w:trPr>
        <w:tc>
          <w:tcPr>
            <w:tcW w:w="9214" w:type="dxa"/>
            <w:gridSpan w:val="2"/>
            <w:tcMar>
              <w:left w:w="0" w:type="dxa"/>
            </w:tcMar>
          </w:tcPr>
          <w:p w14:paraId="26E656E7" w14:textId="77777777" w:rsidR="003C4F97" w:rsidRDefault="008B2545">
            <w:pPr>
              <w:pStyle w:val="Subtitle"/>
              <w:framePr w:hSpace="0" w:wrap="auto" w:hAnchor="text" w:xAlign="left" w:yAlign="inline"/>
              <w:rPr>
                <w:rFonts w:eastAsia="SimSun"/>
                <w:lang w:val="en-US" w:eastAsia="zh-CN"/>
              </w:rPr>
            </w:pPr>
            <w:bookmarkStart w:id="9" w:name="dtitle1" w:colFirst="0" w:colLast="0"/>
            <w:r>
              <w:rPr>
                <w:rFonts w:eastAsia="SimSun"/>
                <w:lang w:val="en-US" w:eastAsia="zh-CN"/>
              </w:rPr>
              <w:t xml:space="preserve">THE PROPOSAL FOR THE STRATEGY FOR </w:t>
            </w:r>
            <w:r>
              <w:rPr>
                <w:rFonts w:eastAsia="SimSun"/>
                <w:lang w:val="en-US" w:eastAsia="zh-CN"/>
              </w:rPr>
              <w:t>INTER-SECTORAL COORDINATION</w:t>
            </w:r>
          </w:p>
        </w:tc>
      </w:tr>
      <w:tr w:rsidR="003C4F97" w14:paraId="0BABD152" w14:textId="77777777">
        <w:trPr>
          <w:cantSplit/>
        </w:trPr>
        <w:tc>
          <w:tcPr>
            <w:tcW w:w="9214" w:type="dxa"/>
            <w:gridSpan w:val="2"/>
            <w:tcBorders>
              <w:top w:val="single" w:sz="4" w:space="0" w:color="auto"/>
              <w:bottom w:val="single" w:sz="4" w:space="0" w:color="auto"/>
            </w:tcBorders>
            <w:tcMar>
              <w:left w:w="0" w:type="dxa"/>
            </w:tcMar>
          </w:tcPr>
          <w:p w14:paraId="44FA383B" w14:textId="77777777" w:rsidR="003C4F97" w:rsidRDefault="008B2545">
            <w:pPr>
              <w:spacing w:before="160"/>
              <w:rPr>
                <w:b/>
                <w:bCs/>
                <w:sz w:val="26"/>
                <w:szCs w:val="26"/>
              </w:rPr>
            </w:pPr>
            <w:r>
              <w:rPr>
                <w:b/>
                <w:bCs/>
                <w:sz w:val="26"/>
                <w:szCs w:val="26"/>
              </w:rPr>
              <w:t>Purpose</w:t>
            </w:r>
          </w:p>
          <w:p w14:paraId="4E4C1975" w14:textId="77777777" w:rsidR="003C4F97" w:rsidRDefault="008B2545">
            <w:pPr>
              <w:rPr>
                <w:lang w:val="en-US"/>
              </w:rPr>
            </w:pPr>
            <w:r>
              <w:rPr>
                <w:rFonts w:cs="Calibri"/>
                <w:szCs w:val="24"/>
                <w:lang w:val="en-US" w:eastAsia="zh-CN"/>
              </w:rPr>
              <w:t>We invite the</w:t>
            </w:r>
            <w:r>
              <w:rPr>
                <w:rFonts w:cs="Calibri" w:hint="eastAsia"/>
                <w:szCs w:val="24"/>
                <w:lang w:val="en-US" w:eastAsia="zh-CN"/>
              </w:rPr>
              <w:t xml:space="preserve"> CWG-FHR</w:t>
            </w:r>
            <w:r>
              <w:rPr>
                <w:rFonts w:cs="Calibri"/>
                <w:szCs w:val="24"/>
                <w:lang w:val="en-US" w:eastAsia="zh-CN"/>
              </w:rPr>
              <w:t xml:space="preserve"> to consider the proposal </w:t>
            </w:r>
            <w:r>
              <w:rPr>
                <w:rFonts w:cs="Calibri" w:hint="eastAsia"/>
                <w:szCs w:val="24"/>
                <w:lang w:val="en-US" w:eastAsia="zh-CN"/>
              </w:rPr>
              <w:t xml:space="preserve">for </w:t>
            </w:r>
            <w:r>
              <w:rPr>
                <w:rFonts w:cs="Calibri"/>
                <w:szCs w:val="24"/>
                <w:lang w:val="en-US" w:eastAsia="zh-CN"/>
              </w:rPr>
              <w:t>the strategy for Inter-Sectoral coordination</w:t>
            </w:r>
            <w:r>
              <w:rPr>
                <w:rFonts w:cs="Calibri" w:hint="eastAsia"/>
                <w:szCs w:val="24"/>
                <w:lang w:val="en-US" w:eastAsia="zh-CN"/>
              </w:rPr>
              <w:t>.</w:t>
            </w:r>
          </w:p>
          <w:p w14:paraId="5879782A" w14:textId="77777777" w:rsidR="003C4F97" w:rsidRDefault="008B2545">
            <w:pPr>
              <w:spacing w:before="160"/>
              <w:rPr>
                <w:b/>
                <w:bCs/>
                <w:sz w:val="26"/>
                <w:szCs w:val="26"/>
              </w:rPr>
            </w:pPr>
            <w:r>
              <w:rPr>
                <w:b/>
                <w:bCs/>
                <w:sz w:val="26"/>
                <w:szCs w:val="26"/>
              </w:rPr>
              <w:t xml:space="preserve">Action </w:t>
            </w:r>
            <w:proofErr w:type="gramStart"/>
            <w:r>
              <w:rPr>
                <w:b/>
                <w:bCs/>
                <w:sz w:val="26"/>
                <w:szCs w:val="26"/>
              </w:rPr>
              <w:t>required</w:t>
            </w:r>
            <w:proofErr w:type="gramEnd"/>
          </w:p>
          <w:p w14:paraId="4703DB38" w14:textId="77777777" w:rsidR="003C4F97" w:rsidRDefault="008B2545">
            <w:pPr>
              <w:spacing w:before="160"/>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CWG-FHR is </w:t>
            </w:r>
            <w:r>
              <w:rPr>
                <w:rFonts w:eastAsia="SimSun" w:cs="Calibri"/>
              </w:rPr>
              <w:t xml:space="preserve">invited to </w:t>
            </w:r>
            <w:r>
              <w:rPr>
                <w:rFonts w:eastAsia="SimSun" w:cs="Calibri"/>
                <w:b/>
                <w:bCs/>
              </w:rPr>
              <w:t xml:space="preserve">consider </w:t>
            </w:r>
            <w:r>
              <w:rPr>
                <w:rFonts w:eastAsia="SimSun" w:cs="Calibri"/>
              </w:rPr>
              <w:t xml:space="preserve">the proposal and </w:t>
            </w:r>
            <w:r>
              <w:rPr>
                <w:rFonts w:eastAsia="SimSun" w:cs="Calibri"/>
                <w:b/>
                <w:bCs/>
              </w:rPr>
              <w:t>take actions</w:t>
            </w:r>
            <w:r>
              <w:rPr>
                <w:rFonts w:eastAsia="SimSun" w:cs="Calibri"/>
              </w:rPr>
              <w:t xml:space="preserve"> as appropriate</w:t>
            </w:r>
            <w:r>
              <w:rPr>
                <w:rFonts w:eastAsia="SimSun" w:cs="Calibri" w:hint="eastAsia"/>
                <w:lang w:eastAsia="zh-CN"/>
              </w:rPr>
              <w:t>.</w:t>
            </w:r>
          </w:p>
          <w:p w14:paraId="79FDC5C3" w14:textId="77777777" w:rsidR="003C4F97" w:rsidRDefault="008B2545">
            <w:pPr>
              <w:spacing w:before="160"/>
              <w:rPr>
                <w:caps/>
                <w:sz w:val="22"/>
              </w:rPr>
            </w:pPr>
            <w:r>
              <w:rPr>
                <w:sz w:val="22"/>
              </w:rPr>
              <w:t>____________________________________</w:t>
            </w:r>
          </w:p>
          <w:p w14:paraId="1798C28D" w14:textId="77777777" w:rsidR="003C4F97" w:rsidRDefault="008B2545">
            <w:pPr>
              <w:spacing w:before="160"/>
              <w:rPr>
                <w:i/>
                <w:iCs/>
                <w:sz w:val="26"/>
                <w:szCs w:val="26"/>
              </w:rPr>
            </w:pPr>
            <w:r>
              <w:rPr>
                <w:b/>
                <w:bCs/>
                <w:sz w:val="26"/>
                <w:szCs w:val="26"/>
              </w:rPr>
              <w:t>References</w:t>
            </w:r>
          </w:p>
          <w:p w14:paraId="5A6C66AD" w14:textId="77777777" w:rsidR="003C4F97" w:rsidRDefault="008B2545">
            <w:hyperlink r:id="rId8" w:history="1">
              <w:r>
                <w:rPr>
                  <w:rStyle w:val="Hyperlink"/>
                  <w:i/>
                  <w:iCs/>
                </w:rPr>
                <w:t>Resolution 191 (Rev. Bucharest, 2022)</w:t>
              </w:r>
            </w:hyperlink>
            <w:r>
              <w:rPr>
                <w:i/>
                <w:iCs/>
              </w:rPr>
              <w:t xml:space="preserve">, </w:t>
            </w:r>
            <w:hyperlink r:id="rId9" w:history="1">
              <w:r>
                <w:rPr>
                  <w:rStyle w:val="Hyperlink"/>
                  <w:i/>
                  <w:iCs/>
                </w:rPr>
                <w:t>C23/27</w:t>
              </w:r>
            </w:hyperlink>
            <w:r>
              <w:rPr>
                <w:i/>
                <w:iCs/>
              </w:rPr>
              <w:t xml:space="preserve">, </w:t>
            </w:r>
            <w:hyperlink r:id="rId10" w:history="1">
              <w:r>
                <w:rPr>
                  <w:rStyle w:val="Hyperlink"/>
                  <w:i/>
                  <w:iCs/>
                </w:rPr>
                <w:t>CWG-FHR-16/5</w:t>
              </w:r>
            </w:hyperlink>
          </w:p>
        </w:tc>
        <w:bookmarkEnd w:id="9"/>
      </w:tr>
    </w:tbl>
    <w:p w14:paraId="5989DB6E" w14:textId="77777777" w:rsidR="003C4F97" w:rsidRDefault="003C4F97">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1"/>
    </w:p>
    <w:bookmarkEnd w:id="2"/>
    <w:bookmarkEnd w:id="3"/>
    <w:p w14:paraId="18B3DDFC" w14:textId="77777777" w:rsidR="003C4F97" w:rsidRDefault="008B2545">
      <w:pPr>
        <w:tabs>
          <w:tab w:val="clear" w:pos="567"/>
          <w:tab w:val="clear" w:pos="1134"/>
          <w:tab w:val="clear" w:pos="1701"/>
          <w:tab w:val="clear" w:pos="2268"/>
          <w:tab w:val="clear" w:pos="2835"/>
        </w:tabs>
        <w:overflowPunct/>
        <w:autoSpaceDE/>
        <w:autoSpaceDN/>
        <w:adjustRightInd/>
        <w:spacing w:before="0"/>
        <w:textAlignment w:val="auto"/>
        <w:rPr>
          <w:b/>
        </w:rPr>
      </w:pPr>
      <w:r>
        <w:br w:type="page"/>
      </w:r>
    </w:p>
    <w:bookmarkEnd w:id="4"/>
    <w:bookmarkEnd w:id="10"/>
    <w:p w14:paraId="4757C9EA" w14:textId="77777777" w:rsidR="003C4F97" w:rsidRDefault="008B2545">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lang w:val="en-US" w:eastAsia="zh-CN"/>
        </w:rPr>
      </w:pPr>
      <w:r>
        <w:rPr>
          <w:rFonts w:eastAsia="SimSun" w:hint="eastAsia"/>
          <w:b/>
          <w:bCs/>
          <w:lang w:val="en-US" w:eastAsia="zh-CN"/>
        </w:rPr>
        <w:lastRenderedPageBreak/>
        <w:t>Back</w:t>
      </w:r>
      <w:r>
        <w:rPr>
          <w:rFonts w:eastAsia="SimSun" w:hint="eastAsia"/>
          <w:b/>
          <w:bCs/>
          <w:lang w:val="en-US" w:eastAsia="zh-CN"/>
        </w:rPr>
        <w:t>ground</w:t>
      </w:r>
    </w:p>
    <w:p w14:paraId="0DE9E6C9" w14:textId="77777777" w:rsidR="003C4F97" w:rsidRDefault="008B2545">
      <w:pPr>
        <w:tabs>
          <w:tab w:val="clear" w:pos="567"/>
          <w:tab w:val="clear" w:pos="1134"/>
          <w:tab w:val="clear" w:pos="1701"/>
          <w:tab w:val="clear" w:pos="2268"/>
          <w:tab w:val="clear" w:pos="2835"/>
        </w:tabs>
        <w:adjustRightInd/>
        <w:jc w:val="both"/>
        <w:rPr>
          <w:rFonts w:eastAsia="SimSun" w:cs="Calibri"/>
          <w:lang w:val="en-US" w:eastAsia="zh-CN"/>
        </w:rPr>
      </w:pPr>
      <w:r>
        <w:rPr>
          <w:rFonts w:eastAsia="SimSun" w:cs="Calibri"/>
          <w:lang w:val="en-US" w:eastAsia="zh-CN"/>
        </w:rPr>
        <w:t>The PP-14 approved Resolution 191 “STRATEGY FOR THE COORDINATION OF EFFORTS AMONG THE THREE SECTORS OF THE UNION” (Rev. Bucharest, 2022), which identifies the Inter-Sectoral Coordination Task Force (ISC-TF) and the Inter-Sector Coordination Group on</w:t>
      </w:r>
      <w:r>
        <w:rPr>
          <w:rFonts w:eastAsia="SimSun" w:cs="Calibri"/>
          <w:lang w:val="en-US" w:eastAsia="zh-CN"/>
        </w:rPr>
        <w:t xml:space="preserve"> issues of mutual interest (ISCG) as the core mechanisms for inter-sectoral coordination </w:t>
      </w:r>
      <w:proofErr w:type="gramStart"/>
      <w:r>
        <w:rPr>
          <w:rFonts w:eastAsia="SimSun" w:cs="Calibri"/>
          <w:lang w:val="en-US" w:eastAsia="zh-CN"/>
        </w:rPr>
        <w:t>in order to</w:t>
      </w:r>
      <w:proofErr w:type="gramEnd"/>
      <w:r>
        <w:rPr>
          <w:rFonts w:eastAsia="SimSun" w:cs="Calibri"/>
          <w:lang w:val="en-US" w:eastAsia="zh-CN"/>
        </w:rPr>
        <w:t xml:space="preserve"> eliminate duplication of efforts and optimize the use of resources. </w:t>
      </w:r>
    </w:p>
    <w:p w14:paraId="61475927" w14:textId="77777777" w:rsidR="003C4F97" w:rsidRDefault="008B2545">
      <w:pPr>
        <w:adjustRightInd/>
        <w:jc w:val="both"/>
        <w:rPr>
          <w:rFonts w:cs="Calibri"/>
        </w:rPr>
      </w:pPr>
      <w:r>
        <w:rPr>
          <w:rFonts w:cs="Calibri"/>
        </w:rPr>
        <w:t>In the report “STRATEGY FOR THE COORDINATION OF EFFORTS AMONG THE THREE SECTORS OF THE</w:t>
      </w:r>
      <w:r>
        <w:rPr>
          <w:rFonts w:cs="Calibri"/>
        </w:rPr>
        <w:t xml:space="preserve"> UNION” (C23/27) presented to the 2023 session of the Council (C-23), the </w:t>
      </w:r>
      <w:r>
        <w:rPr>
          <w:rFonts w:eastAsia="SimSun" w:cs="Calibri"/>
          <w:lang w:val="en-US" w:eastAsia="zh-CN"/>
        </w:rPr>
        <w:t>General</w:t>
      </w:r>
      <w:r>
        <w:rPr>
          <w:rFonts w:eastAsia="SimSun" w:cs="Calibri"/>
          <w:lang w:eastAsia="zh-CN"/>
        </w:rPr>
        <w:t xml:space="preserve"> S</w:t>
      </w:r>
      <w:r>
        <w:rPr>
          <w:rFonts w:cs="Calibri"/>
        </w:rPr>
        <w:t>ecretariat proposes a new inter-sectoral coordination mechanism composed of the Coordination Committee (</w:t>
      </w:r>
      <w:proofErr w:type="spellStart"/>
      <w:r>
        <w:rPr>
          <w:rFonts w:cs="Calibri"/>
        </w:rPr>
        <w:t>CoCo</w:t>
      </w:r>
      <w:proofErr w:type="spellEnd"/>
      <w:r>
        <w:rPr>
          <w:rFonts w:cs="Calibri"/>
        </w:rPr>
        <w:t>)</w:t>
      </w:r>
      <w:r>
        <w:rPr>
          <w:rStyle w:val="FootnoteReference"/>
          <w:rFonts w:cs="Calibri"/>
        </w:rPr>
        <w:footnoteReference w:id="1"/>
      </w:r>
      <w:r>
        <w:rPr>
          <w:rFonts w:cs="Calibri"/>
        </w:rPr>
        <w:t>, the Management Coordination Group (MCG)</w:t>
      </w:r>
      <w:r>
        <w:rPr>
          <w:rStyle w:val="FootnoteReference"/>
          <w:rFonts w:cs="Calibri"/>
        </w:rPr>
        <w:footnoteReference w:id="2"/>
      </w:r>
      <w:r>
        <w:rPr>
          <w:rFonts w:cs="Calibri"/>
        </w:rPr>
        <w:t xml:space="preserve"> and the D2 Group</w:t>
      </w:r>
      <w:r>
        <w:rPr>
          <w:rStyle w:val="FootnoteReference"/>
          <w:rFonts w:cs="Calibri"/>
        </w:rPr>
        <w:footnoteReference w:id="3"/>
      </w:r>
      <w:r>
        <w:rPr>
          <w:rFonts w:cs="Calibri"/>
        </w:rPr>
        <w:t xml:space="preserve"> to replace ISC-TF.</w:t>
      </w:r>
    </w:p>
    <w:p w14:paraId="0934067C" w14:textId="77777777" w:rsidR="003C4F97" w:rsidRDefault="008B2545">
      <w:pPr>
        <w:adjustRightInd/>
        <w:jc w:val="both"/>
        <w:rPr>
          <w:rFonts w:eastAsia="SimSun" w:cs="Calibri"/>
          <w:lang w:val="en-US" w:eastAsia="zh-CN"/>
        </w:rPr>
      </w:pPr>
      <w:r>
        <w:rPr>
          <w:rFonts w:eastAsia="SimSun" w:cs="Calibri" w:hint="eastAsia"/>
          <w:lang w:eastAsia="zh-CN"/>
        </w:rPr>
        <w:t>D</w:t>
      </w:r>
      <w:r>
        <w:rPr>
          <w:rFonts w:eastAsia="SimSun" w:cs="Calibri"/>
          <w:lang w:eastAsia="zh-CN"/>
        </w:rPr>
        <w:t xml:space="preserve">uring the 2023 Session of ITU Council, quite a lot of Councillors stated that </w:t>
      </w:r>
      <w:r>
        <w:rPr>
          <w:rFonts w:eastAsia="SimSun" w:cs="Calibri"/>
          <w:lang w:val="en-US" w:eastAsia="zh-CN"/>
        </w:rPr>
        <w:t>the Resolution 191 (Rev. Bucharest, 2022) should be respected, and that the basic framework for inter-sectoral coordination, consisting of</w:t>
      </w:r>
      <w:r>
        <w:rPr>
          <w:rFonts w:eastAsia="SimSun" w:cs="Calibri"/>
          <w:lang w:val="en-US" w:eastAsia="zh-CN"/>
        </w:rPr>
        <w:t xml:space="preserve"> two core mechanisms: ISC-TF and ISCG, should be retained.</w:t>
      </w:r>
    </w:p>
    <w:p w14:paraId="2BE98A4E" w14:textId="77777777" w:rsidR="003C4F97" w:rsidRDefault="008B2545">
      <w:pPr>
        <w:tabs>
          <w:tab w:val="clear" w:pos="567"/>
          <w:tab w:val="clear" w:pos="1134"/>
          <w:tab w:val="clear" w:pos="1701"/>
          <w:tab w:val="clear" w:pos="2268"/>
          <w:tab w:val="clear" w:pos="2835"/>
        </w:tabs>
        <w:adjustRightInd/>
        <w:jc w:val="both"/>
        <w:rPr>
          <w:rFonts w:eastAsia="SimSun" w:cs="Calibri"/>
          <w:lang w:val="en-US" w:eastAsia="zh-CN"/>
        </w:rPr>
      </w:pPr>
      <w:r>
        <w:rPr>
          <w:rFonts w:eastAsia="SimSun" w:cs="Calibri"/>
          <w:lang w:val="en-US" w:eastAsia="zh-CN"/>
        </w:rPr>
        <w:t>The General Secretariat submitted document of CWG FHR-16/5 “STRATEGY FOR INTER-SECTORAL COORDINATION” for the CWG-FHR’s consideration. We noticed that the mechanism of ISC-TF is retained but with r</w:t>
      </w:r>
      <w:r>
        <w:rPr>
          <w:rFonts w:eastAsia="SimSun" w:cs="Calibri"/>
          <w:lang w:val="en-US" w:eastAsia="zh-CN"/>
        </w:rPr>
        <w:t xml:space="preserve">elative narrow </w:t>
      </w:r>
      <w:proofErr w:type="spellStart"/>
      <w:r>
        <w:rPr>
          <w:rFonts w:eastAsia="SimSun" w:cs="Calibri"/>
          <w:lang w:val="en-US" w:eastAsia="zh-CN"/>
        </w:rPr>
        <w:t>ToR</w:t>
      </w:r>
      <w:proofErr w:type="spellEnd"/>
      <w:r>
        <w:rPr>
          <w:rFonts w:eastAsia="SimSun" w:cs="Calibri"/>
          <w:lang w:val="en-US" w:eastAsia="zh-CN"/>
        </w:rPr>
        <w:t xml:space="preserve">, and other 3 tracks namely </w:t>
      </w:r>
      <w:proofErr w:type="spellStart"/>
      <w:r>
        <w:rPr>
          <w:rFonts w:eastAsia="SimSun" w:cs="Calibri"/>
          <w:lang w:val="en-US" w:eastAsia="zh-CN"/>
        </w:rPr>
        <w:t>CoCo</w:t>
      </w:r>
      <w:proofErr w:type="spellEnd"/>
      <w:r>
        <w:rPr>
          <w:rFonts w:eastAsia="SimSun" w:cs="Calibri"/>
          <w:lang w:val="en-US" w:eastAsia="zh-CN"/>
        </w:rPr>
        <w:t xml:space="preserve">, MCG and the D2 Group are proposed to play important role in the inter-sectoral coordination mechanism. </w:t>
      </w:r>
    </w:p>
    <w:p w14:paraId="396BA236" w14:textId="77777777" w:rsidR="003C4F97" w:rsidRDefault="008B2545">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lang w:val="en-US" w:eastAsia="zh-CN"/>
        </w:rPr>
      </w:pPr>
      <w:r>
        <w:rPr>
          <w:rFonts w:eastAsia="SimSun"/>
          <w:b/>
          <w:bCs/>
          <w:lang w:val="en-US" w:eastAsia="zh-CN"/>
        </w:rPr>
        <w:t>Discussion</w:t>
      </w:r>
    </w:p>
    <w:p w14:paraId="713ABD38" w14:textId="77777777" w:rsidR="003C4F97" w:rsidRDefault="008B2545">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 xml:space="preserve">The proposed 4 tracks inter-sectoral coordination mechanism may lead to confusion of responsibilities and complicated decision-making procedures. </w:t>
      </w:r>
    </w:p>
    <w:p w14:paraId="7579F1BF" w14:textId="77777777" w:rsidR="003C4F97" w:rsidRDefault="008B2545">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Firstly, the Coordination Committee (</w:t>
      </w:r>
      <w:proofErr w:type="spellStart"/>
      <w:r>
        <w:rPr>
          <w:rFonts w:eastAsia="SimSun"/>
          <w:lang w:val="en-US" w:eastAsia="zh-CN"/>
        </w:rPr>
        <w:t>CoCo</w:t>
      </w:r>
      <w:proofErr w:type="spellEnd"/>
      <w:r>
        <w:rPr>
          <w:rFonts w:eastAsia="SimSun"/>
          <w:lang w:val="en-US" w:eastAsia="zh-CN"/>
        </w:rPr>
        <w:t>) act</w:t>
      </w:r>
      <w:r>
        <w:rPr>
          <w:rFonts w:eastAsia="SimSun"/>
          <w:lang w:eastAsia="zh-CN"/>
        </w:rPr>
        <w:t>s</w:t>
      </w:r>
      <w:r>
        <w:rPr>
          <w:rFonts w:eastAsia="SimSun"/>
          <w:lang w:val="en-US" w:eastAsia="zh-CN"/>
        </w:rPr>
        <w:t xml:space="preserve"> as an internal</w:t>
      </w:r>
      <w:r>
        <w:rPr>
          <w:rFonts w:eastAsia="SimSun" w:hint="eastAsia"/>
          <w:lang w:val="en-US" w:eastAsia="zh-CN"/>
        </w:rPr>
        <w:t xml:space="preserve"> </w:t>
      </w:r>
      <w:r>
        <w:rPr>
          <w:rFonts w:eastAsia="SimSun"/>
          <w:lang w:val="en-US" w:eastAsia="zh-CN"/>
        </w:rPr>
        <w:t>management team which advises and gives the Se</w:t>
      </w:r>
      <w:r>
        <w:rPr>
          <w:rFonts w:eastAsia="SimSun"/>
          <w:lang w:val="en-US" w:eastAsia="zh-CN"/>
        </w:rPr>
        <w:t>cretary-General practical assistance on all administrative, financial,</w:t>
      </w:r>
      <w:r>
        <w:rPr>
          <w:rFonts w:eastAsia="SimSun" w:hint="eastAsia"/>
          <w:lang w:val="en-US" w:eastAsia="zh-CN"/>
        </w:rPr>
        <w:t xml:space="preserve"> </w:t>
      </w:r>
      <w:r>
        <w:rPr>
          <w:rFonts w:eastAsia="SimSun"/>
          <w:lang w:val="en-US" w:eastAsia="zh-CN"/>
        </w:rPr>
        <w:t xml:space="preserve">information system and technical cooperation matters, which has been stipulated in the Constitution of the ITU. </w:t>
      </w:r>
    </w:p>
    <w:p w14:paraId="623C1582" w14:textId="77777777" w:rsidR="003C4F97" w:rsidRDefault="008B2545">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hint="eastAsia"/>
          <w:lang w:val="en-US" w:eastAsia="zh-CN"/>
        </w:rPr>
        <w:lastRenderedPageBreak/>
        <w:t>S</w:t>
      </w:r>
      <w:r>
        <w:rPr>
          <w:rFonts w:eastAsia="SimSun"/>
          <w:lang w:val="en-US" w:eastAsia="zh-CN"/>
        </w:rPr>
        <w:t>econdly, The Management Coordination Group (MCG) acts as the advisory b</w:t>
      </w:r>
      <w:r>
        <w:rPr>
          <w:rFonts w:eastAsia="SimSun"/>
          <w:lang w:val="en-US" w:eastAsia="zh-CN"/>
        </w:rPr>
        <w:t>ody to the Coordination Committee (</w:t>
      </w:r>
      <w:proofErr w:type="spellStart"/>
      <w:r>
        <w:rPr>
          <w:rFonts w:eastAsia="SimSun"/>
          <w:lang w:val="en-US" w:eastAsia="zh-CN"/>
        </w:rPr>
        <w:t>CoCo</w:t>
      </w:r>
      <w:proofErr w:type="spellEnd"/>
      <w:r>
        <w:rPr>
          <w:rFonts w:eastAsia="SimSun"/>
          <w:lang w:val="en-US" w:eastAsia="zh-CN"/>
        </w:rPr>
        <w:t xml:space="preserve">) tasked with exchanging information and views on various policies and activities and agreeing on coordinated approaches to carry them </w:t>
      </w:r>
      <w:r>
        <w:rPr>
          <w:rFonts w:eastAsia="FangSong_GB2312" w:cs="Calibri"/>
          <w:szCs w:val="21"/>
        </w:rPr>
        <w:t>out</w:t>
      </w:r>
      <w:r>
        <w:rPr>
          <w:rStyle w:val="FootnoteReference"/>
          <w:rFonts w:eastAsia="FangSong_GB2312" w:cs="Calibri"/>
          <w:szCs w:val="21"/>
        </w:rPr>
        <w:footnoteReference w:id="4"/>
      </w:r>
      <w:r>
        <w:rPr>
          <w:rFonts w:eastAsia="SimSun"/>
          <w:lang w:val="en-US" w:eastAsia="zh-CN"/>
        </w:rPr>
        <w:t>. Based on the report from Joint Inspection Unit (JIU/REP/2016/1), the Inspec</w:t>
      </w:r>
      <w:r>
        <w:rPr>
          <w:rFonts w:eastAsia="SimSun"/>
          <w:lang w:val="en-US" w:eastAsia="zh-CN"/>
        </w:rPr>
        <w:t xml:space="preserve">tors believe that it is not </w:t>
      </w:r>
      <w:r>
        <w:t>fully aligned with MCG’s mandate as an advisory body</w:t>
      </w:r>
      <w:r>
        <w:rPr>
          <w:rFonts w:eastAsia="SimSun"/>
          <w:lang w:val="en-US" w:eastAsia="zh-CN"/>
        </w:rPr>
        <w:t xml:space="preserve"> by dealing with administrative and management affairs without requesting for direct intervention by the </w:t>
      </w:r>
      <w:proofErr w:type="spellStart"/>
      <w:r>
        <w:rPr>
          <w:rFonts w:eastAsia="SimSun"/>
          <w:lang w:val="en-US" w:eastAsia="zh-CN"/>
        </w:rPr>
        <w:t>CoCo</w:t>
      </w:r>
      <w:proofErr w:type="spellEnd"/>
      <w:r>
        <w:rPr>
          <w:rFonts w:eastAsia="SimSun"/>
          <w:lang w:val="en-US" w:eastAsia="zh-CN"/>
        </w:rPr>
        <w:t xml:space="preserve">. But according to the document CWG-FHR-16/5, the MCG is requested </w:t>
      </w:r>
      <w:r>
        <w:rPr>
          <w:rFonts w:eastAsia="SimSun"/>
          <w:lang w:val="en-US" w:eastAsia="zh-CN"/>
        </w:rPr>
        <w:t xml:space="preserve">to oversee programmatic themes for the second track (“Programmatic coordination”), which indicates that the MCG could be responsible for inter-sectoral coordination matters independently. It appeared to be not fully aligned with its mandate as an advisory </w:t>
      </w:r>
      <w:r>
        <w:rPr>
          <w:rFonts w:eastAsia="SimSun"/>
          <w:lang w:val="en-US" w:eastAsia="zh-CN"/>
        </w:rPr>
        <w:t>body.</w:t>
      </w:r>
    </w:p>
    <w:p w14:paraId="3612166F" w14:textId="77777777" w:rsidR="003C4F97" w:rsidRDefault="008B2545">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 xml:space="preserve">Thirdly, ISC-TF is supposed to enhance the coordination and collaboration among the three </w:t>
      </w:r>
      <w:proofErr w:type="spellStart"/>
      <w:r>
        <w:rPr>
          <w:rFonts w:eastAsia="SimSun"/>
          <w:lang w:val="en-US" w:eastAsia="zh-CN"/>
        </w:rPr>
        <w:t>Bureaux</w:t>
      </w:r>
      <w:proofErr w:type="spellEnd"/>
      <w:r>
        <w:rPr>
          <w:rFonts w:eastAsia="SimSun"/>
          <w:lang w:val="en-US" w:eastAsia="zh-CN"/>
        </w:rPr>
        <w:t xml:space="preserve"> and the General </w:t>
      </w:r>
      <w:proofErr w:type="gramStart"/>
      <w:r>
        <w:rPr>
          <w:rFonts w:eastAsia="SimSun"/>
          <w:lang w:val="en-US" w:eastAsia="zh-CN"/>
        </w:rPr>
        <w:t>Secretariat, and</w:t>
      </w:r>
      <w:proofErr w:type="gramEnd"/>
      <w:r>
        <w:rPr>
          <w:rFonts w:eastAsia="SimSun"/>
          <w:lang w:val="en-US" w:eastAsia="zh-CN"/>
        </w:rPr>
        <w:t xml:space="preserve"> is mandated to report to the </w:t>
      </w:r>
      <w:proofErr w:type="spellStart"/>
      <w:r>
        <w:rPr>
          <w:rFonts w:eastAsia="SimSun"/>
          <w:lang w:val="en-US" w:eastAsia="zh-CN"/>
        </w:rPr>
        <w:t>CoCo</w:t>
      </w:r>
      <w:proofErr w:type="spellEnd"/>
      <w:r>
        <w:rPr>
          <w:rFonts w:eastAsia="SimSun"/>
          <w:lang w:val="en-US" w:eastAsia="zh-CN"/>
        </w:rPr>
        <w:t xml:space="preserve"> through the MCG</w:t>
      </w:r>
      <w:r>
        <w:rPr>
          <w:rStyle w:val="FootnoteReference"/>
          <w:rFonts w:eastAsia="SimSun"/>
          <w:lang w:val="en-US" w:eastAsia="zh-CN"/>
        </w:rPr>
        <w:footnoteReference w:id="5"/>
      </w:r>
      <w:r>
        <w:rPr>
          <w:rFonts w:eastAsia="SimSun"/>
          <w:lang w:val="en-US" w:eastAsia="zh-CN"/>
        </w:rPr>
        <w:t>, according to the Service Orders No. 16/13.</w:t>
      </w:r>
    </w:p>
    <w:p w14:paraId="6EF383FA" w14:textId="77777777" w:rsidR="003C4F97" w:rsidRDefault="008B2545">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Based on this, the inte</w:t>
      </w:r>
      <w:r>
        <w:rPr>
          <w:rFonts w:eastAsia="SimSun"/>
          <w:lang w:val="en-US" w:eastAsia="zh-CN"/>
        </w:rPr>
        <w:t xml:space="preserve">r-sectoral coordination mechanism as proposed in </w:t>
      </w:r>
      <w:r>
        <w:rPr>
          <w:rFonts w:eastAsia="SimSun" w:cs="Calibri"/>
          <w:lang w:val="en-US" w:eastAsia="zh-CN"/>
        </w:rPr>
        <w:t>CWG FHR-16/5</w:t>
      </w:r>
      <w:r>
        <w:rPr>
          <w:rFonts w:eastAsia="SimSun"/>
          <w:lang w:val="en-US" w:eastAsia="zh-CN"/>
        </w:rPr>
        <w:t xml:space="preserve">, may cause confusion of the current ITU internal management mechanisms and the collaboration among these 4 tracks itself will complicate the inter-sectoral coordination activities and unable to </w:t>
      </w:r>
      <w:r>
        <w:rPr>
          <w:rFonts w:eastAsia="SimSun"/>
          <w:lang w:val="en-US" w:eastAsia="zh-CN"/>
        </w:rPr>
        <w:t xml:space="preserve">ensure the inter-sectoral coordination is undertaken efficiently and </w:t>
      </w:r>
      <w:r>
        <w:rPr>
          <w:rFonts w:eastAsia="FangSong_GB2312" w:cs="Calibri"/>
          <w:szCs w:val="21"/>
        </w:rPr>
        <w:t>effectively</w:t>
      </w:r>
      <w:r>
        <w:rPr>
          <w:rFonts w:eastAsia="FangSong_GB2312" w:cs="Calibri" w:hint="eastAsia"/>
          <w:szCs w:val="21"/>
          <w:lang w:eastAsia="zh-CN"/>
        </w:rPr>
        <w:t>.</w:t>
      </w:r>
    </w:p>
    <w:p w14:paraId="0F1AFDFE" w14:textId="77777777" w:rsidR="003C4F97" w:rsidRDefault="008B2545">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 xml:space="preserve">In view of the increasing number of areas of mutual interest in the ITU, the </w:t>
      </w:r>
      <w:r>
        <w:rPr>
          <w:rFonts w:eastAsia="SimSun" w:cs="Calibri"/>
          <w:lang w:val="en-US" w:eastAsia="zh-CN"/>
        </w:rPr>
        <w:t>General</w:t>
      </w:r>
      <w:r>
        <w:rPr>
          <w:rFonts w:eastAsia="SimSun" w:cs="Calibri"/>
          <w:lang w:eastAsia="zh-CN"/>
        </w:rPr>
        <w:t xml:space="preserve"> </w:t>
      </w:r>
      <w:r>
        <w:rPr>
          <w:rFonts w:eastAsia="SimSun"/>
          <w:lang w:val="en-US" w:eastAsia="zh-CN"/>
        </w:rPr>
        <w:t xml:space="preserve">Secretariat may improve the compositions, working methods and procedures within the </w:t>
      </w:r>
      <w:r>
        <w:rPr>
          <w:rFonts w:eastAsia="SimSun"/>
          <w:lang w:val="en-US" w:eastAsia="zh-CN"/>
        </w:rPr>
        <w:t>ISC-</w:t>
      </w:r>
      <w:proofErr w:type="gramStart"/>
      <w:r>
        <w:rPr>
          <w:rFonts w:eastAsia="SimSun"/>
          <w:lang w:val="en-US" w:eastAsia="zh-CN"/>
        </w:rPr>
        <w:t>TF</w:t>
      </w:r>
      <w:proofErr w:type="gramEnd"/>
      <w:r>
        <w:rPr>
          <w:rFonts w:eastAsia="SimSun"/>
          <w:lang w:val="en-US" w:eastAsia="zh-CN"/>
        </w:rPr>
        <w:t xml:space="preserve"> if necessary, while maintaining the existing coordination mechanism of ISCG and ISC-TF as the core mechanism defined in Resolution 191.</w:t>
      </w:r>
    </w:p>
    <w:p w14:paraId="198EA99B" w14:textId="77777777" w:rsidR="003C4F97" w:rsidRDefault="008B2545">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lang w:val="en-US" w:eastAsia="zh-CN"/>
        </w:rPr>
      </w:pPr>
      <w:r>
        <w:rPr>
          <w:rFonts w:eastAsia="SimSun" w:hint="eastAsia"/>
          <w:b/>
          <w:bCs/>
          <w:lang w:val="en-US" w:eastAsia="zh-CN"/>
        </w:rPr>
        <w:t>Proposals</w:t>
      </w:r>
    </w:p>
    <w:p w14:paraId="110D58DB" w14:textId="77777777" w:rsidR="003C4F97" w:rsidRDefault="008B2545">
      <w:pPr>
        <w:tabs>
          <w:tab w:val="clear" w:pos="567"/>
          <w:tab w:val="clear" w:pos="1134"/>
          <w:tab w:val="clear" w:pos="1701"/>
          <w:tab w:val="clear" w:pos="2268"/>
          <w:tab w:val="clear" w:pos="2835"/>
        </w:tabs>
        <w:overflowPunct/>
        <w:autoSpaceDE/>
        <w:autoSpaceDN/>
        <w:adjustRightInd/>
        <w:jc w:val="both"/>
        <w:textAlignment w:val="auto"/>
        <w:rPr>
          <w:rFonts w:eastAsia="SimSun"/>
          <w:lang w:val="en-US" w:eastAsia="zh-CN"/>
        </w:rPr>
      </w:pPr>
      <w:r>
        <w:rPr>
          <w:rFonts w:eastAsia="SimSun"/>
          <w:lang w:val="en-US" w:eastAsia="zh-CN"/>
        </w:rPr>
        <w:t>We propose ITU to comply with Resolution 191 (Rev. Bucharest, 2022) and maintain ISC-TF and ISCG as the</w:t>
      </w:r>
      <w:r>
        <w:rPr>
          <w:rFonts w:eastAsia="SimSun"/>
          <w:lang w:val="en-US" w:eastAsia="zh-CN"/>
        </w:rPr>
        <w:t xml:space="preserve"> formal inter-sector coordination mechanism, </w:t>
      </w:r>
      <w:proofErr w:type="gramStart"/>
      <w:r>
        <w:rPr>
          <w:rFonts w:eastAsia="SimSun"/>
          <w:lang w:val="en-US" w:eastAsia="zh-CN"/>
        </w:rPr>
        <w:t>in order to</w:t>
      </w:r>
      <w:proofErr w:type="gramEnd"/>
      <w:r>
        <w:rPr>
          <w:rFonts w:eastAsia="SimSun"/>
          <w:lang w:val="en-US" w:eastAsia="zh-CN"/>
        </w:rPr>
        <w:t xml:space="preserve"> avoid duplication of efforts and optimize the use of resources. When necessary, the CWG-FHR can discuss the improvements of ISC-TF and ISCG to adapt to the Union’s needs and submit to Council for app</w:t>
      </w:r>
      <w:r>
        <w:rPr>
          <w:rFonts w:eastAsia="SimSun"/>
          <w:lang w:val="en-US" w:eastAsia="zh-CN"/>
        </w:rPr>
        <w:t>roval.</w:t>
      </w:r>
    </w:p>
    <w:p w14:paraId="48169037" w14:textId="77777777" w:rsidR="003C4F97" w:rsidRDefault="008B2545">
      <w:pPr>
        <w:tabs>
          <w:tab w:val="clear" w:pos="567"/>
          <w:tab w:val="clear" w:pos="1134"/>
          <w:tab w:val="clear" w:pos="1701"/>
          <w:tab w:val="clear" w:pos="2268"/>
          <w:tab w:val="clear" w:pos="2835"/>
        </w:tabs>
        <w:overflowPunct/>
        <w:autoSpaceDE/>
        <w:autoSpaceDN/>
        <w:adjustRightInd/>
        <w:spacing w:before="840"/>
        <w:jc w:val="center"/>
        <w:textAlignment w:val="auto"/>
        <w:rPr>
          <w:rFonts w:eastAsia="SimSun"/>
          <w:lang w:val="en-US" w:eastAsia="zh-CN"/>
        </w:rPr>
      </w:pPr>
      <w:r>
        <w:rPr>
          <w:rFonts w:eastAsia="SimSun"/>
          <w:lang w:val="en-US" w:eastAsia="zh-CN"/>
        </w:rPr>
        <w:t>___________________</w:t>
      </w:r>
    </w:p>
    <w:sectPr w:rsidR="003C4F97">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3A63" w14:textId="77777777" w:rsidR="008B2545" w:rsidRDefault="008B2545">
      <w:pPr>
        <w:spacing w:before="0" w:after="0" w:line="240" w:lineRule="auto"/>
      </w:pPr>
      <w:r>
        <w:separator/>
      </w:r>
    </w:p>
  </w:endnote>
  <w:endnote w:type="continuationSeparator" w:id="0">
    <w:p w14:paraId="398B2276" w14:textId="77777777" w:rsidR="008B2545" w:rsidRDefault="008B25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_GB2312">
    <w:altName w:val="Microsoft YaHei"/>
    <w:charset w:val="86"/>
    <w:family w:val="modern"/>
    <w:pitch w:val="fixed"/>
    <w:sig w:usb0="800002BF" w:usb1="38CF7CFA" w:usb2="00000016" w:usb3="00000000" w:csb0="00040001" w:csb1="00000000"/>
  </w:font>
  <w:font w:name="Avenir Nxt2 W1G Medium">
    <w:altName w:val="DejaVu Math TeX Gyre"/>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C4F97" w14:paraId="120551E0" w14:textId="77777777">
      <w:trPr>
        <w:jc w:val="center"/>
      </w:trPr>
      <w:tc>
        <w:tcPr>
          <w:tcW w:w="1803" w:type="dxa"/>
          <w:vAlign w:val="center"/>
        </w:tcPr>
        <w:p w14:paraId="3E4633C7" w14:textId="77777777" w:rsidR="003C4F97" w:rsidRDefault="003C4F97">
          <w:pPr>
            <w:pStyle w:val="Header"/>
            <w:jc w:val="left"/>
            <w:rPr>
              <w:rFonts w:eastAsia="Calibri" w:cs="Arial"/>
            </w:rPr>
          </w:pPr>
        </w:p>
      </w:tc>
      <w:tc>
        <w:tcPr>
          <w:tcW w:w="8261" w:type="dxa"/>
        </w:tcPr>
        <w:p w14:paraId="263D201A" w14:textId="4168A7D1" w:rsidR="003C4F97" w:rsidRDefault="008B2545" w:rsidP="008B2545">
          <w:pPr>
            <w:pStyle w:val="Header"/>
            <w:tabs>
              <w:tab w:val="left" w:pos="5742"/>
              <w:tab w:val="right" w:pos="8505"/>
              <w:tab w:val="right" w:pos="9639"/>
            </w:tabs>
            <w:jc w:val="left"/>
            <w:rPr>
              <w:rFonts w:ascii="Arial" w:eastAsia="Calibri" w:hAnsi="Arial" w:cs="Arial"/>
              <w:b/>
              <w:bCs/>
              <w:szCs w:val="18"/>
            </w:rPr>
          </w:pPr>
          <w:r>
            <w:rPr>
              <w:rFonts w:eastAsia="Calibri" w:cs="Arial"/>
              <w:bCs/>
            </w:rPr>
            <w:tab/>
          </w:r>
          <w:r>
            <w:rPr>
              <w:rFonts w:eastAsia="Calibri" w:cs="Arial"/>
              <w:bCs/>
            </w:rPr>
            <w:t>CWG-FHR-16/23(Rev.1)</w:t>
          </w:r>
          <w:r>
            <w:rPr>
              <w:rFonts w:eastAsia="Calibri" w:cs="Arial"/>
              <w:bCs/>
            </w:rPr>
            <w:t>-E</w:t>
          </w:r>
          <w:r>
            <w:rPr>
              <w:rFonts w:eastAsia="Calibri" w:cs="Arial"/>
              <w:bCs/>
            </w:rPr>
            <w:tab/>
          </w:r>
          <w:r>
            <w:rPr>
              <w:rFonts w:eastAsia="Calibri" w:cs="Arial"/>
            </w:rPr>
            <w:fldChar w:fldCharType="begin"/>
          </w:r>
          <w:r>
            <w:rPr>
              <w:rFonts w:eastAsia="Calibri" w:cs="Arial"/>
            </w:rPr>
            <w:instrText>PAGE</w:instrText>
          </w:r>
          <w:r>
            <w:rPr>
              <w:rFonts w:eastAsia="Calibri" w:cs="Arial"/>
            </w:rPr>
            <w:fldChar w:fldCharType="separate"/>
          </w:r>
          <w:r>
            <w:rPr>
              <w:rFonts w:eastAsia="Calibri" w:cs="Arial"/>
            </w:rPr>
            <w:t>1</w:t>
          </w:r>
          <w:r>
            <w:rPr>
              <w:rFonts w:eastAsia="Calibri" w:cs="Arial"/>
            </w:rPr>
            <w:fldChar w:fldCharType="end"/>
          </w:r>
        </w:p>
      </w:tc>
    </w:tr>
  </w:tbl>
  <w:p w14:paraId="7122BC57" w14:textId="77777777" w:rsidR="003C4F97" w:rsidRDefault="003C4F97">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C4F97" w14:paraId="5EABFE98" w14:textId="77777777">
      <w:trPr>
        <w:jc w:val="center"/>
      </w:trPr>
      <w:tc>
        <w:tcPr>
          <w:tcW w:w="3107" w:type="dxa"/>
          <w:vAlign w:val="center"/>
        </w:tcPr>
        <w:p w14:paraId="3820326B" w14:textId="77777777" w:rsidR="003C4F97" w:rsidRDefault="008B2545">
          <w:pPr>
            <w:pStyle w:val="Header"/>
            <w:jc w:val="left"/>
            <w:rPr>
              <w:rFonts w:eastAsia="Calibri" w:cs="Arial"/>
            </w:rPr>
          </w:pPr>
          <w:r>
            <w:rPr>
              <w:rFonts w:eastAsia="Calibri" w:cs="Arial"/>
              <w:color w:val="5FBCFF"/>
            </w:rPr>
            <w:t>https://council.itu.int/working-groups</w:t>
          </w:r>
        </w:p>
      </w:tc>
      <w:tc>
        <w:tcPr>
          <w:tcW w:w="6957" w:type="dxa"/>
        </w:tcPr>
        <w:p w14:paraId="463AF3E9" w14:textId="256293B0" w:rsidR="003C4F97" w:rsidRDefault="008B2545">
          <w:pPr>
            <w:pStyle w:val="Header"/>
            <w:tabs>
              <w:tab w:val="left" w:pos="4718"/>
              <w:tab w:val="right" w:pos="8505"/>
              <w:tab w:val="right" w:pos="9639"/>
            </w:tabs>
            <w:jc w:val="left"/>
            <w:rPr>
              <w:rFonts w:ascii="Arial" w:eastAsia="Calibri" w:hAnsi="Arial" w:cs="Arial"/>
              <w:b/>
              <w:bCs/>
              <w:szCs w:val="18"/>
            </w:rPr>
          </w:pPr>
          <w:r>
            <w:rPr>
              <w:rFonts w:eastAsia="Calibri" w:cs="Arial"/>
              <w:bCs/>
            </w:rPr>
            <w:tab/>
            <w:t>CWG-FHR-16/23(Rev.1)</w:t>
          </w:r>
          <w:r>
            <w:rPr>
              <w:rFonts w:eastAsia="Calibri" w:cs="Arial"/>
              <w:bCs/>
            </w:rPr>
            <w:t>-E</w:t>
          </w:r>
          <w:r>
            <w:rPr>
              <w:rFonts w:eastAsia="Calibri" w:cs="Arial"/>
              <w:bCs/>
            </w:rPr>
            <w:tab/>
          </w:r>
          <w:r>
            <w:rPr>
              <w:rFonts w:eastAsia="Calibri" w:cs="Arial"/>
            </w:rPr>
            <w:fldChar w:fldCharType="begin"/>
          </w:r>
          <w:r>
            <w:rPr>
              <w:rFonts w:eastAsia="Calibri" w:cs="Arial"/>
            </w:rPr>
            <w:instrText>PAGE</w:instrText>
          </w:r>
          <w:r>
            <w:rPr>
              <w:rFonts w:eastAsia="Calibri" w:cs="Arial"/>
            </w:rPr>
            <w:fldChar w:fldCharType="separate"/>
          </w:r>
          <w:r>
            <w:rPr>
              <w:rFonts w:eastAsia="Calibri" w:cs="Arial"/>
            </w:rPr>
            <w:t>1</w:t>
          </w:r>
          <w:r>
            <w:rPr>
              <w:rFonts w:eastAsia="Calibri" w:cs="Arial"/>
            </w:rPr>
            <w:fldChar w:fldCharType="end"/>
          </w:r>
        </w:p>
      </w:tc>
    </w:tr>
  </w:tbl>
  <w:p w14:paraId="0752FBF7" w14:textId="77777777" w:rsidR="003C4F97" w:rsidRDefault="003C4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72D6" w14:textId="77777777" w:rsidR="003C4F97" w:rsidRDefault="008B2545">
      <w:r>
        <w:separator/>
      </w:r>
    </w:p>
  </w:footnote>
  <w:footnote w:type="continuationSeparator" w:id="0">
    <w:p w14:paraId="1707E8B0" w14:textId="77777777" w:rsidR="003C4F97" w:rsidRDefault="008B2545">
      <w:r>
        <w:continuationSeparator/>
      </w:r>
    </w:p>
  </w:footnote>
  <w:footnote w:id="1">
    <w:p w14:paraId="4B5CFCCD" w14:textId="77777777" w:rsidR="003C4F97" w:rsidRDefault="008B2545">
      <w:pPr>
        <w:pStyle w:val="FootnoteText"/>
        <w:spacing w:before="0"/>
        <w:ind w:left="255" w:hanging="255"/>
        <w:jc w:val="both"/>
        <w:rPr>
          <w:rFonts w:eastAsia="SimSun"/>
          <w:sz w:val="22"/>
          <w:szCs w:val="18"/>
          <w:lang w:eastAsia="zh-CN"/>
        </w:rPr>
      </w:pPr>
      <w:r>
        <w:rPr>
          <w:rStyle w:val="FootnoteReference"/>
        </w:rPr>
        <w:footnoteRef/>
      </w:r>
      <w:r>
        <w:t xml:space="preserve"> </w:t>
      </w:r>
      <w:r>
        <w:rPr>
          <w:sz w:val="21"/>
          <w:szCs w:val="16"/>
        </w:rPr>
        <w:t>The Coordination Committee (</w:t>
      </w:r>
      <w:proofErr w:type="spellStart"/>
      <w:r>
        <w:rPr>
          <w:sz w:val="21"/>
          <w:szCs w:val="16"/>
        </w:rPr>
        <w:t>CoCo</w:t>
      </w:r>
      <w:proofErr w:type="spellEnd"/>
      <w:r>
        <w:rPr>
          <w:sz w:val="21"/>
          <w:szCs w:val="16"/>
        </w:rPr>
        <w:t xml:space="preserve">) is composed of five elected officials, including Secretary-General, Deputy </w:t>
      </w:r>
      <w:proofErr w:type="gramStart"/>
      <w:r>
        <w:rPr>
          <w:sz w:val="21"/>
          <w:szCs w:val="16"/>
        </w:rPr>
        <w:t>Secretary-General</w:t>
      </w:r>
      <w:proofErr w:type="gramEnd"/>
      <w:r>
        <w:rPr>
          <w:sz w:val="21"/>
          <w:szCs w:val="16"/>
        </w:rPr>
        <w:t xml:space="preserve"> and the Directors of the Three Bureaux.</w:t>
      </w:r>
    </w:p>
  </w:footnote>
  <w:footnote w:id="2">
    <w:p w14:paraId="495B280D" w14:textId="77777777" w:rsidR="003C4F97" w:rsidRDefault="008B2545">
      <w:pPr>
        <w:pStyle w:val="FootnoteText"/>
        <w:spacing w:before="0"/>
        <w:ind w:left="255" w:hanging="255"/>
        <w:jc w:val="both"/>
        <w:rPr>
          <w:rFonts w:eastAsia="SimSun"/>
          <w:sz w:val="22"/>
          <w:szCs w:val="18"/>
          <w:lang w:eastAsia="zh-CN"/>
        </w:rPr>
      </w:pPr>
      <w:r>
        <w:rPr>
          <w:rStyle w:val="FootnoteReference"/>
        </w:rPr>
        <w:footnoteRef/>
      </w:r>
      <w:r>
        <w:t xml:space="preserve"> </w:t>
      </w:r>
      <w:r>
        <w:rPr>
          <w:rFonts w:hint="eastAsia"/>
          <w:sz w:val="21"/>
          <w:szCs w:val="16"/>
        </w:rPr>
        <w:t>The</w:t>
      </w:r>
      <w:r>
        <w:rPr>
          <w:sz w:val="21"/>
          <w:szCs w:val="16"/>
        </w:rPr>
        <w:t xml:space="preserve"> Management Coordination Group (MCG) is composed of the five elected officials, the D2 posts (currently the deputies to the Directors of the Bureaux), and chiefs of the Strategic Planning and Membership Department (SPM), Human Resources Management Departme</w:t>
      </w:r>
      <w:r>
        <w:rPr>
          <w:sz w:val="21"/>
          <w:szCs w:val="16"/>
        </w:rPr>
        <w:t>nt (HRMD), the Financial Resources Management Department (FRMD) and Legal Affairs Unit (JUR). MCG+ includes the regional directors.</w:t>
      </w:r>
    </w:p>
  </w:footnote>
  <w:footnote w:id="3">
    <w:p w14:paraId="491C63EC" w14:textId="77777777" w:rsidR="003C4F97" w:rsidRDefault="008B2545">
      <w:pPr>
        <w:pStyle w:val="FootnoteText"/>
        <w:spacing w:before="0"/>
        <w:ind w:left="255" w:hanging="255"/>
        <w:jc w:val="both"/>
        <w:rPr>
          <w:sz w:val="21"/>
          <w:szCs w:val="16"/>
        </w:rPr>
      </w:pPr>
      <w:r>
        <w:rPr>
          <w:rStyle w:val="FootnoteReference"/>
        </w:rPr>
        <w:footnoteRef/>
      </w:r>
      <w:r>
        <w:t xml:space="preserve"> </w:t>
      </w:r>
      <w:r>
        <w:rPr>
          <w:sz w:val="21"/>
          <w:szCs w:val="16"/>
        </w:rPr>
        <w:t>The D2 Group is composed of the deputies to the Directors of the Bureaux (D2 posts) and chaired by the Deputy Secretary-Ge</w:t>
      </w:r>
      <w:r>
        <w:rPr>
          <w:sz w:val="21"/>
          <w:szCs w:val="16"/>
        </w:rPr>
        <w:t>neral.</w:t>
      </w:r>
    </w:p>
  </w:footnote>
  <w:footnote w:id="4">
    <w:p w14:paraId="61322F79" w14:textId="77777777" w:rsidR="003C4F97" w:rsidRDefault="008B2545">
      <w:pPr>
        <w:pStyle w:val="FootnoteText"/>
        <w:spacing w:before="0"/>
        <w:ind w:left="255" w:hanging="255"/>
        <w:jc w:val="both"/>
        <w:rPr>
          <w:rFonts w:eastAsia="SimSun"/>
          <w:sz w:val="22"/>
          <w:szCs w:val="18"/>
          <w:lang w:eastAsia="zh-CN"/>
        </w:rPr>
      </w:pPr>
      <w:r>
        <w:rPr>
          <w:rStyle w:val="FootnoteReference"/>
        </w:rPr>
        <w:footnoteRef/>
      </w:r>
      <w:r>
        <w:t xml:space="preserve"> </w:t>
      </w:r>
      <w:r>
        <w:rPr>
          <w:sz w:val="21"/>
          <w:szCs w:val="16"/>
        </w:rPr>
        <w:t>Management Coordination Group, document 97/10: Establishment of the Management Coordination Group, January 2015.</w:t>
      </w:r>
    </w:p>
  </w:footnote>
  <w:footnote w:id="5">
    <w:p w14:paraId="5D540D85" w14:textId="77777777" w:rsidR="003C4F97" w:rsidRDefault="008B2545">
      <w:pPr>
        <w:pStyle w:val="FootnoteText"/>
        <w:rPr>
          <w:rFonts w:eastAsia="SimSun"/>
          <w:lang w:eastAsia="zh-CN"/>
        </w:rPr>
      </w:pPr>
      <w:r>
        <w:rPr>
          <w:rStyle w:val="FootnoteReference"/>
        </w:rPr>
        <w:footnoteRef/>
      </w:r>
      <w:r>
        <w:t xml:space="preserve"> </w:t>
      </w:r>
      <w:r>
        <w:rPr>
          <w:sz w:val="21"/>
          <w:szCs w:val="16"/>
        </w:rPr>
        <w:t>See Service Order No. 16/13.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C4F97" w14:paraId="63944AE5" w14:textId="77777777">
      <w:trPr>
        <w:trHeight w:val="1304"/>
        <w:jc w:val="center"/>
      </w:trPr>
      <w:tc>
        <w:tcPr>
          <w:tcW w:w="6546" w:type="dxa"/>
        </w:tcPr>
        <w:bookmarkStart w:id="11" w:name="_Hlk133422111"/>
        <w:p w14:paraId="09880BE2" w14:textId="77777777" w:rsidR="003C4F97" w:rsidRDefault="008B2545">
          <w:pPr>
            <w:pStyle w:val="Header"/>
            <w:jc w:val="left"/>
            <w:rPr>
              <w:rFonts w:ascii="Arial" w:eastAsia="Calibri" w:hAnsi="Arial" w:cs="Arial"/>
              <w:b/>
              <w:bCs/>
              <w:color w:val="6BD6FF"/>
              <w:sz w:val="36"/>
              <w:szCs w:val="36"/>
            </w:rPr>
          </w:pPr>
          <w:r>
            <w:rPr>
              <w:rFonts w:ascii="Arial" w:eastAsia="Calibri" w:hAnsi="Arial" w:cs="Arial"/>
              <w:b/>
              <w:bCs/>
              <w:noProof/>
              <w:color w:val="6BD6FF"/>
              <w:szCs w:val="18"/>
            </w:rPr>
            <mc:AlternateContent>
              <mc:Choice Requires="wps">
                <w:drawing>
                  <wp:anchor distT="0" distB="0" distL="0" distR="0" simplePos="0" relativeHeight="251656704" behindDoc="0" locked="0" layoutInCell="1" allowOverlap="1" wp14:anchorId="7CD7DF76" wp14:editId="00A4B2E6">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3" cy="541020"/>
                            </a:xfrm>
                            <a:prstGeom prst="rect">
                              <a:avLst/>
                            </a:prstGeom>
                            <a:solidFill>
                              <a:srgbClr val="FFFFFF"/>
                            </a:solidFill>
                            <a:ln>
                              <a:noFill/>
                            </a:ln>
                          </wps:spPr>
                          <wps:bodyPr/>
                        </wps:wsp>
                      </a:graphicData>
                    </a:graphic>
                  </wp:anchor>
                </w:drawing>
              </mc:Choice>
              <mc:Fallback xmlns:wpsCustomData="http://www.wps.cn/officeDocument/2013/wpsCustomData">
                <w:pict>
                  <v:rect id="Rectangle 2" o:spid="_x0000_s1026" o:spt="1" style="position:absolute;left:0pt;margin-left:44.85pt;margin-top:4.95pt;height:42.6pt;width:130.15pt;z-index:1024;mso-width-relative:page;mso-height-relative:page;" fillcolor="#FFFFFF" filled="t" stroked="f" coordsize="21600,21600" o:gfxdata="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bCQS21QAAAAcBAAAPAAAAAAAAAAEAIAAA&#10;ADgAAABkcnMvZG93bnJldi54bWxQSwECFAAUAAAACACHTuJAtTdOnocBAAALAwAADgAAAAAAAAAB&#10;ACAAAAA6AQAAZHJzL2Uyb0RvYy54bWxQSwUGAAAAAAYABgBZAQAAMwUAAAAA&#10;">
                    <v:fill on="t" focussize="0,0"/>
                    <v:stroke on="f"/>
                    <v:imagedata o:title=""/>
                    <o:lock v:ext="edit" aspectratio="f"/>
                  </v:rect>
                </w:pict>
              </mc:Fallback>
            </mc:AlternateContent>
          </w:r>
          <w:r>
            <w:rPr>
              <w:rFonts w:eastAsia="Calibri" w:cs="Arial"/>
              <w:noProof/>
            </w:rPr>
            <w:drawing>
              <wp:inline distT="0" distB="0" distL="0" distR="0" wp14:anchorId="496FCCF0" wp14:editId="6115F38B">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433CA0FD" w14:textId="77777777" w:rsidR="003C4F97" w:rsidRDefault="003C4F97">
          <w:pPr>
            <w:pStyle w:val="Header"/>
            <w:jc w:val="right"/>
            <w:rPr>
              <w:rFonts w:ascii="Arial" w:eastAsia="Calibri" w:hAnsi="Arial" w:cs="Arial"/>
              <w:b/>
              <w:bCs/>
              <w:color w:val="6BD6FF"/>
              <w:szCs w:val="18"/>
            </w:rPr>
          </w:pPr>
        </w:p>
        <w:p w14:paraId="07F8D31E" w14:textId="77777777" w:rsidR="003C4F97" w:rsidRDefault="003C4F97">
          <w:pPr>
            <w:pStyle w:val="Header"/>
            <w:jc w:val="right"/>
            <w:rPr>
              <w:rFonts w:ascii="Arial" w:eastAsia="Calibri" w:hAnsi="Arial" w:cs="Arial"/>
              <w:b/>
              <w:bCs/>
              <w:color w:val="6BD6FF"/>
              <w:szCs w:val="18"/>
            </w:rPr>
          </w:pPr>
        </w:p>
        <w:p w14:paraId="6FC7EB21" w14:textId="77777777" w:rsidR="003C4F97" w:rsidRDefault="008B2545">
          <w:pPr>
            <w:pStyle w:val="Header"/>
            <w:jc w:val="right"/>
            <w:rPr>
              <w:rFonts w:ascii="Arial" w:eastAsia="Calibri" w:hAnsi="Arial" w:cs="Arial"/>
              <w:color w:val="6BD6FF"/>
              <w:szCs w:val="18"/>
            </w:rPr>
          </w:pPr>
          <w:r>
            <w:rPr>
              <w:rFonts w:ascii="Arial" w:eastAsia="Calibri" w:hAnsi="Arial" w:cs="Arial"/>
              <w:b/>
              <w:bCs/>
              <w:color w:val="6BD6FF"/>
              <w:szCs w:val="18"/>
            </w:rPr>
            <w:t xml:space="preserve"> </w:t>
          </w:r>
        </w:p>
      </w:tc>
    </w:tr>
  </w:tbl>
  <w:bookmarkEnd w:id="11"/>
  <w:p w14:paraId="4B0A2169" w14:textId="77777777" w:rsidR="003C4F97" w:rsidRDefault="008B2545">
    <w:pPr>
      <w:pStyle w:val="Header"/>
    </w:pPr>
    <w:r>
      <w:rPr>
        <w:rFonts w:ascii="Avenir Nxt2 W1G Medium" w:eastAsia="Avenir Nxt2 W1G Medium" w:hAnsi="Avenir Nxt2 W1G Medium" w:cs="Avenir Nxt2 W1G Medium"/>
        <w:noProof/>
      </w:rPr>
      <mc:AlternateContent>
        <mc:Choice Requires="wps">
          <w:drawing>
            <wp:anchor distT="0" distB="0" distL="0" distR="0" simplePos="0" relativeHeight="251657728" behindDoc="0" locked="0" layoutInCell="1" allowOverlap="1" wp14:anchorId="222D176E" wp14:editId="36E89B12">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 xmlns:a="http://schemas.openxmlformats.org/drawingml/2006/main">
                <a:graphicData uri="http://schemas.microsoft.com/office/word/2010/wordprocessingShape">
                  <wps:wsp>
                    <wps:cNvSpPr/>
                    <wps:spPr>
                      <a:xfrm>
                        <a:off x="0" y="0"/>
                        <a:ext cx="93345" cy="431800"/>
                      </a:xfrm>
                      <a:prstGeom prst="rect">
                        <a:avLst/>
                      </a:prstGeom>
                      <a:solidFill>
                        <a:srgbClr val="009CD5"/>
                      </a:solidFill>
                      <a:ln>
                        <a:noFill/>
                      </a:ln>
                    </wps:spPr>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1024;mso-width-relative:page;mso-height-relative:page;" fillcolor="#009CD5" filled="t" stroked="f" coordsize="21600,21600" o:gfxdata="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F9XYxTXAAAABwEAAA8AAAAAAAAAAQAg&#10;AAAAOAAAAGRycy9kb3ducmV2LnhtbFBLAQIUABQAAAAIAIdO4kBdkNrkhwEAAAkDAAAOAAAAAAAA&#10;AAEAIAAAADwBAABkcnMvZTJvRG9jLnhtbFBLBQYAAAAABgAGAFkBAAA1BQAAAAA=&#10;">
              <v:fill on="t" focussize="0,0"/>
              <v:stroke on="f"/>
              <v:imagedata o:title=""/>
              <o:lock v:ext="edit" aspectratio="f"/>
            </v:rect>
          </w:pict>
        </mc:Fallback>
      </mc:AlternateContent>
    </w:r>
    <w:r>
      <w:rPr>
        <w:rFonts w:ascii="Arial" w:eastAsia="Calibri" w:hAnsi="Arial" w:cs="Arial"/>
        <w:b/>
        <w:bCs/>
        <w:noProof/>
        <w:color w:val="6BD6FF"/>
        <w:szCs w:val="18"/>
      </w:rPr>
      <mc:AlternateContent>
        <mc:Choice Requires="wps">
          <w:drawing>
            <wp:anchor distT="0" distB="0" distL="0" distR="0" simplePos="0" relativeHeight="251658752" behindDoc="0" locked="0" layoutInCell="1" allowOverlap="1" wp14:anchorId="1491DFA7" wp14:editId="3B3DC28A">
              <wp:simplePos x="0" y="0"/>
              <wp:positionH relativeFrom="column">
                <wp:posOffset>306705</wp:posOffset>
              </wp:positionH>
              <wp:positionV relativeFrom="paragraph">
                <wp:posOffset>-835025</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29" cy="471170"/>
                      </a:xfrm>
                      <a:prstGeom prst="rect">
                        <a:avLst/>
                      </a:prstGeom>
                      <a:ln>
                        <a:noFill/>
                      </a:ln>
                    </wps:spPr>
                    <wps:txbx>
                      <w:txbxContent>
                        <w:p w14:paraId="5F47BEE7" w14:textId="77777777" w:rsidR="003C4F97" w:rsidRDefault="008B2545">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wps:txbx>
                    <wps:bodyPr vert="horz" wrap="square" lIns="91440" tIns="45720" rIns="91440" bIns="45720" anchor="t">
                      <a:spAutoFit/>
                    </wps:bodyPr>
                  </wps:wsp>
                </a:graphicData>
              </a:graphic>
            </wp:anchor>
          </w:drawing>
        </mc:Choice>
        <mc:Fallback xmlns:wpsCustomData="http://www.wps.cn/officeDocument/2013/wpsCustomData">
          <w:pict>
            <v:rect id="Text Box 2" o:spid="_x0000_s1026" o:spt="1" style="position:absolute;left:0pt;margin-left:24.15pt;margin-top:-65.75pt;height:37.1pt;width:314.9pt;z-index:1024;mso-width-relative:page;mso-height-relative:page;" filled="f" stroked="f" coordsize="21600,21600" o:gfxdata="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NHraHbAAAACwEAAA8AAAAAAAAAAQAgAAAAOAAAAGRycy9k&#10;b3ducmV2LnhtbFBLAQIUABQAAAAIAIdO4kBeQn8nsAEAAFQDAAAOAAAAAAAAAAEAIAAAAEABAABk&#10;cnMvZTJvRG9jLnhtbFBLBQYAAAAABgAGAFkBAABiBQAAAAA=&#10;">
              <v:fill on="f" focussize="0,0"/>
              <v:stroke on="f"/>
              <v:imagedata o:title=""/>
              <o:lock v:ext="edit" aspectratio="f"/>
              <v:textbox style="mso-fit-shape-to-text:t;">
                <w:txbxContent>
                  <w:p>
                    <w:pPr>
                      <w:spacing w:before="0"/>
                    </w:pPr>
                    <w:r>
                      <w:rPr>
                        <w:b/>
                        <w:bCs/>
                        <w:szCs w:val="24"/>
                      </w:rPr>
                      <w:t xml:space="preserve">Council Working Group </w:t>
                    </w:r>
                    <w:r>
                      <w:rPr>
                        <w:b/>
                        <w:bCs/>
                        <w:szCs w:val="24"/>
                      </w:rPr>
                      <w:br w:type="textWrapping"/>
                    </w:r>
                    <w:r>
                      <w:rPr>
                        <w:b/>
                        <w:bCs/>
                        <w:szCs w:val="24"/>
                      </w:rPr>
                      <w:t>on Financial and Human Resources</w:t>
                    </w:r>
                    <w:r>
                      <w:br w:type="textWrapping"/>
                    </w:r>
                    <w:r>
                      <w:rPr>
                        <w:sz w:val="20"/>
                      </w:rPr>
                      <w:t>Sixteenth meeting - Wednesday 11 to Friday 13 October 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0A6A"/>
    <w:multiLevelType w:val="singleLevel"/>
    <w:tmpl w:val="15FC0A6A"/>
    <w:lvl w:ilvl="0">
      <w:start w:val="1"/>
      <w:numFmt w:val="decimal"/>
      <w:suff w:val="space"/>
      <w:lvlText w:val="%1."/>
      <w:lvlJc w:val="left"/>
    </w:lvl>
  </w:abstractNum>
  <w:num w:numId="1" w16cid:durableId="127894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32F"/>
    <w:rsid w:val="FBFE6C2C"/>
    <w:rsid w:val="003C4F97"/>
    <w:rsid w:val="00430A7B"/>
    <w:rsid w:val="00457A6B"/>
    <w:rsid w:val="005B332F"/>
    <w:rsid w:val="008A4545"/>
    <w:rsid w:val="008B2545"/>
    <w:rsid w:val="00986DF8"/>
    <w:rsid w:val="00AB3329"/>
    <w:rsid w:val="00B2158B"/>
    <w:rsid w:val="00B61C2D"/>
    <w:rsid w:val="00B717D1"/>
    <w:rsid w:val="00BF30F5"/>
    <w:rsid w:val="00E56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9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semiHidden="1" w:unhideWhenUsed="1"/>
    <w:lsdException w:name="header"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uiPriority w:val="9"/>
    <w:qFormat/>
    <w:pPr>
      <w:keepNext/>
      <w:keepLines/>
      <w:spacing w:before="480"/>
      <w:ind w:left="567" w:hanging="567"/>
      <w:outlineLvl w:val="0"/>
    </w:pPr>
    <w:rPr>
      <w:b/>
      <w:sz w:val="28"/>
    </w:rPr>
  </w:style>
  <w:style w:type="paragraph" w:styleId="Heading2">
    <w:name w:val="heading 2"/>
    <w:basedOn w:val="Heading1"/>
    <w:next w:val="Normal"/>
    <w:uiPriority w:val="9"/>
    <w:semiHidden/>
    <w:unhideWhenUsed/>
    <w:qFormat/>
    <w:pPr>
      <w:spacing w:before="320"/>
      <w:outlineLvl w:val="1"/>
    </w:pPr>
    <w:rPr>
      <w:sz w:val="24"/>
    </w:rPr>
  </w:style>
  <w:style w:type="paragraph" w:styleId="Heading3">
    <w:name w:val="heading 3"/>
    <w:basedOn w:val="Heading1"/>
    <w:next w:val="Normal"/>
    <w:uiPriority w:val="9"/>
    <w:semiHidden/>
    <w:unhideWhenUsed/>
    <w:qFormat/>
    <w:pPr>
      <w:spacing w:before="200"/>
      <w:outlineLvl w:val="2"/>
    </w:pPr>
    <w:rPr>
      <w:sz w:val="24"/>
    </w:rPr>
  </w:style>
  <w:style w:type="paragraph" w:styleId="Heading4">
    <w:name w:val="heading 4"/>
    <w:basedOn w:val="Heading3"/>
    <w:next w:val="Normal"/>
    <w:uiPriority w:val="9"/>
    <w:semiHidden/>
    <w:unhideWhenUsed/>
    <w:qFormat/>
    <w:pPr>
      <w:ind w:left="1134" w:hanging="1134"/>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next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link w:val="FootnoteTextChar"/>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FootnoteTextChar">
    <w:name w:val="Footnote Text Char"/>
    <w:basedOn w:val="DefaultParagraphFont"/>
    <w:link w:val="FootnoteText"/>
    <w:uiPriority w:val="99"/>
    <w:qFormat/>
    <w:rPr>
      <w:rFonts w:ascii="Calibri" w:eastAsia="Times New Roman" w:hAnsi="Calibri"/>
      <w:sz w:val="24"/>
      <w:lang w:val="en-GB" w:eastAsia="en-US"/>
    </w:rPr>
  </w:style>
  <w:style w:type="paragraph" w:customStyle="1" w:styleId="Revision7aa9b641-e57b-4f51-8cb2-fe766a404cc5">
    <w:name w:val="Revision_7aa9b641-e57b-4f51-8cb2-fe766a404cc5"/>
    <w:uiPriority w:val="99"/>
    <w:qFormat/>
    <w:rPr>
      <w:rFonts w:ascii="Calibri" w:eastAsia="Times New Roman" w:hAnsi="Calibri"/>
      <w:sz w:val="24"/>
      <w:lang w:eastAsia="en-US"/>
    </w:rPr>
  </w:style>
  <w:style w:type="paragraph" w:customStyle="1" w:styleId="Revision1">
    <w:name w:val="Revision1"/>
    <w:uiPriority w:val="99"/>
    <w:qFormat/>
    <w:rPr>
      <w:rFonts w:ascii="Calibri" w:eastAsia="Times New Roman" w:hAnsi="Calibri"/>
      <w:sz w:val="24"/>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1-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3-CWGFHR16-C-0005/en" TargetMode="External"/><Relationship Id="rId4" Type="http://schemas.openxmlformats.org/officeDocument/2006/relationships/settings" Target="settings.xml"/><Relationship Id="rId9" Type="http://schemas.openxmlformats.org/officeDocument/2006/relationships/hyperlink" Target="https://www.itu.int/md/S23-CL-C-0027/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4129</Characters>
  <Application>Microsoft Office Word</Application>
  <DocSecurity>4</DocSecurity>
  <Lines>34</Lines>
  <Paragraphs>9</Paragraphs>
  <ScaleCrop>false</ScaleCrop>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People’s Republic of China: The Proposal for the Strategy for Inter-Sectoral Coordination</dc:title>
  <dc:subject>Council Working Group on Financial and Human Resources</dc:subject>
  <dc:creator/>
  <cp:keywords>CWG-FHR, C23, Council-23, C23-ADD</cp:keywords>
  <cp:lastModifiedBy/>
  <cp:revision>1</cp:revision>
  <dcterms:created xsi:type="dcterms:W3CDTF">2023-10-09T14:33:00Z</dcterms:created>
  <dcterms:modified xsi:type="dcterms:W3CDTF">2023-10-09T14:33:00Z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201252AF647F4C9BBE65E7990B832C74_13</vt:lpwstr>
  </property>
</Properties>
</file>