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635AF"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D5870BC" w:rsidR="00AD3606" w:rsidRPr="007635AF" w:rsidRDefault="00AD3606" w:rsidP="00472BAD">
            <w:pPr>
              <w:tabs>
                <w:tab w:val="left" w:pos="851"/>
              </w:tabs>
              <w:spacing w:before="0" w:line="240" w:lineRule="atLeast"/>
              <w:jc w:val="right"/>
              <w:rPr>
                <w:b/>
                <w:lang w:val="it-IT"/>
              </w:rPr>
            </w:pPr>
            <w:r w:rsidRPr="007635AF">
              <w:rPr>
                <w:b/>
                <w:lang w:val="it-IT"/>
              </w:rPr>
              <w:t>Document C</w:t>
            </w:r>
            <w:r w:rsidR="00A52C84" w:rsidRPr="007635AF">
              <w:rPr>
                <w:b/>
                <w:lang w:val="it-IT"/>
              </w:rPr>
              <w:t>WG-</w:t>
            </w:r>
            <w:r w:rsidR="009F347C" w:rsidRPr="007635AF">
              <w:rPr>
                <w:b/>
                <w:lang w:val="it-IT"/>
              </w:rPr>
              <w:t>FHR</w:t>
            </w:r>
            <w:r w:rsidR="00A52C84" w:rsidRPr="007635AF">
              <w:rPr>
                <w:b/>
                <w:lang w:val="it-IT"/>
              </w:rPr>
              <w:t>-</w:t>
            </w:r>
            <w:r w:rsidR="007635AF">
              <w:rPr>
                <w:b/>
                <w:lang w:val="it-IT"/>
              </w:rPr>
              <w:t>16</w:t>
            </w:r>
            <w:r w:rsidRPr="007635AF">
              <w:rPr>
                <w:b/>
                <w:lang w:val="it-IT"/>
              </w:rPr>
              <w:t>/</w:t>
            </w:r>
            <w:r w:rsidR="007635AF">
              <w:rPr>
                <w:b/>
                <w:lang w:val="it-IT"/>
              </w:rPr>
              <w:t>12</w:t>
            </w:r>
            <w:r w:rsidRPr="007635AF">
              <w:rPr>
                <w:b/>
                <w:lang w:val="it-IT"/>
              </w:rPr>
              <w:t>-E</w:t>
            </w:r>
          </w:p>
        </w:tc>
      </w:tr>
      <w:tr w:rsidR="00AD3606" w:rsidRPr="00813E5E" w14:paraId="789B45BA" w14:textId="77777777" w:rsidTr="00AD3606">
        <w:trPr>
          <w:cantSplit/>
        </w:trPr>
        <w:tc>
          <w:tcPr>
            <w:tcW w:w="3969" w:type="dxa"/>
            <w:vMerge/>
          </w:tcPr>
          <w:p w14:paraId="3F3D4E17" w14:textId="77777777" w:rsidR="00AD3606" w:rsidRPr="007635AF"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0E328AA9" w:rsidR="00AD3606" w:rsidRPr="00E85629" w:rsidRDefault="007635AF" w:rsidP="00AD3606">
            <w:pPr>
              <w:tabs>
                <w:tab w:val="left" w:pos="851"/>
              </w:tabs>
              <w:spacing w:before="0"/>
              <w:jc w:val="right"/>
              <w:rPr>
                <w:b/>
              </w:rPr>
            </w:pPr>
            <w:r>
              <w:rPr>
                <w:b/>
              </w:rPr>
              <w:t>11</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24B79F7" w:rsidR="00AD3606" w:rsidRPr="00E85629" w:rsidRDefault="00891503" w:rsidP="00AD3606">
            <w:pPr>
              <w:tabs>
                <w:tab w:val="left" w:pos="851"/>
              </w:tabs>
              <w:spacing w:before="0" w:line="240" w:lineRule="atLeast"/>
              <w:jc w:val="right"/>
              <w:rPr>
                <w:b/>
              </w:rPr>
            </w:pPr>
            <w:r>
              <w:rPr>
                <w:b/>
              </w:rPr>
              <w:t>English</w:t>
            </w:r>
            <w:r w:rsidR="007635AF">
              <w:rPr>
                <w:rFonts w:eastAsia="Times New Roman"/>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374BAF82" w:rsidR="00AD3606" w:rsidRPr="00813E5E" w:rsidRDefault="00747BBD" w:rsidP="00DF0189">
            <w:pPr>
              <w:pStyle w:val="Subtitle"/>
              <w:framePr w:hSpace="0" w:wrap="auto" w:hAnchor="text" w:xAlign="left" w:yAlign="inline"/>
            </w:pPr>
            <w:bookmarkStart w:id="9" w:name="dtitle1" w:colFirst="0" w:colLast="0"/>
            <w:bookmarkEnd w:id="8"/>
            <w:r>
              <w:t>REVIEW OF THE LIST OF EXEMPTED ENTITIES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47FF4992" w14:textId="188ADBF2" w:rsidR="00D63D4F" w:rsidRDefault="00D63D4F" w:rsidP="00D63D4F">
            <w:pPr>
              <w:tabs>
                <w:tab w:val="clear" w:pos="567"/>
                <w:tab w:val="clear" w:pos="1134"/>
                <w:tab w:val="clear" w:pos="1701"/>
                <w:tab w:val="clear" w:pos="2268"/>
                <w:tab w:val="clear" w:pos="2835"/>
              </w:tabs>
              <w:spacing w:after="120"/>
              <w:jc w:val="both"/>
              <w:rPr>
                <w:rFonts w:eastAsia="Calibri" w:cs="Calibri"/>
                <w:color w:val="000000" w:themeColor="text1"/>
              </w:rPr>
            </w:pPr>
            <w:r w:rsidRPr="38A85560">
              <w:rPr>
                <w:rFonts w:eastAsia="Calibri" w:cs="Calibri"/>
                <w:color w:val="000000" w:themeColor="text1"/>
              </w:rPr>
              <w:t xml:space="preserve">At its 24 September 2022 session, Council examined document </w:t>
            </w:r>
            <w:hyperlink r:id="rId8">
              <w:r w:rsidR="00723C3C">
                <w:rPr>
                  <w:rStyle w:val="Hyperlink"/>
                  <w:rFonts w:eastAsia="Calibri" w:cs="Calibri"/>
                </w:rPr>
                <w:t>C23/100</w:t>
              </w:r>
            </w:hyperlink>
            <w:r w:rsidRPr="38A85560">
              <w:rPr>
                <w:rFonts w:eastAsia="Calibri" w:cs="Calibri"/>
                <w:color w:val="000000" w:themeColor="text1"/>
              </w:rPr>
              <w:t xml:space="preserve"> which summarizes the secretariat’s review of the list of organizations of an international character that benefit from fee exemption. Council decided to refer document </w:t>
            </w:r>
            <w:r w:rsidR="00723C3C">
              <w:t xml:space="preserve">C23/100 </w:t>
            </w:r>
            <w:r w:rsidRPr="38A85560">
              <w:rPr>
                <w:rFonts w:eastAsia="Calibri" w:cs="Calibri"/>
                <w:color w:val="000000" w:themeColor="text1"/>
              </w:rPr>
              <w:t>to the CWG-FHR.</w:t>
            </w:r>
          </w:p>
          <w:p w14:paraId="27B649C5" w14:textId="78C7EC74" w:rsidR="00D63D4F" w:rsidRDefault="00D63D4F" w:rsidP="00D63D4F">
            <w:pPr>
              <w:tabs>
                <w:tab w:val="clear" w:pos="567"/>
                <w:tab w:val="clear" w:pos="1134"/>
                <w:tab w:val="clear" w:pos="1701"/>
                <w:tab w:val="clear" w:pos="2268"/>
                <w:tab w:val="clear" w:pos="2835"/>
              </w:tabs>
              <w:spacing w:after="120"/>
              <w:jc w:val="both"/>
              <w:rPr>
                <w:rFonts w:eastAsia="Calibri" w:cs="Calibri"/>
                <w:color w:val="000000" w:themeColor="text1"/>
              </w:rPr>
            </w:pPr>
            <w:r w:rsidRPr="1EA3B521">
              <w:rPr>
                <w:rFonts w:eastAsia="Calibri" w:cs="Calibri"/>
                <w:color w:val="000000" w:themeColor="text1"/>
              </w:rPr>
              <w:t xml:space="preserve">Taking into account the concerns expressed </w:t>
            </w:r>
            <w:r w:rsidR="002E3F19">
              <w:rPr>
                <w:rFonts w:eastAsia="Calibri" w:cs="Calibri"/>
                <w:color w:val="000000" w:themeColor="text1"/>
              </w:rPr>
              <w:t xml:space="preserve">by some delegations </w:t>
            </w:r>
            <w:r w:rsidRPr="1EA3B521">
              <w:rPr>
                <w:rFonts w:eastAsia="Calibri" w:cs="Calibri"/>
                <w:color w:val="000000" w:themeColor="text1"/>
              </w:rPr>
              <w:t xml:space="preserve">during </w:t>
            </w:r>
            <w:r w:rsidR="00F94A35">
              <w:rPr>
                <w:rFonts w:eastAsia="Calibri" w:cs="Calibri"/>
                <w:color w:val="000000" w:themeColor="text1"/>
              </w:rPr>
              <w:t xml:space="preserve">the 24 September </w:t>
            </w:r>
            <w:r w:rsidRPr="1EA3B521">
              <w:rPr>
                <w:rFonts w:eastAsia="Calibri" w:cs="Calibri"/>
                <w:color w:val="000000" w:themeColor="text1"/>
              </w:rPr>
              <w:t xml:space="preserve">session of </w:t>
            </w:r>
            <w:r w:rsidR="002E3F19" w:rsidRPr="1EA3B521">
              <w:rPr>
                <w:rFonts w:eastAsia="Calibri" w:cs="Calibri"/>
                <w:color w:val="000000" w:themeColor="text1"/>
              </w:rPr>
              <w:t xml:space="preserve">Council, </w:t>
            </w:r>
            <w:r w:rsidR="002E3F19" w:rsidRPr="07B36BDE">
              <w:rPr>
                <w:rFonts w:asciiTheme="minorHAnsi" w:eastAsiaTheme="minorEastAsia" w:hAnsiTheme="minorHAnsi" w:cstheme="minorBidi"/>
              </w:rPr>
              <w:t>and</w:t>
            </w:r>
            <w:r w:rsidR="00242515">
              <w:rPr>
                <w:rStyle w:val="normaltextrun"/>
                <w:rFonts w:asciiTheme="minorHAnsi" w:eastAsiaTheme="minorEastAsia" w:hAnsiTheme="minorHAnsi" w:cstheme="minorBidi"/>
              </w:rPr>
              <w:t xml:space="preserve"> the relative costs and benefits concerned</w:t>
            </w:r>
            <w:r w:rsidR="002E3F19">
              <w:rPr>
                <w:rStyle w:val="normaltextrun"/>
                <w:rFonts w:asciiTheme="minorHAnsi" w:eastAsiaTheme="minorEastAsia" w:hAnsiTheme="minorHAnsi" w:cstheme="minorBidi"/>
              </w:rPr>
              <w:t>,</w:t>
            </w:r>
            <w:r w:rsidR="00D64577">
              <w:rPr>
                <w:rFonts w:eastAsia="Calibri" w:cs="Calibri"/>
                <w:color w:val="000000" w:themeColor="text1"/>
              </w:rPr>
              <w:t xml:space="preserve"> </w:t>
            </w:r>
            <w:r w:rsidRPr="1EA3B521">
              <w:rPr>
                <w:rFonts w:eastAsia="Calibri" w:cs="Calibri"/>
                <w:color w:val="000000" w:themeColor="text1"/>
              </w:rPr>
              <w:t xml:space="preserve">the Secretary-General recommends that Council </w:t>
            </w:r>
            <w:r w:rsidRPr="1EA3B521">
              <w:rPr>
                <w:rFonts w:eastAsia="Calibri" w:cs="Calibri"/>
                <w:i/>
                <w:iCs/>
                <w:color w:val="000000" w:themeColor="text1"/>
              </w:rPr>
              <w:t>continue the current practice of maintaining fee exemption for</w:t>
            </w:r>
            <w:r w:rsidRPr="1EA3B521">
              <w:rPr>
                <w:rFonts w:eastAsia="Calibri" w:cs="Calibri"/>
                <w:color w:val="000000" w:themeColor="text1"/>
              </w:rPr>
              <w:t xml:space="preserve"> </w:t>
            </w:r>
            <w:r w:rsidRPr="1EA3B521">
              <w:rPr>
                <w:rFonts w:eastAsia="Calibri" w:cs="Calibri"/>
                <w:i/>
                <w:iCs/>
                <w:color w:val="000000" w:themeColor="text1"/>
              </w:rPr>
              <w:t>entities which were approved prior to the revised criteria</w:t>
            </w:r>
            <w:r w:rsidR="00554BF8">
              <w:rPr>
                <w:rFonts w:eastAsia="Calibri" w:cs="Calibri"/>
                <w:i/>
                <w:iCs/>
                <w:color w:val="000000" w:themeColor="text1"/>
              </w:rPr>
              <w:t xml:space="preserve"> of 2017 (</w:t>
            </w:r>
            <w:r w:rsidR="00554BF8">
              <w:rPr>
                <w:rFonts w:asciiTheme="minorHAnsi" w:eastAsiaTheme="minorEastAsia" w:hAnsiTheme="minorHAnsi" w:cstheme="minorBidi"/>
                <w:i/>
                <w:iCs/>
                <w:color w:val="000000" w:themeColor="text1"/>
              </w:rPr>
              <w:t xml:space="preserve">provided they </w:t>
            </w:r>
            <w:r w:rsidR="00E35114">
              <w:rPr>
                <w:rFonts w:asciiTheme="minorHAnsi" w:eastAsiaTheme="minorEastAsia" w:hAnsiTheme="minorHAnsi" w:cstheme="minorBidi"/>
                <w:i/>
                <w:iCs/>
                <w:color w:val="000000" w:themeColor="text1"/>
              </w:rPr>
              <w:t>offer</w:t>
            </w:r>
            <w:r w:rsidR="00014E01">
              <w:rPr>
                <w:rFonts w:asciiTheme="minorHAnsi" w:eastAsiaTheme="minorEastAsia" w:hAnsiTheme="minorHAnsi" w:cstheme="minorBidi"/>
                <w:i/>
                <w:iCs/>
                <w:color w:val="000000" w:themeColor="text1"/>
              </w:rPr>
              <w:t xml:space="preserve"> </w:t>
            </w:r>
            <w:r w:rsidR="00120427">
              <w:rPr>
                <w:rFonts w:asciiTheme="minorHAnsi" w:eastAsiaTheme="minorEastAsia" w:hAnsiTheme="minorHAnsi" w:cstheme="minorBidi"/>
                <w:i/>
                <w:iCs/>
                <w:color w:val="000000" w:themeColor="text1"/>
              </w:rPr>
              <w:t>rec</w:t>
            </w:r>
            <w:r w:rsidR="001302C0">
              <w:rPr>
                <w:rFonts w:asciiTheme="minorHAnsi" w:eastAsiaTheme="minorEastAsia" w:hAnsiTheme="minorHAnsi" w:cstheme="minorBidi"/>
                <w:i/>
                <w:iCs/>
                <w:color w:val="000000" w:themeColor="text1"/>
              </w:rPr>
              <w:t>iprocity</w:t>
            </w:r>
            <w:r w:rsidR="00554BF8">
              <w:rPr>
                <w:rFonts w:asciiTheme="minorHAnsi" w:eastAsiaTheme="minorEastAsia" w:hAnsiTheme="minorHAnsi" w:cstheme="minorBidi"/>
                <w:i/>
                <w:iCs/>
                <w:color w:val="000000" w:themeColor="text1"/>
              </w:rPr>
              <w:t>)</w:t>
            </w:r>
            <w:r w:rsidRPr="1EA3B521">
              <w:rPr>
                <w:rFonts w:eastAsia="Calibri" w:cs="Calibri"/>
                <w:i/>
                <w:iCs/>
                <w:color w:val="000000" w:themeColor="text1"/>
              </w:rPr>
              <w:t xml:space="preserve"> a</w:t>
            </w:r>
            <w:r w:rsidR="002C58DE">
              <w:rPr>
                <w:rFonts w:eastAsia="Calibri" w:cs="Calibri"/>
                <w:i/>
                <w:iCs/>
                <w:color w:val="000000" w:themeColor="text1"/>
              </w:rPr>
              <w:t>nd</w:t>
            </w:r>
            <w:r w:rsidRPr="1EA3B521">
              <w:rPr>
                <w:rFonts w:eastAsia="Calibri" w:cs="Calibri"/>
                <w:i/>
                <w:iCs/>
                <w:color w:val="000000" w:themeColor="text1"/>
              </w:rPr>
              <w:t xml:space="preserve"> continue to apply the revised criteria to new requests for exemption</w:t>
            </w:r>
            <w:r w:rsidRPr="1EA3B521">
              <w:rPr>
                <w:rFonts w:eastAsia="Calibri" w:cs="Calibri"/>
                <w:color w:val="000000" w:themeColor="text1"/>
              </w:rPr>
              <w:t>.</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1A537CC8" w14:textId="77777777" w:rsidR="00B736D6" w:rsidRDefault="00B736D6" w:rsidP="00B736D6">
            <w:pPr>
              <w:spacing w:after="120"/>
              <w:jc w:val="both"/>
              <w:rPr>
                <w:rFonts w:eastAsia="Calibri" w:cs="Calibri"/>
                <w:color w:val="000000" w:themeColor="text1"/>
              </w:rPr>
            </w:pPr>
            <w:r w:rsidRPr="1EA3B521">
              <w:rPr>
                <w:rFonts w:eastAsia="Calibri" w:cs="Calibri"/>
                <w:color w:val="000000" w:themeColor="text1"/>
              </w:rPr>
              <w:t>The Council Working Group on Finance and Human Resources is invited to consider the recommendation of the Secretary-General for its report to Council.</w:t>
            </w:r>
          </w:p>
          <w:p w14:paraId="6AC64789" w14:textId="00FDF19D" w:rsidR="00891503" w:rsidRDefault="00891503" w:rsidP="00891503">
            <w:pPr>
              <w:spacing w:before="160"/>
              <w:rPr>
                <w:b/>
                <w:bCs/>
                <w:sz w:val="26"/>
                <w:szCs w:val="26"/>
              </w:rPr>
            </w:pPr>
            <w:r w:rsidRPr="00891503">
              <w:rPr>
                <w:b/>
                <w:bCs/>
                <w:sz w:val="26"/>
                <w:szCs w:val="26"/>
              </w:rPr>
              <w:t>Financial implications</w:t>
            </w:r>
          </w:p>
          <w:p w14:paraId="26739EDA" w14:textId="6A2AC1A3" w:rsidR="00F9408E" w:rsidRPr="005656F6" w:rsidRDefault="00B072E7" w:rsidP="00EE6FB4">
            <w:pPr>
              <w:spacing w:before="160"/>
            </w:pPr>
            <w:r>
              <w:t xml:space="preserve">If Council were to continue the </w:t>
            </w:r>
            <w:r w:rsidR="007F2758">
              <w:t xml:space="preserve">current </w:t>
            </w:r>
            <w:r>
              <w:t xml:space="preserve">practice of </w:t>
            </w:r>
            <w:r w:rsidR="00AB6FB4">
              <w:t xml:space="preserve">maintaining </w:t>
            </w:r>
            <w:r w:rsidR="00BB0675">
              <w:t xml:space="preserve">fee exemption for those approved before 2017, as recommended by the Secretary General, there would </w:t>
            </w:r>
            <w:r w:rsidR="007059F4">
              <w:t xml:space="preserve">be </w:t>
            </w:r>
            <w:r w:rsidR="00BB0675">
              <w:t>n</w:t>
            </w:r>
            <w:r w:rsidR="00727BE5">
              <w:t>o</w:t>
            </w:r>
            <w:r w:rsidR="002D2EB4">
              <w:t xml:space="preserve"> direct</w:t>
            </w:r>
            <w:r w:rsidR="00727BE5">
              <w:t xml:space="preserve"> financial implications. </w:t>
            </w:r>
            <w:r w:rsidR="00F01B23">
              <w:t>Alternatively, i</w:t>
            </w:r>
            <w:r w:rsidR="00833B06">
              <w:t xml:space="preserve">f Council were to </w:t>
            </w:r>
            <w:r w:rsidR="00E93674" w:rsidRPr="00F01B23">
              <w:rPr>
                <w:i/>
                <w:iCs/>
              </w:rPr>
              <w:t>not</w:t>
            </w:r>
            <w:r w:rsidR="00E93674">
              <w:t xml:space="preserve"> extend exemption status of business associations </w:t>
            </w:r>
            <w:r w:rsidR="00CE7881">
              <w:t xml:space="preserve">approved prior to the 2017 criteria, </w:t>
            </w:r>
            <w:r w:rsidR="00426C0C">
              <w:t>the estimate</w:t>
            </w:r>
            <w:r w:rsidR="006C3387">
              <w:t>d</w:t>
            </w:r>
            <w:r w:rsidR="00426C0C">
              <w:t xml:space="preserve"> revenue potential could be </w:t>
            </w:r>
            <w:r w:rsidR="004647A7">
              <w:t xml:space="preserve">up to </w:t>
            </w:r>
            <w:r w:rsidR="0014615C">
              <w:t xml:space="preserve">CHF </w:t>
            </w:r>
            <w:r w:rsidR="00426C0C">
              <w:t>300,000</w:t>
            </w:r>
            <w:r w:rsidR="00C077CB">
              <w:t xml:space="preserve"> a year</w:t>
            </w:r>
            <w:r w:rsidR="00FF0D4D">
              <w:t xml:space="preserve">. </w:t>
            </w:r>
            <w:r w:rsidR="00E36A3E">
              <w:t>That said,</w:t>
            </w:r>
            <w:r w:rsidR="00D57B29">
              <w:t xml:space="preserve"> </w:t>
            </w:r>
            <w:r w:rsidR="5F219FBA">
              <w:t xml:space="preserve">it is not clear how </w:t>
            </w:r>
            <w:r w:rsidR="00E46A43">
              <w:t xml:space="preserve">many </w:t>
            </w:r>
            <w:r w:rsidR="005C583B">
              <w:t>of the</w:t>
            </w:r>
            <w:r w:rsidR="005F17FC">
              <w:t xml:space="preserve"> currently active business associations</w:t>
            </w:r>
            <w:r w:rsidR="0087218B">
              <w:t xml:space="preserve"> </w:t>
            </w:r>
            <w:r w:rsidR="00E46A43">
              <w:t>would b</w:t>
            </w:r>
            <w:r w:rsidR="00F7439B">
              <w:t xml:space="preserve">e willing to pay for </w:t>
            </w:r>
            <w:r w:rsidR="002F2D5B">
              <w:t>their membership</w:t>
            </w:r>
            <w:r w:rsidR="0045001B">
              <w:t>, and</w:t>
            </w:r>
            <w:r w:rsidR="00857D88">
              <w:t xml:space="preserve"> </w:t>
            </w:r>
            <w:r w:rsidR="00D056A4">
              <w:t xml:space="preserve">among those who choose to </w:t>
            </w:r>
            <w:r w:rsidR="00D14B9B">
              <w:t>continue on a fe</w:t>
            </w:r>
            <w:r w:rsidR="00D34936">
              <w:t xml:space="preserve">e-paying basis, </w:t>
            </w:r>
            <w:r w:rsidR="0045534A">
              <w:t>some</w:t>
            </w:r>
            <w:r w:rsidR="00AD4F1D">
              <w:t xml:space="preserve"> could</w:t>
            </w:r>
            <w:r w:rsidR="6A69667A">
              <w:t xml:space="preserve"> decide to </w:t>
            </w:r>
            <w:r w:rsidR="00BA51B1">
              <w:t xml:space="preserve">reduce </w:t>
            </w:r>
            <w:r w:rsidR="0005534D">
              <w:t xml:space="preserve">the number of </w:t>
            </w:r>
            <w:r w:rsidR="00DC5F7C">
              <w:t>memberships they hold</w:t>
            </w:r>
            <w:r w:rsidR="00123E63">
              <w:t>, so it is difficult to calculate this revenue potential</w:t>
            </w:r>
            <w:r w:rsidR="00A22724">
              <w:t xml:space="preserve"> </w:t>
            </w:r>
            <w:r w:rsidR="00D8154C">
              <w:t>with any certainty.</w:t>
            </w:r>
          </w:p>
          <w:p w14:paraId="2F08DBF8" w14:textId="5A8A6D4B" w:rsidR="009F13CF" w:rsidRDefault="00AD3606" w:rsidP="00F9408E">
            <w:pPr>
              <w:spacing w:before="160"/>
              <w:rPr>
                <w:b/>
                <w:bCs/>
                <w:sz w:val="26"/>
                <w:szCs w:val="26"/>
              </w:rPr>
            </w:pPr>
            <w:r w:rsidRPr="00F16BAB">
              <w:rPr>
                <w:b/>
                <w:bCs/>
                <w:sz w:val="26"/>
                <w:szCs w:val="26"/>
              </w:rPr>
              <w:t>References</w:t>
            </w:r>
            <w:r w:rsidR="00F9408E">
              <w:rPr>
                <w:b/>
                <w:bCs/>
                <w:sz w:val="26"/>
                <w:szCs w:val="26"/>
              </w:rPr>
              <w:t xml:space="preserve"> </w:t>
            </w:r>
          </w:p>
          <w:p w14:paraId="0175CD6C" w14:textId="62498EE8" w:rsidR="00AD3606" w:rsidRDefault="00EE6C27" w:rsidP="009F13CF">
            <w:pPr>
              <w:spacing w:after="160"/>
            </w:pPr>
            <w:hyperlink r:id="rId9" w:tgtFrame="_blank" w:history="1">
              <w:r w:rsidR="009F13CF">
                <w:rPr>
                  <w:rStyle w:val="normaltextrun"/>
                  <w:rFonts w:cs="Calibri"/>
                  <w:i/>
                  <w:iCs/>
                  <w:color w:val="0000FF"/>
                  <w:u w:val="single"/>
                  <w:shd w:val="clear" w:color="auto" w:fill="FFFFFF"/>
                </w:rPr>
                <w:t>C2000/28(Rev.1)</w:t>
              </w:r>
            </w:hyperlink>
            <w:r w:rsidR="009F13CF">
              <w:rPr>
                <w:rStyle w:val="normaltextrun"/>
                <w:rFonts w:cs="Calibri"/>
                <w:color w:val="0000FF"/>
                <w:shd w:val="clear" w:color="auto" w:fill="FFFFFF"/>
              </w:rPr>
              <w:t>,</w:t>
            </w:r>
            <w:r w:rsidR="009F13CF">
              <w:rPr>
                <w:rStyle w:val="normaltextrun"/>
                <w:rFonts w:cs="Calibri"/>
                <w:i/>
                <w:iCs/>
                <w:color w:val="0000FF"/>
                <w:u w:val="single"/>
                <w:shd w:val="clear" w:color="auto" w:fill="FFFFFF"/>
              </w:rPr>
              <w:t xml:space="preserve"> </w:t>
            </w:r>
            <w:hyperlink r:id="rId10" w:tgtFrame="_blank" w:history="1">
              <w:r w:rsidR="009F13CF">
                <w:rPr>
                  <w:rStyle w:val="normaltextrun"/>
                  <w:rFonts w:cs="Calibri"/>
                  <w:i/>
                  <w:iCs/>
                  <w:color w:val="0000FF"/>
                  <w:u w:val="single"/>
                  <w:shd w:val="clear" w:color="auto" w:fill="FFFFFF"/>
                </w:rPr>
                <w:t>Coun</w:t>
              </w:r>
              <w:r w:rsidR="009F13CF">
                <w:rPr>
                  <w:rStyle w:val="normaltextrun"/>
                  <w:rFonts w:cs="Calibri"/>
                  <w:i/>
                  <w:iCs/>
                  <w:color w:val="0000FF"/>
                  <w:u w:val="single"/>
                  <w:shd w:val="clear" w:color="auto" w:fill="FFFFFF"/>
                </w:rPr>
                <w:t>c</w:t>
              </w:r>
              <w:r w:rsidR="009F13CF">
                <w:rPr>
                  <w:rStyle w:val="normaltextrun"/>
                  <w:rFonts w:cs="Calibri"/>
                  <w:i/>
                  <w:iCs/>
                  <w:color w:val="0000FF"/>
                  <w:u w:val="single"/>
                  <w:shd w:val="clear" w:color="auto" w:fill="FFFFFF"/>
                </w:rPr>
                <w:t>il Resolution 925</w:t>
              </w:r>
            </w:hyperlink>
            <w:r w:rsidR="009F13CF">
              <w:rPr>
                <w:rStyle w:val="normaltextrun"/>
                <w:rFonts w:cs="Calibri"/>
                <w:i/>
                <w:iCs/>
                <w:color w:val="0000FF"/>
                <w:u w:val="single"/>
                <w:shd w:val="clear" w:color="auto" w:fill="FFFFFF"/>
              </w:rPr>
              <w:t>,</w:t>
            </w:r>
            <w:r w:rsidR="009F13CF">
              <w:rPr>
                <w:rStyle w:val="normaltextrun"/>
                <w:rFonts w:cs="Calibri"/>
                <w:i/>
                <w:iCs/>
                <w:color w:val="0000FF"/>
                <w:shd w:val="clear" w:color="auto" w:fill="FFFFFF"/>
              </w:rPr>
              <w:t xml:space="preserve"> </w:t>
            </w:r>
            <w:hyperlink r:id="rId11" w:tgtFrame="_blank" w:history="1">
              <w:r w:rsidR="009F13CF">
                <w:rPr>
                  <w:rStyle w:val="normaltextrun"/>
                  <w:rFonts w:cs="Calibri"/>
                  <w:i/>
                  <w:iCs/>
                  <w:color w:val="0000FF"/>
                  <w:u w:val="single"/>
                  <w:shd w:val="clear" w:color="auto" w:fill="FFFFFF"/>
                </w:rPr>
                <w:t>Council Cri</w:t>
              </w:r>
              <w:r w:rsidR="009F13CF">
                <w:rPr>
                  <w:rStyle w:val="normaltextrun"/>
                  <w:rFonts w:cs="Calibri"/>
                  <w:i/>
                  <w:iCs/>
                  <w:color w:val="0000FF"/>
                  <w:u w:val="single"/>
                  <w:shd w:val="clear" w:color="auto" w:fill="FFFFFF"/>
                </w:rPr>
                <w:t>t</w:t>
              </w:r>
              <w:r w:rsidR="009F13CF">
                <w:rPr>
                  <w:rStyle w:val="normaltextrun"/>
                  <w:rFonts w:cs="Calibri"/>
                  <w:i/>
                  <w:iCs/>
                  <w:color w:val="0000FF"/>
                  <w:u w:val="single"/>
                  <w:shd w:val="clear" w:color="auto" w:fill="FFFFFF"/>
                </w:rPr>
                <w:t>eria for Exemptions (Rev 2017)</w:t>
              </w:r>
            </w:hyperlink>
            <w:r w:rsidR="00467C2A">
              <w:rPr>
                <w:rStyle w:val="normaltextrun"/>
                <w:rFonts w:cs="Calibri"/>
                <w:i/>
                <w:iCs/>
                <w:color w:val="0000FF"/>
                <w:u w:val="single"/>
                <w:shd w:val="clear" w:color="auto" w:fill="FFFFFF"/>
              </w:rPr>
              <w:t>,</w:t>
            </w:r>
            <w:r w:rsidR="00467C2A" w:rsidRPr="00467C2A">
              <w:rPr>
                <w:rStyle w:val="normaltextrun"/>
                <w:rFonts w:cs="Calibri"/>
                <w:i/>
                <w:iCs/>
                <w:color w:val="0000FF"/>
                <w:u w:val="single"/>
                <w:shd w:val="clear" w:color="auto" w:fill="FFFFFF"/>
              </w:rPr>
              <w:t xml:space="preserve"> </w:t>
            </w:r>
            <w:hyperlink r:id="rId12">
              <w:r w:rsidR="00467C2A" w:rsidRPr="00467C2A">
                <w:rPr>
                  <w:rStyle w:val="Hyperlink"/>
                  <w:rFonts w:eastAsia="Calibri" w:cs="Calibri"/>
                  <w:i/>
                  <w:iCs/>
                </w:rPr>
                <w:t>C</w:t>
              </w:r>
              <w:r w:rsidR="00467C2A" w:rsidRPr="00467C2A">
                <w:rPr>
                  <w:rStyle w:val="Hyperlink"/>
                  <w:rFonts w:eastAsia="Calibri" w:cs="Calibri"/>
                  <w:i/>
                  <w:iCs/>
                </w:rPr>
                <w:t>2</w:t>
              </w:r>
              <w:r w:rsidR="007635AF">
                <w:rPr>
                  <w:rStyle w:val="Hyperlink"/>
                  <w:rFonts w:eastAsia="Calibri" w:cs="Calibri"/>
                  <w:i/>
                  <w:iCs/>
                </w:rPr>
                <w:t>2</w:t>
              </w:r>
              <w:r w:rsidR="00467C2A" w:rsidRPr="00467C2A">
                <w:rPr>
                  <w:rStyle w:val="Hyperlink"/>
                  <w:rFonts w:eastAsia="Calibri" w:cs="Calibri"/>
                  <w:i/>
                  <w:iCs/>
                </w:rPr>
                <w:t>/100</w:t>
              </w:r>
            </w:hyperlink>
          </w:p>
        </w:tc>
      </w:tr>
    </w:tbl>
    <w:p w14:paraId="4CDB8B60" w14:textId="77777777" w:rsidR="00E227F3" w:rsidRPr="009F13C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6FB72D4" w14:textId="5DAC763C" w:rsidR="0002241B" w:rsidRPr="00F9408E" w:rsidRDefault="0090147A" w:rsidP="007635AF">
      <w:pPr>
        <w:tabs>
          <w:tab w:val="clear" w:pos="567"/>
          <w:tab w:val="clear" w:pos="1134"/>
          <w:tab w:val="clear" w:pos="1701"/>
          <w:tab w:val="clear" w:pos="2268"/>
          <w:tab w:val="clear" w:pos="2835"/>
        </w:tabs>
        <w:overflowPunct/>
        <w:autoSpaceDE/>
        <w:autoSpaceDN/>
        <w:adjustRightInd/>
        <w:spacing w:before="240" w:after="120"/>
        <w:textAlignment w:val="auto"/>
        <w:rPr>
          <w:b/>
          <w:bCs/>
          <w:sz w:val="28"/>
          <w:szCs w:val="22"/>
        </w:rPr>
      </w:pPr>
      <w:r w:rsidRPr="009F13CF">
        <w:br w:type="page"/>
      </w:r>
      <w:bookmarkEnd w:id="5"/>
      <w:bookmarkEnd w:id="10"/>
      <w:r w:rsidR="0002241B" w:rsidRPr="00F9408E">
        <w:rPr>
          <w:b/>
          <w:bCs/>
          <w:sz w:val="28"/>
          <w:szCs w:val="22"/>
        </w:rPr>
        <w:lastRenderedPageBreak/>
        <w:t>Background</w:t>
      </w:r>
    </w:p>
    <w:p w14:paraId="2A69FD52" w14:textId="43D692CE" w:rsidR="0002241B" w:rsidRDefault="0002241B" w:rsidP="007635AF">
      <w:pPr>
        <w:pStyle w:val="paragraph"/>
        <w:numPr>
          <w:ilvl w:val="1"/>
          <w:numId w:val="2"/>
        </w:numPr>
        <w:spacing w:before="120" w:beforeAutospacing="0" w:after="0" w:afterAutospacing="0"/>
        <w:ind w:left="357" w:hanging="357"/>
        <w:jc w:val="both"/>
        <w:textAlignment w:val="baseline"/>
        <w:rPr>
          <w:rStyle w:val="eop"/>
          <w:rFonts w:ascii="Calibri" w:hAnsi="Calibri" w:cs="Calibri"/>
        </w:rPr>
      </w:pPr>
      <w:r w:rsidRPr="0A9D0437">
        <w:rPr>
          <w:rStyle w:val="normaltextrun"/>
          <w:rFonts w:ascii="Calibri" w:hAnsi="Calibri" w:cs="Calibri"/>
        </w:rPr>
        <w:t xml:space="preserve">There are currently 138 entities of an international character that benefit from ITU membership exempt from fees, including six entities which were recently granted fee exemption by Council at its </w:t>
      </w:r>
      <w:r w:rsidR="00BC6BED">
        <w:rPr>
          <w:rStyle w:val="normaltextrun"/>
          <w:rFonts w:ascii="Calibri" w:hAnsi="Calibri" w:cs="Calibri"/>
        </w:rPr>
        <w:t xml:space="preserve">July </w:t>
      </w:r>
      <w:r w:rsidRPr="0A9D0437">
        <w:rPr>
          <w:rStyle w:val="normaltextrun"/>
          <w:rFonts w:ascii="Calibri" w:hAnsi="Calibri" w:cs="Calibri"/>
        </w:rPr>
        <w:t>2023 session.</w:t>
      </w:r>
      <w:r w:rsidRPr="0A9D0437">
        <w:rPr>
          <w:rStyle w:val="eop"/>
          <w:rFonts w:ascii="Calibri" w:hAnsi="Calibri" w:cs="Calibri"/>
        </w:rPr>
        <w:t> </w:t>
      </w:r>
    </w:p>
    <w:p w14:paraId="40174E7C" w14:textId="5D74BB4E" w:rsidR="0002241B" w:rsidRPr="009D4AB5" w:rsidRDefault="0002241B" w:rsidP="007635AF">
      <w:pPr>
        <w:pStyle w:val="paragraph"/>
        <w:numPr>
          <w:ilvl w:val="1"/>
          <w:numId w:val="2"/>
        </w:numPr>
        <w:spacing w:before="120" w:beforeAutospacing="0" w:after="0" w:afterAutospacing="0"/>
        <w:ind w:left="357" w:hanging="357"/>
        <w:jc w:val="both"/>
        <w:textAlignment w:val="baseline"/>
        <w:rPr>
          <w:rStyle w:val="eop"/>
          <w:rFonts w:ascii="Segoe UI" w:hAnsi="Segoe UI" w:cs="Segoe UI"/>
          <w:sz w:val="18"/>
          <w:szCs w:val="18"/>
        </w:rPr>
      </w:pPr>
      <w:r w:rsidRPr="009D4AB5">
        <w:rPr>
          <w:rStyle w:val="normaltextrun"/>
          <w:rFonts w:ascii="Calibri" w:hAnsi="Calibri" w:cs="Calibri"/>
        </w:rPr>
        <w:t>Council 2017 revised the criteria for fee exemption, including a new provision that the entity’s members must be not-for-profit</w:t>
      </w:r>
      <w:r w:rsidR="006F742F">
        <w:rPr>
          <w:rStyle w:val="normaltextrun"/>
          <w:rFonts w:ascii="Calibri" w:hAnsi="Calibri" w:cs="Calibri"/>
        </w:rPr>
        <w:t xml:space="preserve"> (thus disqualifying “business associations)</w:t>
      </w:r>
      <w:r w:rsidRPr="009D4AB5">
        <w:rPr>
          <w:rStyle w:val="normaltextrun"/>
          <w:rFonts w:ascii="Calibri" w:hAnsi="Calibri" w:cs="Calibri"/>
        </w:rPr>
        <w:t>, that they have proven legal status, and that they have significant presence and activities in multiple member states. At its 2019 session, the Council decided to apply the revised criteria to new applications while maintaining the existing list for another four years.</w:t>
      </w:r>
      <w:r w:rsidRPr="009D4AB5">
        <w:rPr>
          <w:rStyle w:val="eop"/>
          <w:rFonts w:ascii="Calibri" w:hAnsi="Calibri" w:cs="Calibri"/>
        </w:rPr>
        <w:t> </w:t>
      </w:r>
      <w:r w:rsidR="008A5754">
        <w:rPr>
          <w:rStyle w:val="eop"/>
          <w:rFonts w:ascii="Calibri" w:hAnsi="Calibri" w:cs="Calibri"/>
        </w:rPr>
        <w:t xml:space="preserve">The criteria are </w:t>
      </w:r>
      <w:r w:rsidR="00F808B2">
        <w:rPr>
          <w:rStyle w:val="eop"/>
          <w:rFonts w:ascii="Calibri" w:hAnsi="Calibri" w:cs="Calibri"/>
        </w:rPr>
        <w:t>summarised</w:t>
      </w:r>
      <w:r w:rsidR="008A5754">
        <w:rPr>
          <w:rStyle w:val="eop"/>
          <w:rFonts w:ascii="Calibri" w:hAnsi="Calibri" w:cs="Calibri"/>
        </w:rPr>
        <w:t xml:space="preserve"> in Annex 1.</w:t>
      </w:r>
    </w:p>
    <w:p w14:paraId="58A20C34" w14:textId="0E5EFBAD" w:rsidR="0002241B" w:rsidRPr="000513F3" w:rsidRDefault="0002241B" w:rsidP="007635AF">
      <w:pPr>
        <w:pStyle w:val="paragraph"/>
        <w:numPr>
          <w:ilvl w:val="1"/>
          <w:numId w:val="2"/>
        </w:numPr>
        <w:spacing w:before="120" w:beforeAutospacing="0" w:after="0" w:afterAutospacing="0"/>
        <w:ind w:left="357" w:hanging="357"/>
        <w:jc w:val="both"/>
        <w:textAlignment w:val="baseline"/>
        <w:rPr>
          <w:rFonts w:ascii="Calibri" w:hAnsi="Calibri" w:cs="Calibri"/>
        </w:rPr>
      </w:pPr>
      <w:r w:rsidRPr="38A85560">
        <w:rPr>
          <w:rStyle w:val="normaltextrun"/>
          <w:rFonts w:ascii="Calibri" w:hAnsi="Calibri" w:cs="Calibri"/>
        </w:rPr>
        <w:t>At its 24 September 2022 session, Council examined documen</w:t>
      </w:r>
      <w:r w:rsidR="00D52168">
        <w:rPr>
          <w:rStyle w:val="normaltextrun"/>
          <w:rFonts w:ascii="Calibri" w:hAnsi="Calibri" w:cs="Calibri"/>
        </w:rPr>
        <w:t>t C23/100</w:t>
      </w:r>
      <w:r w:rsidRPr="38A85560">
        <w:rPr>
          <w:rStyle w:val="normaltextrun"/>
          <w:rFonts w:ascii="Calibri" w:hAnsi="Calibri" w:cs="Calibri"/>
        </w:rPr>
        <w:t xml:space="preserve">, which </w:t>
      </w:r>
      <w:r w:rsidR="005A272D">
        <w:rPr>
          <w:rStyle w:val="normaltextrun"/>
          <w:rFonts w:ascii="Calibri" w:hAnsi="Calibri" w:cs="Calibri"/>
        </w:rPr>
        <w:t>repor</w:t>
      </w:r>
      <w:r w:rsidR="00697CD6">
        <w:rPr>
          <w:rStyle w:val="normaltextrun"/>
          <w:rFonts w:ascii="Calibri" w:hAnsi="Calibri" w:cs="Calibri"/>
        </w:rPr>
        <w:t xml:space="preserve">ted on </w:t>
      </w:r>
      <w:r w:rsidRPr="38A85560">
        <w:rPr>
          <w:rStyle w:val="normaltextrun"/>
          <w:rFonts w:ascii="Calibri" w:hAnsi="Calibri" w:cs="Calibri"/>
        </w:rPr>
        <w:t xml:space="preserve">the secretariat’s review of the </w:t>
      </w:r>
      <w:r w:rsidR="002E31B5">
        <w:rPr>
          <w:rStyle w:val="normaltextrun"/>
          <w:rFonts w:ascii="Calibri" w:hAnsi="Calibri" w:cs="Calibri"/>
        </w:rPr>
        <w:t xml:space="preserve">entire </w:t>
      </w:r>
      <w:r w:rsidRPr="38A85560">
        <w:rPr>
          <w:rStyle w:val="normaltextrun"/>
          <w:rFonts w:ascii="Calibri" w:hAnsi="Calibri" w:cs="Calibri"/>
        </w:rPr>
        <w:t>list of organizations of an international character granted exemption from membership fees by Council. </w:t>
      </w:r>
      <w:r w:rsidRPr="38A85560">
        <w:rPr>
          <w:rStyle w:val="eop"/>
          <w:rFonts w:ascii="Calibri" w:hAnsi="Calibri" w:cs="Calibri"/>
        </w:rPr>
        <w:t> </w:t>
      </w:r>
      <w:r w:rsidR="004D4176">
        <w:rPr>
          <w:rStyle w:val="eop"/>
          <w:rFonts w:ascii="Calibri" w:hAnsi="Calibri" w:cs="Calibri"/>
        </w:rPr>
        <w:t>O</w:t>
      </w:r>
      <w:r w:rsidR="006348A9" w:rsidRPr="000513F3">
        <w:rPr>
          <w:rStyle w:val="eop"/>
          <w:rFonts w:ascii="Calibri" w:hAnsi="Calibri" w:cs="Calibri"/>
        </w:rPr>
        <w:t xml:space="preserve">f the 132 </w:t>
      </w:r>
      <w:r w:rsidR="00C5682F" w:rsidRPr="000513F3">
        <w:rPr>
          <w:rStyle w:val="eop"/>
          <w:rFonts w:ascii="Calibri" w:hAnsi="Calibri" w:cs="Calibri"/>
        </w:rPr>
        <w:t xml:space="preserve">entities on the list as of the 24 September 2022 session of Council, </w:t>
      </w:r>
      <w:r w:rsidR="006348A9" w:rsidRPr="000513F3">
        <w:rPr>
          <w:rFonts w:asciiTheme="minorHAnsi" w:hAnsiTheme="minorHAnsi" w:cstheme="minorBidi"/>
          <w:lang w:val="en-AU" w:eastAsia="en-AU"/>
        </w:rPr>
        <w:t xml:space="preserve">84 </w:t>
      </w:r>
      <w:r w:rsidR="00851703" w:rsidRPr="000513F3">
        <w:rPr>
          <w:rFonts w:asciiTheme="minorHAnsi" w:hAnsiTheme="minorHAnsi" w:cstheme="minorBidi"/>
          <w:lang w:val="en-AU" w:eastAsia="en-AU"/>
        </w:rPr>
        <w:t>are</w:t>
      </w:r>
      <w:r w:rsidR="006348A9" w:rsidRPr="000513F3">
        <w:rPr>
          <w:rFonts w:asciiTheme="minorHAnsi" w:hAnsiTheme="minorHAnsi" w:cstheme="minorBidi"/>
          <w:lang w:val="en-AU" w:eastAsia="en-AU"/>
        </w:rPr>
        <w:t xml:space="preserve"> </w:t>
      </w:r>
      <w:r w:rsidR="00E81F39">
        <w:rPr>
          <w:rFonts w:asciiTheme="minorHAnsi" w:hAnsiTheme="minorHAnsi" w:cstheme="minorBidi"/>
          <w:lang w:val="en-AU" w:eastAsia="en-AU"/>
        </w:rPr>
        <w:t xml:space="preserve">deemed </w:t>
      </w:r>
      <w:r w:rsidR="006348A9" w:rsidRPr="000513F3">
        <w:rPr>
          <w:rFonts w:asciiTheme="minorHAnsi" w:hAnsiTheme="minorHAnsi" w:cstheme="minorBidi"/>
          <w:lang w:val="en-AU" w:eastAsia="en-AU"/>
        </w:rPr>
        <w:t>to meet the criteria</w:t>
      </w:r>
      <w:r w:rsidR="00143F89">
        <w:rPr>
          <w:rFonts w:asciiTheme="minorHAnsi" w:hAnsiTheme="minorHAnsi" w:cstheme="minorBidi"/>
          <w:lang w:val="en-AU" w:eastAsia="en-AU"/>
        </w:rPr>
        <w:t xml:space="preserve"> and submi</w:t>
      </w:r>
      <w:r w:rsidR="00387313">
        <w:rPr>
          <w:rFonts w:asciiTheme="minorHAnsi" w:hAnsiTheme="minorHAnsi" w:cstheme="minorBidi"/>
          <w:lang w:val="en-AU" w:eastAsia="en-AU"/>
        </w:rPr>
        <w:t>tted the required information</w:t>
      </w:r>
      <w:r w:rsidR="006348A9" w:rsidRPr="000513F3">
        <w:rPr>
          <w:rFonts w:asciiTheme="minorHAnsi" w:hAnsiTheme="minorHAnsi" w:cstheme="minorBidi"/>
          <w:lang w:val="en-AU" w:eastAsia="en-AU"/>
        </w:rPr>
        <w:t>. The list of these organizations is available in Annex 2.</w:t>
      </w:r>
      <w:r w:rsidR="00851703" w:rsidRPr="000513F3">
        <w:rPr>
          <w:rFonts w:asciiTheme="minorHAnsi" w:hAnsiTheme="minorHAnsi" w:cstheme="minorBidi"/>
          <w:lang w:val="en-AU" w:eastAsia="en-AU"/>
        </w:rPr>
        <w:t xml:space="preserve"> In addition, </w:t>
      </w:r>
      <w:r w:rsidR="006348A9" w:rsidRPr="000513F3">
        <w:rPr>
          <w:rFonts w:asciiTheme="minorHAnsi" w:hAnsiTheme="minorHAnsi" w:cstheme="minorBidi"/>
          <w:lang w:val="en-AU" w:eastAsia="en-AU"/>
        </w:rPr>
        <w:t>19 organizations requested the extension of their exemption status and provided the required information; however, they are not considered to meet one or more criteria. This list is available in Annex 3.</w:t>
      </w:r>
      <w:r w:rsidR="00851703" w:rsidRPr="000513F3">
        <w:rPr>
          <w:rFonts w:asciiTheme="minorHAnsi" w:hAnsiTheme="minorHAnsi" w:cstheme="minorBidi"/>
          <w:lang w:val="en-AU" w:eastAsia="en-AU"/>
        </w:rPr>
        <w:t xml:space="preserve"> Las</w:t>
      </w:r>
      <w:r w:rsidR="00D750E7" w:rsidRPr="000513F3">
        <w:rPr>
          <w:rFonts w:asciiTheme="minorHAnsi" w:hAnsiTheme="minorHAnsi" w:cstheme="minorBidi"/>
          <w:lang w:val="en-AU" w:eastAsia="en-AU"/>
        </w:rPr>
        <w:t xml:space="preserve">tly, </w:t>
      </w:r>
      <w:r w:rsidR="006348A9" w:rsidRPr="000513F3">
        <w:rPr>
          <w:rFonts w:asciiTheme="minorHAnsi" w:hAnsiTheme="minorHAnsi" w:cstheme="minorBidi"/>
          <w:lang w:val="en-AU" w:eastAsia="en-AU"/>
        </w:rPr>
        <w:t>29 organizations did not submit a formal request for an extension of their exemption status. This list is available in Annex 4</w:t>
      </w:r>
      <w:r w:rsidR="007B3DF2" w:rsidRPr="000513F3">
        <w:rPr>
          <w:rFonts w:asciiTheme="minorHAnsi" w:hAnsiTheme="minorHAnsi" w:cstheme="minorBidi"/>
          <w:lang w:val="en-AU" w:eastAsia="en-AU"/>
        </w:rPr>
        <w:t>.</w:t>
      </w:r>
    </w:p>
    <w:p w14:paraId="0D48EB1F" w14:textId="12528723" w:rsidR="0002241B" w:rsidRPr="009E3827" w:rsidRDefault="0002241B" w:rsidP="007635AF">
      <w:pPr>
        <w:pStyle w:val="paragraph"/>
        <w:numPr>
          <w:ilvl w:val="1"/>
          <w:numId w:val="2"/>
        </w:numPr>
        <w:spacing w:before="120" w:beforeAutospacing="0" w:after="0" w:afterAutospacing="0"/>
        <w:ind w:left="357" w:hanging="357"/>
        <w:jc w:val="both"/>
        <w:textAlignment w:val="baseline"/>
        <w:rPr>
          <w:rStyle w:val="eop"/>
          <w:rFonts w:ascii="Calibri" w:hAnsi="Calibri" w:cs="Calibri"/>
        </w:rPr>
      </w:pPr>
      <w:r w:rsidRPr="24D57ED7">
        <w:rPr>
          <w:rStyle w:val="normaltextrun"/>
          <w:rFonts w:ascii="Calibri" w:hAnsi="Calibri" w:cs="Calibri"/>
        </w:rPr>
        <w:t>Following the presentation of the documen</w:t>
      </w:r>
      <w:r w:rsidR="000D6147">
        <w:rPr>
          <w:rStyle w:val="normaltextrun"/>
          <w:rFonts w:ascii="Calibri" w:hAnsi="Calibri" w:cs="Calibri"/>
        </w:rPr>
        <w:t>t C23/100</w:t>
      </w:r>
      <w:r w:rsidR="00A718D2">
        <w:rPr>
          <w:rStyle w:val="normaltextrun"/>
          <w:rFonts w:ascii="Calibri" w:hAnsi="Calibri" w:cs="Calibri"/>
        </w:rPr>
        <w:t xml:space="preserve"> at</w:t>
      </w:r>
      <w:r w:rsidR="0038211D">
        <w:rPr>
          <w:rStyle w:val="normaltextrun"/>
          <w:rFonts w:ascii="Calibri" w:hAnsi="Calibri" w:cs="Calibri"/>
        </w:rPr>
        <w:t xml:space="preserve"> the 24 September 2022 session of Council</w:t>
      </w:r>
      <w:r w:rsidRPr="24D57ED7">
        <w:rPr>
          <w:rStyle w:val="normaltextrun"/>
          <w:rFonts w:ascii="Calibri" w:hAnsi="Calibri" w:cs="Calibri"/>
        </w:rPr>
        <w:t xml:space="preserve">, some delegations raised concerns about the possibility of removing exemption </w:t>
      </w:r>
      <w:r w:rsidR="00820B8E">
        <w:rPr>
          <w:rStyle w:val="normaltextrun"/>
          <w:rFonts w:ascii="Calibri" w:hAnsi="Calibri" w:cs="Calibri"/>
        </w:rPr>
        <w:t xml:space="preserve">from </w:t>
      </w:r>
      <w:r w:rsidRPr="24D57ED7">
        <w:rPr>
          <w:rStyle w:val="normaltextrun"/>
          <w:rFonts w:ascii="Calibri" w:hAnsi="Calibri" w:cs="Calibri"/>
        </w:rPr>
        <w:t>some current members given their contributions to the Union, including active participation, and their role in providing regional representation and balance.</w:t>
      </w:r>
      <w:r w:rsidRPr="24D57ED7">
        <w:rPr>
          <w:rStyle w:val="eop"/>
          <w:rFonts w:ascii="Calibri" w:hAnsi="Calibri" w:cs="Calibri"/>
        </w:rPr>
        <w:t> </w:t>
      </w:r>
      <w:r w:rsidRPr="009E3827">
        <w:rPr>
          <w:rStyle w:val="normaltextrun"/>
          <w:rFonts w:ascii="Calibri" w:hAnsi="Calibri" w:cs="Calibri"/>
        </w:rPr>
        <w:t>After</w:t>
      </w:r>
      <w:r w:rsidR="002B1722">
        <w:rPr>
          <w:rStyle w:val="normaltextrun"/>
          <w:rFonts w:ascii="Calibri" w:hAnsi="Calibri" w:cs="Calibri"/>
        </w:rPr>
        <w:t xml:space="preserve"> </w:t>
      </w:r>
      <w:r w:rsidRPr="009E3827">
        <w:rPr>
          <w:rStyle w:val="normaltextrun"/>
          <w:rFonts w:ascii="Calibri" w:hAnsi="Calibri" w:cs="Calibri"/>
        </w:rPr>
        <w:t xml:space="preserve">interventions from delegations, Council decided to refer this document to the CWG-FHR. </w:t>
      </w:r>
    </w:p>
    <w:p w14:paraId="1D9BAFF2" w14:textId="615C1C08" w:rsidR="0002241B" w:rsidRDefault="0002241B" w:rsidP="007635AF">
      <w:pPr>
        <w:pStyle w:val="paragraph"/>
        <w:spacing w:before="240" w:beforeAutospacing="0" w:after="120" w:afterAutospacing="0"/>
        <w:jc w:val="both"/>
        <w:textAlignment w:val="baseline"/>
        <w:rPr>
          <w:rStyle w:val="normaltextrun"/>
          <w:rFonts w:ascii="Calibri" w:hAnsi="Calibri" w:cs="Calibri"/>
          <w:b/>
          <w:bCs/>
          <w:sz w:val="28"/>
          <w:szCs w:val="28"/>
        </w:rPr>
      </w:pPr>
      <w:r>
        <w:rPr>
          <w:rStyle w:val="eop"/>
          <w:rFonts w:ascii="Calibri" w:hAnsi="Calibri" w:cs="Calibri"/>
        </w:rPr>
        <w:t> </w:t>
      </w:r>
      <w:r w:rsidRPr="00AC643E">
        <w:rPr>
          <w:rStyle w:val="normaltextrun"/>
          <w:rFonts w:ascii="Calibri" w:hAnsi="Calibri" w:cs="Calibri"/>
          <w:b/>
          <w:bCs/>
          <w:sz w:val="28"/>
          <w:szCs w:val="28"/>
        </w:rPr>
        <w:t>Recommendation</w:t>
      </w:r>
    </w:p>
    <w:p w14:paraId="56C1094E" w14:textId="2A38BA0A" w:rsidR="00B3780B" w:rsidRDefault="0002241B" w:rsidP="00713960">
      <w:pPr>
        <w:pStyle w:val="paragraph"/>
        <w:spacing w:before="0" w:beforeAutospacing="0" w:after="0" w:afterAutospacing="0"/>
        <w:jc w:val="both"/>
        <w:rPr>
          <w:rFonts w:asciiTheme="minorHAnsi" w:eastAsiaTheme="minorEastAsia" w:hAnsiTheme="minorHAnsi" w:cstheme="minorBidi"/>
          <w:color w:val="000000" w:themeColor="text1"/>
        </w:rPr>
      </w:pPr>
      <w:r w:rsidRPr="1EA3B521">
        <w:rPr>
          <w:rStyle w:val="normaltextrun"/>
          <w:rFonts w:asciiTheme="minorHAnsi" w:eastAsiaTheme="minorEastAsia" w:hAnsiTheme="minorHAnsi" w:cstheme="minorBidi"/>
        </w:rPr>
        <w:t xml:space="preserve">Taking into account the views expressed during Council at its </w:t>
      </w:r>
      <w:r w:rsidR="003816A2">
        <w:rPr>
          <w:rStyle w:val="normaltextrun"/>
          <w:rFonts w:asciiTheme="minorHAnsi" w:eastAsiaTheme="minorEastAsia" w:hAnsiTheme="minorHAnsi" w:cstheme="minorBidi"/>
        </w:rPr>
        <w:t xml:space="preserve">24 September </w:t>
      </w:r>
      <w:r w:rsidRPr="1EA3B521">
        <w:rPr>
          <w:rStyle w:val="normaltextrun"/>
          <w:rFonts w:asciiTheme="minorHAnsi" w:eastAsiaTheme="minorEastAsia" w:hAnsiTheme="minorHAnsi" w:cstheme="minorBidi"/>
        </w:rPr>
        <w:t xml:space="preserve">2022 session, </w:t>
      </w:r>
      <w:r w:rsidR="00AB3364">
        <w:rPr>
          <w:rStyle w:val="normaltextrun"/>
          <w:rFonts w:asciiTheme="minorHAnsi" w:eastAsiaTheme="minorEastAsia" w:hAnsiTheme="minorHAnsi" w:cstheme="minorBidi"/>
        </w:rPr>
        <w:t xml:space="preserve">and the relative costs and benefits concerned, </w:t>
      </w:r>
      <w:r w:rsidRPr="1EA3B521">
        <w:rPr>
          <w:rStyle w:val="normaltextrun"/>
          <w:rFonts w:asciiTheme="minorHAnsi" w:eastAsiaTheme="minorEastAsia" w:hAnsiTheme="minorHAnsi" w:cstheme="minorBidi"/>
        </w:rPr>
        <w:t xml:space="preserve">the Secretary-General recommends that Council </w:t>
      </w:r>
      <w:r w:rsidRPr="00CF2B78">
        <w:rPr>
          <w:rStyle w:val="normaltextrun"/>
          <w:rFonts w:asciiTheme="minorHAnsi" w:eastAsiaTheme="minorEastAsia" w:hAnsiTheme="minorHAnsi" w:cstheme="minorBidi"/>
          <w:i/>
          <w:iCs/>
        </w:rPr>
        <w:t>c</w:t>
      </w:r>
      <w:r w:rsidRPr="1EA3B521">
        <w:rPr>
          <w:rFonts w:asciiTheme="minorHAnsi" w:eastAsiaTheme="minorEastAsia" w:hAnsiTheme="minorHAnsi" w:cstheme="minorBidi"/>
          <w:i/>
          <w:iCs/>
          <w:color w:val="000000" w:themeColor="text1"/>
        </w:rPr>
        <w:t>ontinue the current practice of maintaining fee exemption for</w:t>
      </w:r>
      <w:r w:rsidRPr="1EA3B521">
        <w:rPr>
          <w:rFonts w:asciiTheme="minorHAnsi" w:eastAsiaTheme="minorEastAsia" w:hAnsiTheme="minorHAnsi" w:cstheme="minorBidi"/>
          <w:color w:val="000000" w:themeColor="text1"/>
        </w:rPr>
        <w:t xml:space="preserve"> </w:t>
      </w:r>
      <w:r w:rsidRPr="1EA3B521">
        <w:rPr>
          <w:rFonts w:asciiTheme="minorHAnsi" w:eastAsiaTheme="minorEastAsia" w:hAnsiTheme="minorHAnsi" w:cstheme="minorBidi"/>
          <w:i/>
          <w:iCs/>
          <w:color w:val="000000" w:themeColor="text1"/>
        </w:rPr>
        <w:t>entities which were approved prior to the revised criteria of 2017</w:t>
      </w:r>
      <w:r w:rsidR="00650B0B">
        <w:rPr>
          <w:rFonts w:asciiTheme="minorHAnsi" w:eastAsiaTheme="minorEastAsia" w:hAnsiTheme="minorHAnsi" w:cstheme="minorBidi"/>
          <w:i/>
          <w:iCs/>
          <w:color w:val="000000" w:themeColor="text1"/>
        </w:rPr>
        <w:t xml:space="preserve"> (provide</w:t>
      </w:r>
      <w:r w:rsidR="00AE0778">
        <w:rPr>
          <w:rFonts w:asciiTheme="minorHAnsi" w:eastAsiaTheme="minorEastAsia" w:hAnsiTheme="minorHAnsi" w:cstheme="minorBidi"/>
          <w:i/>
          <w:iCs/>
          <w:color w:val="000000" w:themeColor="text1"/>
        </w:rPr>
        <w:t>d they</w:t>
      </w:r>
      <w:r w:rsidR="00794410">
        <w:rPr>
          <w:rFonts w:asciiTheme="minorHAnsi" w:eastAsiaTheme="minorEastAsia" w:hAnsiTheme="minorHAnsi" w:cstheme="minorBidi"/>
          <w:i/>
          <w:iCs/>
          <w:color w:val="000000" w:themeColor="text1"/>
        </w:rPr>
        <w:t xml:space="preserve"> </w:t>
      </w:r>
      <w:r w:rsidR="001302C0">
        <w:rPr>
          <w:rFonts w:asciiTheme="minorHAnsi" w:eastAsiaTheme="minorEastAsia" w:hAnsiTheme="minorHAnsi" w:cstheme="minorBidi"/>
          <w:i/>
          <w:iCs/>
          <w:color w:val="000000" w:themeColor="text1"/>
        </w:rPr>
        <w:t>offe</w:t>
      </w:r>
      <w:r w:rsidR="00051D84">
        <w:rPr>
          <w:rFonts w:asciiTheme="minorHAnsi" w:eastAsiaTheme="minorEastAsia" w:hAnsiTheme="minorHAnsi" w:cstheme="minorBidi"/>
          <w:i/>
          <w:iCs/>
          <w:color w:val="000000" w:themeColor="text1"/>
        </w:rPr>
        <w:t>r</w:t>
      </w:r>
      <w:r w:rsidR="001302C0">
        <w:rPr>
          <w:rFonts w:asciiTheme="minorHAnsi" w:eastAsiaTheme="minorEastAsia" w:hAnsiTheme="minorHAnsi" w:cstheme="minorBidi"/>
          <w:i/>
          <w:iCs/>
          <w:color w:val="000000" w:themeColor="text1"/>
        </w:rPr>
        <w:t xml:space="preserve"> reciprocity</w:t>
      </w:r>
      <w:r w:rsidR="002C58DE">
        <w:rPr>
          <w:rFonts w:asciiTheme="minorHAnsi" w:eastAsiaTheme="minorEastAsia" w:hAnsiTheme="minorHAnsi" w:cstheme="minorBidi"/>
          <w:i/>
          <w:iCs/>
          <w:color w:val="000000" w:themeColor="text1"/>
        </w:rPr>
        <w:t>)</w:t>
      </w:r>
      <w:r w:rsidR="002C58DE" w:rsidRPr="1EA3B521">
        <w:rPr>
          <w:rFonts w:asciiTheme="minorHAnsi" w:eastAsiaTheme="minorEastAsia" w:hAnsiTheme="minorHAnsi" w:cstheme="minorBidi"/>
          <w:i/>
          <w:iCs/>
          <w:color w:val="000000" w:themeColor="text1"/>
        </w:rPr>
        <w:t xml:space="preserve"> and</w:t>
      </w:r>
      <w:r w:rsidRPr="1EA3B521">
        <w:rPr>
          <w:rFonts w:asciiTheme="minorHAnsi" w:eastAsiaTheme="minorEastAsia" w:hAnsiTheme="minorHAnsi" w:cstheme="minorBidi"/>
          <w:i/>
          <w:iCs/>
          <w:color w:val="000000" w:themeColor="text1"/>
        </w:rPr>
        <w:t xml:space="preserve"> continue to apply the revised criteria to new requests for exemption</w:t>
      </w:r>
      <w:r w:rsidRPr="1EA3B521">
        <w:rPr>
          <w:rFonts w:asciiTheme="minorHAnsi" w:eastAsiaTheme="minorEastAsia" w:hAnsiTheme="minorHAnsi" w:cstheme="minorBidi"/>
          <w:color w:val="000000" w:themeColor="text1"/>
        </w:rPr>
        <w:t>.</w:t>
      </w:r>
    </w:p>
    <w:p w14:paraId="2E89A6C2" w14:textId="77777777" w:rsidR="00B3780B" w:rsidRDefault="00B3780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color w:val="000000" w:themeColor="text1"/>
          <w:szCs w:val="24"/>
          <w:lang w:eastAsia="en-GB"/>
        </w:rPr>
      </w:pPr>
      <w:r>
        <w:rPr>
          <w:rFonts w:asciiTheme="minorHAnsi" w:eastAsiaTheme="minorEastAsia" w:hAnsiTheme="minorHAnsi" w:cstheme="minorBidi"/>
          <w:color w:val="000000" w:themeColor="text1"/>
        </w:rPr>
        <w:br w:type="page"/>
      </w:r>
    </w:p>
    <w:p w14:paraId="0685BB16" w14:textId="77777777" w:rsidR="002D3066" w:rsidRPr="00713960" w:rsidRDefault="002D3066" w:rsidP="00713960">
      <w:pPr>
        <w:pStyle w:val="paragraph"/>
        <w:spacing w:before="0" w:beforeAutospacing="0" w:after="0" w:afterAutospacing="0"/>
        <w:jc w:val="both"/>
        <w:rPr>
          <w:rFonts w:asciiTheme="minorHAnsi" w:eastAsiaTheme="minorEastAsia" w:hAnsiTheme="minorHAnsi" w:cstheme="minorBidi"/>
          <w:color w:val="000000" w:themeColor="text1"/>
        </w:rPr>
      </w:pPr>
    </w:p>
    <w:p w14:paraId="468EE774" w14:textId="77777777" w:rsidR="002D3066" w:rsidRPr="002D3066" w:rsidRDefault="002D3066" w:rsidP="002D3066">
      <w:pPr>
        <w:spacing w:before="240" w:after="240"/>
        <w:jc w:val="center"/>
        <w:rPr>
          <w:b/>
          <w:sz w:val="28"/>
        </w:rPr>
      </w:pPr>
      <w:r w:rsidRPr="002D3066">
        <w:rPr>
          <w:b/>
          <w:bCs/>
          <w:sz w:val="28"/>
        </w:rPr>
        <w:t>Annex 1.</w:t>
      </w:r>
      <w:r w:rsidRPr="002D3066">
        <w:rPr>
          <w:b/>
          <w:sz w:val="28"/>
        </w:rPr>
        <w:t xml:space="preserve"> Revised criteria approved by Council-17</w:t>
      </w:r>
    </w:p>
    <w:p w14:paraId="7352191D" w14:textId="1E49324C" w:rsidR="002D3066" w:rsidRPr="002D3066" w:rsidRDefault="002D3066" w:rsidP="002D3066">
      <w:pPr>
        <w:spacing w:before="840" w:beforeAutospacing="1" w:afterAutospacing="1"/>
        <w:jc w:val="both"/>
      </w:pPr>
      <w:r w:rsidRPr="002D3066">
        <w:t>Organi</w:t>
      </w:r>
      <w:r w:rsidR="007B5D81">
        <w:t>s</w:t>
      </w:r>
      <w:r w:rsidRPr="002D3066">
        <w:t>ations requesting fee exemption shall meet all the following criteria:</w:t>
      </w:r>
    </w:p>
    <w:tbl>
      <w:tblPr>
        <w:tblStyle w:val="TableGrid"/>
        <w:tblW w:w="0" w:type="auto"/>
        <w:tblLook w:val="04A0" w:firstRow="1" w:lastRow="0" w:firstColumn="1" w:lastColumn="0" w:noHBand="0" w:noVBand="1"/>
      </w:tblPr>
      <w:tblGrid>
        <w:gridCol w:w="1928"/>
        <w:gridCol w:w="7133"/>
      </w:tblGrid>
      <w:tr w:rsidR="002D3066" w:rsidRPr="002D3066" w14:paraId="47FA00DC" w14:textId="77777777">
        <w:tc>
          <w:tcPr>
            <w:tcW w:w="1975" w:type="dxa"/>
            <w:vAlign w:val="center"/>
          </w:tcPr>
          <w:p w14:paraId="2F9A74C8" w14:textId="77777777" w:rsidR="002D3066" w:rsidRPr="002D3066" w:rsidRDefault="002D3066" w:rsidP="002D3066">
            <w:pPr>
              <w:spacing w:before="840" w:beforeAutospacing="1" w:afterAutospacing="1"/>
              <w:jc w:val="center"/>
              <w:rPr>
                <w:rFonts w:eastAsia="SimSun"/>
                <w:b/>
              </w:rPr>
            </w:pPr>
            <w:r w:rsidRPr="002D3066">
              <w:rPr>
                <w:rFonts w:eastAsia="SimSun"/>
                <w:b/>
              </w:rPr>
              <w:t>Criteria 1</w:t>
            </w:r>
          </w:p>
        </w:tc>
        <w:tc>
          <w:tcPr>
            <w:tcW w:w="7370" w:type="dxa"/>
            <w:vAlign w:val="center"/>
          </w:tcPr>
          <w:p w14:paraId="537EF140" w14:textId="159A8F4F" w:rsidR="002D3066" w:rsidRPr="002D3066" w:rsidRDefault="002D3066" w:rsidP="002D3066">
            <w:pPr>
              <w:spacing w:before="840" w:beforeAutospacing="1" w:afterAutospacing="1"/>
              <w:rPr>
                <w:rFonts w:eastAsia="SimSun"/>
              </w:rPr>
            </w:pPr>
            <w:r w:rsidRPr="002D3066">
              <w:rPr>
                <w:rFonts w:eastAsia="SimSun"/>
              </w:rPr>
              <w:t xml:space="preserve">Be an </w:t>
            </w:r>
            <w:r w:rsidR="00F808B2" w:rsidRPr="002D3066">
              <w:rPr>
                <w:rFonts w:eastAsia="SimSun"/>
              </w:rPr>
              <w:t>organisation</w:t>
            </w:r>
            <w:r w:rsidRPr="002D3066">
              <w:rPr>
                <w:rFonts w:eastAsia="SimSun"/>
              </w:rPr>
              <w:t xml:space="preserve"> of international character dealing with telecommunications;</w:t>
            </w:r>
          </w:p>
        </w:tc>
      </w:tr>
      <w:tr w:rsidR="002D3066" w:rsidRPr="002D3066" w14:paraId="078DC18E" w14:textId="77777777">
        <w:tc>
          <w:tcPr>
            <w:tcW w:w="1975" w:type="dxa"/>
            <w:vAlign w:val="center"/>
          </w:tcPr>
          <w:p w14:paraId="5CFFE53E" w14:textId="77777777" w:rsidR="002D3066" w:rsidRPr="002D3066" w:rsidRDefault="002D3066" w:rsidP="002D3066">
            <w:pPr>
              <w:spacing w:before="840" w:beforeAutospacing="1" w:afterAutospacing="1"/>
              <w:jc w:val="center"/>
              <w:rPr>
                <w:rFonts w:eastAsia="SimSun"/>
                <w:b/>
              </w:rPr>
            </w:pPr>
            <w:r w:rsidRPr="002D3066">
              <w:rPr>
                <w:rFonts w:eastAsia="SimSun"/>
                <w:b/>
              </w:rPr>
              <w:t>Criteria 2</w:t>
            </w:r>
          </w:p>
        </w:tc>
        <w:tc>
          <w:tcPr>
            <w:tcW w:w="7370" w:type="dxa"/>
            <w:vAlign w:val="center"/>
          </w:tcPr>
          <w:p w14:paraId="600A55E3" w14:textId="7C1FA9B7" w:rsidR="002D3066" w:rsidRPr="002D3066" w:rsidRDefault="002D3066" w:rsidP="002D3066">
            <w:pPr>
              <w:spacing w:before="840" w:beforeAutospacing="1" w:afterAutospacing="1"/>
              <w:rPr>
                <w:rFonts w:eastAsia="SimSun"/>
              </w:rPr>
            </w:pPr>
            <w:r w:rsidRPr="002D3066">
              <w:rPr>
                <w:rFonts w:eastAsia="SimSun"/>
              </w:rPr>
              <w:t xml:space="preserve">Be a legally </w:t>
            </w:r>
            <w:r w:rsidR="00F808B2" w:rsidRPr="002D3066">
              <w:rPr>
                <w:rFonts w:eastAsia="SimSun"/>
              </w:rPr>
              <w:t>recognised</w:t>
            </w:r>
            <w:r w:rsidRPr="002D3066">
              <w:rPr>
                <w:rFonts w:eastAsia="SimSun"/>
              </w:rPr>
              <w:t xml:space="preserve"> non-profit </w:t>
            </w:r>
            <w:r w:rsidR="00F808B2" w:rsidRPr="002D3066">
              <w:rPr>
                <w:rFonts w:eastAsia="SimSun"/>
              </w:rPr>
              <w:t>organisation</w:t>
            </w:r>
            <w:r w:rsidRPr="002D3066">
              <w:rPr>
                <w:rFonts w:eastAsia="SimSun"/>
              </w:rPr>
              <w:t>, representing members which also have non-profit status;</w:t>
            </w:r>
          </w:p>
        </w:tc>
      </w:tr>
      <w:tr w:rsidR="002D3066" w:rsidRPr="002D3066" w14:paraId="71A24E34" w14:textId="77777777">
        <w:tc>
          <w:tcPr>
            <w:tcW w:w="1975" w:type="dxa"/>
            <w:vAlign w:val="center"/>
          </w:tcPr>
          <w:p w14:paraId="64472120" w14:textId="77777777" w:rsidR="002D3066" w:rsidRPr="002D3066" w:rsidRDefault="002D3066" w:rsidP="002D3066">
            <w:pPr>
              <w:spacing w:before="840" w:beforeAutospacing="1" w:afterAutospacing="1"/>
              <w:jc w:val="center"/>
              <w:rPr>
                <w:rFonts w:eastAsia="SimSun"/>
                <w:b/>
              </w:rPr>
            </w:pPr>
            <w:r w:rsidRPr="002D3066">
              <w:rPr>
                <w:rFonts w:eastAsia="SimSun"/>
                <w:b/>
              </w:rPr>
              <w:t>Criteria 3</w:t>
            </w:r>
          </w:p>
        </w:tc>
        <w:tc>
          <w:tcPr>
            <w:tcW w:w="7370" w:type="dxa"/>
            <w:vAlign w:val="center"/>
          </w:tcPr>
          <w:p w14:paraId="17CEBFD7" w14:textId="77777777" w:rsidR="002D3066" w:rsidRPr="002D3066" w:rsidRDefault="002D3066" w:rsidP="002D3066">
            <w:pPr>
              <w:spacing w:before="840" w:beforeAutospacing="1" w:afterAutospacing="1"/>
              <w:rPr>
                <w:rFonts w:eastAsia="SimSun"/>
              </w:rPr>
            </w:pPr>
            <w:r w:rsidRPr="002D3066">
              <w:rPr>
                <w:rFonts w:eastAsia="SimSun"/>
              </w:rPr>
              <w:t xml:space="preserve">Have a significant membership, </w:t>
            </w:r>
            <w:r w:rsidRPr="002D3066" w:rsidDel="00D554EC">
              <w:rPr>
                <w:rFonts w:eastAsia="SimSun"/>
              </w:rPr>
              <w:t>presence</w:t>
            </w:r>
            <w:r w:rsidRPr="002D3066">
              <w:rPr>
                <w:rFonts w:eastAsia="SimSun"/>
              </w:rPr>
              <w:t>, and activities in multiple Member States whose participation in ITU activities would be beneficial to the aims of the Union;</w:t>
            </w:r>
          </w:p>
        </w:tc>
      </w:tr>
      <w:tr w:rsidR="002D3066" w:rsidRPr="002D3066" w14:paraId="0C117B72" w14:textId="77777777">
        <w:tc>
          <w:tcPr>
            <w:tcW w:w="1975" w:type="dxa"/>
            <w:vAlign w:val="center"/>
          </w:tcPr>
          <w:p w14:paraId="7A9F1C72" w14:textId="77777777" w:rsidR="002D3066" w:rsidRPr="002D3066" w:rsidRDefault="002D3066" w:rsidP="002D3066">
            <w:pPr>
              <w:spacing w:before="840" w:beforeAutospacing="1" w:afterAutospacing="1"/>
              <w:jc w:val="center"/>
              <w:rPr>
                <w:rFonts w:eastAsia="SimSun"/>
                <w:b/>
              </w:rPr>
            </w:pPr>
            <w:r w:rsidRPr="002D3066">
              <w:rPr>
                <w:rFonts w:eastAsia="SimSun"/>
                <w:b/>
              </w:rPr>
              <w:t>Criteria 4</w:t>
            </w:r>
          </w:p>
        </w:tc>
        <w:tc>
          <w:tcPr>
            <w:tcW w:w="7370" w:type="dxa"/>
            <w:vAlign w:val="center"/>
          </w:tcPr>
          <w:p w14:paraId="45132F7C" w14:textId="05A68275" w:rsidR="002D3066" w:rsidRPr="002D3066" w:rsidRDefault="002D3066" w:rsidP="002D3066">
            <w:pPr>
              <w:spacing w:before="840" w:beforeAutospacing="1" w:afterAutospacing="1"/>
              <w:rPr>
                <w:rFonts w:eastAsia="SimSun"/>
              </w:rPr>
            </w:pPr>
            <w:r w:rsidRPr="002D3066">
              <w:rPr>
                <w:rFonts w:eastAsia="SimSun"/>
              </w:rPr>
              <w:t xml:space="preserve">Allow ITU to be represented at, and participate in, the </w:t>
            </w:r>
            <w:r w:rsidR="00E227FD" w:rsidRPr="002D3066">
              <w:rPr>
                <w:rFonts w:eastAsia="SimSun"/>
              </w:rPr>
              <w:t>organisation’s</w:t>
            </w:r>
            <w:r w:rsidRPr="002D3066">
              <w:rPr>
                <w:rFonts w:eastAsia="SimSun"/>
              </w:rPr>
              <w:t xml:space="preserve"> meetings free of charge and with the rights and benefits available to their members;</w:t>
            </w:r>
          </w:p>
        </w:tc>
      </w:tr>
      <w:tr w:rsidR="002D3066" w:rsidRPr="002D3066" w14:paraId="56742B98" w14:textId="77777777">
        <w:tc>
          <w:tcPr>
            <w:tcW w:w="1975" w:type="dxa"/>
            <w:vAlign w:val="center"/>
          </w:tcPr>
          <w:p w14:paraId="15B97E43" w14:textId="77777777" w:rsidR="002D3066" w:rsidRPr="002D3066" w:rsidRDefault="002D3066" w:rsidP="002D3066">
            <w:pPr>
              <w:spacing w:before="840" w:beforeAutospacing="1" w:afterAutospacing="1"/>
              <w:jc w:val="center"/>
              <w:rPr>
                <w:rFonts w:eastAsia="SimSun"/>
                <w:b/>
              </w:rPr>
            </w:pPr>
            <w:r w:rsidRPr="002D3066">
              <w:rPr>
                <w:rFonts w:eastAsia="SimSun"/>
                <w:b/>
              </w:rPr>
              <w:t>Criteria 5</w:t>
            </w:r>
          </w:p>
        </w:tc>
        <w:tc>
          <w:tcPr>
            <w:tcW w:w="7370" w:type="dxa"/>
            <w:vAlign w:val="center"/>
          </w:tcPr>
          <w:p w14:paraId="082D8C83" w14:textId="77777777" w:rsidR="002D3066" w:rsidRPr="002D3066" w:rsidRDefault="002D3066" w:rsidP="002D3066">
            <w:pPr>
              <w:spacing w:before="840" w:beforeAutospacing="1" w:afterAutospacing="1"/>
              <w:rPr>
                <w:rFonts w:eastAsia="SimSun"/>
              </w:rPr>
            </w:pPr>
            <w:r w:rsidRPr="002D3066">
              <w:rPr>
                <w:rFonts w:eastAsia="SimSun"/>
              </w:rPr>
              <w:t>Allow ITU access to relevant documentation, including information available only to their members</w:t>
            </w:r>
          </w:p>
        </w:tc>
      </w:tr>
    </w:tbl>
    <w:p w14:paraId="41B9544A" w14:textId="77777777" w:rsidR="002D3066" w:rsidRPr="002D3066" w:rsidRDefault="002D3066" w:rsidP="002D3066">
      <w:pPr>
        <w:spacing w:before="840"/>
      </w:pPr>
      <w:r w:rsidRPr="002D3066">
        <w:br w:type="page"/>
      </w:r>
    </w:p>
    <w:p w14:paraId="7DE36E33" w14:textId="15FCB7C4" w:rsidR="002D3066" w:rsidRPr="00F113FA" w:rsidRDefault="002D3066" w:rsidP="00F113FA">
      <w:pPr>
        <w:spacing w:before="240" w:after="240"/>
        <w:jc w:val="center"/>
        <w:rPr>
          <w:b/>
          <w:bCs/>
          <w:sz w:val="28"/>
        </w:rPr>
      </w:pPr>
      <w:r w:rsidRPr="002D3066">
        <w:rPr>
          <w:b/>
          <w:sz w:val="28"/>
        </w:rPr>
        <w:lastRenderedPageBreak/>
        <w:t xml:space="preserve">Annex </w:t>
      </w:r>
      <w:r w:rsidRPr="002D3066">
        <w:rPr>
          <w:b/>
          <w:bCs/>
          <w:sz w:val="28"/>
        </w:rPr>
        <w:t xml:space="preserve">2. </w:t>
      </w:r>
      <w:r w:rsidR="00CD2B03">
        <w:rPr>
          <w:b/>
          <w:sz w:val="28"/>
        </w:rPr>
        <w:t>O</w:t>
      </w:r>
      <w:r w:rsidRPr="002D3066">
        <w:rPr>
          <w:b/>
          <w:sz w:val="28"/>
        </w:rPr>
        <w:t>rgani</w:t>
      </w:r>
      <w:r w:rsidR="009E1C91">
        <w:rPr>
          <w:b/>
          <w:sz w:val="28"/>
        </w:rPr>
        <w:t>s</w:t>
      </w:r>
      <w:r w:rsidRPr="002D3066">
        <w:rPr>
          <w:b/>
          <w:sz w:val="28"/>
        </w:rPr>
        <w:t>ations</w:t>
      </w:r>
      <w:r w:rsidR="00D72CC7">
        <w:rPr>
          <w:b/>
          <w:sz w:val="28"/>
        </w:rPr>
        <w:t xml:space="preserve"> considered as</w:t>
      </w:r>
      <w:r w:rsidR="00CD2B03">
        <w:rPr>
          <w:b/>
          <w:sz w:val="28"/>
        </w:rPr>
        <w:t xml:space="preserve"> </w:t>
      </w:r>
      <w:r w:rsidR="00C258E3">
        <w:rPr>
          <w:b/>
          <w:sz w:val="28"/>
        </w:rPr>
        <w:t>m</w:t>
      </w:r>
      <w:r w:rsidR="001A180B">
        <w:rPr>
          <w:b/>
          <w:sz w:val="28"/>
        </w:rPr>
        <w:t>eet</w:t>
      </w:r>
      <w:r w:rsidR="00D72CC7">
        <w:rPr>
          <w:b/>
          <w:sz w:val="28"/>
        </w:rPr>
        <w:t>ing</w:t>
      </w:r>
      <w:r w:rsidR="001A180B">
        <w:rPr>
          <w:b/>
          <w:sz w:val="28"/>
        </w:rPr>
        <w:t xml:space="preserve"> </w:t>
      </w:r>
      <w:r w:rsidR="00404872">
        <w:rPr>
          <w:b/>
          <w:sz w:val="28"/>
        </w:rPr>
        <w:t xml:space="preserve">Council’s </w:t>
      </w:r>
      <w:r w:rsidR="00C258E3">
        <w:rPr>
          <w:b/>
          <w:sz w:val="28"/>
        </w:rPr>
        <w:t>c</w:t>
      </w:r>
      <w:r w:rsidR="00404872">
        <w:rPr>
          <w:b/>
          <w:sz w:val="28"/>
        </w:rPr>
        <w:t xml:space="preserve">riteria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106"/>
        <w:gridCol w:w="1418"/>
        <w:gridCol w:w="1106"/>
      </w:tblGrid>
      <w:tr w:rsidR="002D3066" w:rsidRPr="002D3066" w14:paraId="29F0739E" w14:textId="77777777" w:rsidTr="008A5E8F">
        <w:trPr>
          <w:trHeight w:val="294"/>
        </w:trPr>
        <w:tc>
          <w:tcPr>
            <w:tcW w:w="715" w:type="dxa"/>
            <w:shd w:val="clear" w:color="auto" w:fill="A6A6A6" w:themeFill="background1" w:themeFillShade="A6"/>
            <w:noWrap/>
            <w:vAlign w:val="center"/>
            <w:hideMark/>
          </w:tcPr>
          <w:p w14:paraId="19079A2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bCs/>
                <w:color w:val="000000"/>
                <w:sz w:val="20"/>
                <w:lang w:eastAsia="en-GB"/>
              </w:rPr>
              <w:t>N.</w:t>
            </w:r>
          </w:p>
        </w:tc>
        <w:tc>
          <w:tcPr>
            <w:tcW w:w="6106" w:type="dxa"/>
            <w:shd w:val="clear" w:color="auto" w:fill="A6A6A6" w:themeFill="background1" w:themeFillShade="A6"/>
            <w:noWrap/>
            <w:vAlign w:val="center"/>
            <w:hideMark/>
          </w:tcPr>
          <w:p w14:paraId="53B0CAB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bCs/>
                <w:color w:val="000000"/>
                <w:sz w:val="20"/>
                <w:lang w:eastAsia="en-GB"/>
              </w:rPr>
              <w:t>Entity Name</w:t>
            </w:r>
          </w:p>
        </w:tc>
        <w:tc>
          <w:tcPr>
            <w:tcW w:w="1418" w:type="dxa"/>
            <w:shd w:val="clear" w:color="auto" w:fill="A6A6A6" w:themeFill="background1" w:themeFillShade="A6"/>
            <w:noWrap/>
            <w:vAlign w:val="center"/>
            <w:hideMark/>
          </w:tcPr>
          <w:p w14:paraId="405DA97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bCs/>
                <w:color w:val="000000"/>
                <w:sz w:val="20"/>
                <w:lang w:eastAsia="en-GB"/>
              </w:rPr>
              <w:t>Main Category</w:t>
            </w:r>
          </w:p>
        </w:tc>
        <w:tc>
          <w:tcPr>
            <w:tcW w:w="1106" w:type="dxa"/>
            <w:shd w:val="clear" w:color="auto" w:fill="A6A6A6" w:themeFill="background1" w:themeFillShade="A6"/>
            <w:noWrap/>
            <w:vAlign w:val="center"/>
            <w:hideMark/>
          </w:tcPr>
          <w:p w14:paraId="643A418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bCs/>
                <w:color w:val="000000"/>
                <w:sz w:val="20"/>
                <w:lang w:eastAsia="en-GB"/>
              </w:rPr>
              <w:t>Sectors</w:t>
            </w:r>
          </w:p>
        </w:tc>
      </w:tr>
      <w:tr w:rsidR="002D3066" w:rsidRPr="002D3066" w14:paraId="397B6BFB" w14:textId="77777777" w:rsidTr="008A5E8F">
        <w:trPr>
          <w:trHeight w:val="294"/>
        </w:trPr>
        <w:tc>
          <w:tcPr>
            <w:tcW w:w="715" w:type="dxa"/>
            <w:shd w:val="clear" w:color="auto" w:fill="auto"/>
            <w:noWrap/>
            <w:vAlign w:val="center"/>
            <w:hideMark/>
          </w:tcPr>
          <w:p w14:paraId="0890483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w:t>
            </w:r>
          </w:p>
        </w:tc>
        <w:tc>
          <w:tcPr>
            <w:tcW w:w="6106" w:type="dxa"/>
            <w:shd w:val="clear" w:color="auto" w:fill="auto"/>
            <w:noWrap/>
            <w:vAlign w:val="center"/>
            <w:hideMark/>
          </w:tcPr>
          <w:p w14:paraId="2230562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African Civil Society for the Information Society (ACSIS)</w:t>
            </w:r>
          </w:p>
        </w:tc>
        <w:tc>
          <w:tcPr>
            <w:tcW w:w="1418" w:type="dxa"/>
            <w:shd w:val="clear" w:color="auto" w:fill="auto"/>
            <w:noWrap/>
            <w:vAlign w:val="center"/>
            <w:hideMark/>
          </w:tcPr>
          <w:p w14:paraId="3366EC8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E8C5A9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r>
      <w:tr w:rsidR="002D3066" w:rsidRPr="002D3066" w14:paraId="75B7DA6D" w14:textId="77777777" w:rsidTr="008A5E8F">
        <w:trPr>
          <w:trHeight w:val="294"/>
        </w:trPr>
        <w:tc>
          <w:tcPr>
            <w:tcW w:w="715" w:type="dxa"/>
            <w:shd w:val="clear" w:color="auto" w:fill="auto"/>
            <w:noWrap/>
            <w:vAlign w:val="center"/>
            <w:hideMark/>
          </w:tcPr>
          <w:p w14:paraId="4EEA46F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2</w:t>
            </w:r>
          </w:p>
        </w:tc>
        <w:tc>
          <w:tcPr>
            <w:tcW w:w="6106" w:type="dxa"/>
            <w:shd w:val="clear" w:color="auto" w:fill="auto"/>
            <w:noWrap/>
            <w:vAlign w:val="center"/>
            <w:hideMark/>
          </w:tcPr>
          <w:p w14:paraId="0CB12FD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African Network Information Centre Ltd. (AFRNIC)</w:t>
            </w:r>
          </w:p>
        </w:tc>
        <w:tc>
          <w:tcPr>
            <w:tcW w:w="1418" w:type="dxa"/>
            <w:shd w:val="clear" w:color="auto" w:fill="auto"/>
            <w:noWrap/>
            <w:vAlign w:val="center"/>
            <w:hideMark/>
          </w:tcPr>
          <w:p w14:paraId="0485619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BFCA0F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r>
      <w:tr w:rsidR="002D3066" w:rsidRPr="002D3066" w14:paraId="4218AA40" w14:textId="77777777" w:rsidTr="008A5E8F">
        <w:trPr>
          <w:trHeight w:val="294"/>
        </w:trPr>
        <w:tc>
          <w:tcPr>
            <w:tcW w:w="715" w:type="dxa"/>
            <w:shd w:val="clear" w:color="auto" w:fill="auto"/>
            <w:noWrap/>
            <w:vAlign w:val="center"/>
            <w:hideMark/>
          </w:tcPr>
          <w:p w14:paraId="2943785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3</w:t>
            </w:r>
          </w:p>
        </w:tc>
        <w:tc>
          <w:tcPr>
            <w:tcW w:w="6106" w:type="dxa"/>
            <w:shd w:val="clear" w:color="auto" w:fill="auto"/>
            <w:noWrap/>
            <w:vAlign w:val="center"/>
            <w:hideMark/>
          </w:tcPr>
          <w:p w14:paraId="1C6D6FD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African Organization for Standardisation</w:t>
            </w:r>
          </w:p>
        </w:tc>
        <w:tc>
          <w:tcPr>
            <w:tcW w:w="1418" w:type="dxa"/>
            <w:shd w:val="clear" w:color="auto" w:fill="auto"/>
            <w:noWrap/>
            <w:vAlign w:val="center"/>
            <w:hideMark/>
          </w:tcPr>
          <w:p w14:paraId="2D69303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376BEAB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w:t>
            </w:r>
          </w:p>
        </w:tc>
      </w:tr>
      <w:tr w:rsidR="002D3066" w:rsidRPr="002D3066" w14:paraId="7EC6B7A2" w14:textId="77777777" w:rsidTr="008A5E8F">
        <w:trPr>
          <w:trHeight w:val="294"/>
        </w:trPr>
        <w:tc>
          <w:tcPr>
            <w:tcW w:w="715" w:type="dxa"/>
            <w:shd w:val="clear" w:color="auto" w:fill="auto"/>
            <w:noWrap/>
            <w:vAlign w:val="center"/>
            <w:hideMark/>
          </w:tcPr>
          <w:p w14:paraId="47483A6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4</w:t>
            </w:r>
          </w:p>
        </w:tc>
        <w:tc>
          <w:tcPr>
            <w:tcW w:w="6106" w:type="dxa"/>
            <w:shd w:val="clear" w:color="auto" w:fill="auto"/>
            <w:noWrap/>
            <w:vAlign w:val="center"/>
            <w:hideMark/>
          </w:tcPr>
          <w:p w14:paraId="38F67E5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African Telecommunications Union</w:t>
            </w:r>
          </w:p>
        </w:tc>
        <w:tc>
          <w:tcPr>
            <w:tcW w:w="1418" w:type="dxa"/>
            <w:shd w:val="clear" w:color="auto" w:fill="auto"/>
            <w:noWrap/>
            <w:vAlign w:val="center"/>
            <w:hideMark/>
          </w:tcPr>
          <w:p w14:paraId="635A2E3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REGORG</w:t>
            </w:r>
          </w:p>
        </w:tc>
        <w:tc>
          <w:tcPr>
            <w:tcW w:w="1106" w:type="dxa"/>
            <w:shd w:val="clear" w:color="auto" w:fill="auto"/>
            <w:noWrap/>
            <w:vAlign w:val="center"/>
            <w:hideMark/>
          </w:tcPr>
          <w:p w14:paraId="15ABE6E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37163593" w14:textId="77777777" w:rsidTr="008A5E8F">
        <w:trPr>
          <w:trHeight w:val="294"/>
        </w:trPr>
        <w:tc>
          <w:tcPr>
            <w:tcW w:w="715" w:type="dxa"/>
            <w:shd w:val="clear" w:color="auto" w:fill="auto"/>
            <w:noWrap/>
            <w:vAlign w:val="center"/>
            <w:hideMark/>
          </w:tcPr>
          <w:p w14:paraId="287FC22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5</w:t>
            </w:r>
          </w:p>
        </w:tc>
        <w:tc>
          <w:tcPr>
            <w:tcW w:w="6106" w:type="dxa"/>
            <w:shd w:val="clear" w:color="auto" w:fill="auto"/>
            <w:noWrap/>
            <w:vAlign w:val="center"/>
            <w:hideMark/>
          </w:tcPr>
          <w:p w14:paraId="484744A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African Union</w:t>
            </w:r>
          </w:p>
        </w:tc>
        <w:tc>
          <w:tcPr>
            <w:tcW w:w="1418" w:type="dxa"/>
            <w:shd w:val="clear" w:color="auto" w:fill="auto"/>
            <w:noWrap/>
            <w:vAlign w:val="center"/>
            <w:hideMark/>
          </w:tcPr>
          <w:p w14:paraId="7120A9C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D1D461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3B1474E5" w14:textId="77777777" w:rsidTr="008A5E8F">
        <w:trPr>
          <w:trHeight w:val="294"/>
        </w:trPr>
        <w:tc>
          <w:tcPr>
            <w:tcW w:w="715" w:type="dxa"/>
            <w:shd w:val="clear" w:color="auto" w:fill="auto"/>
            <w:noWrap/>
            <w:vAlign w:val="center"/>
            <w:hideMark/>
          </w:tcPr>
          <w:p w14:paraId="6A1206B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6</w:t>
            </w:r>
          </w:p>
        </w:tc>
        <w:tc>
          <w:tcPr>
            <w:tcW w:w="6106" w:type="dxa"/>
            <w:shd w:val="clear" w:color="auto" w:fill="auto"/>
            <w:noWrap/>
            <w:vAlign w:val="center"/>
            <w:hideMark/>
          </w:tcPr>
          <w:p w14:paraId="509985A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American Registry for Internet Numbers (ARIN)</w:t>
            </w:r>
          </w:p>
        </w:tc>
        <w:tc>
          <w:tcPr>
            <w:tcW w:w="1418" w:type="dxa"/>
            <w:shd w:val="clear" w:color="auto" w:fill="auto"/>
            <w:noWrap/>
            <w:vAlign w:val="center"/>
            <w:hideMark/>
          </w:tcPr>
          <w:p w14:paraId="2CA967A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79FB5C6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TD</w:t>
            </w:r>
          </w:p>
        </w:tc>
      </w:tr>
      <w:tr w:rsidR="002D3066" w:rsidRPr="002D3066" w14:paraId="4A5DD17A" w14:textId="77777777" w:rsidTr="008A5E8F">
        <w:trPr>
          <w:trHeight w:val="294"/>
        </w:trPr>
        <w:tc>
          <w:tcPr>
            <w:tcW w:w="715" w:type="dxa"/>
            <w:shd w:val="clear" w:color="auto" w:fill="auto"/>
            <w:noWrap/>
            <w:vAlign w:val="center"/>
            <w:hideMark/>
          </w:tcPr>
          <w:p w14:paraId="1AD545B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7</w:t>
            </w:r>
          </w:p>
        </w:tc>
        <w:tc>
          <w:tcPr>
            <w:tcW w:w="6106" w:type="dxa"/>
            <w:shd w:val="clear" w:color="auto" w:fill="auto"/>
            <w:noWrap/>
            <w:vAlign w:val="center"/>
            <w:hideMark/>
          </w:tcPr>
          <w:p w14:paraId="02E1479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Arab Information and Communication Technology Organization (AICTO)</w:t>
            </w:r>
          </w:p>
        </w:tc>
        <w:tc>
          <w:tcPr>
            <w:tcW w:w="1418" w:type="dxa"/>
            <w:shd w:val="clear" w:color="auto" w:fill="auto"/>
            <w:noWrap/>
            <w:vAlign w:val="center"/>
            <w:hideMark/>
          </w:tcPr>
          <w:p w14:paraId="178537B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6CB72D9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56B5DCE8" w14:textId="77777777" w:rsidTr="008A5E8F">
        <w:trPr>
          <w:trHeight w:val="294"/>
        </w:trPr>
        <w:tc>
          <w:tcPr>
            <w:tcW w:w="715" w:type="dxa"/>
            <w:shd w:val="clear" w:color="auto" w:fill="auto"/>
            <w:noWrap/>
            <w:vAlign w:val="center"/>
            <w:hideMark/>
          </w:tcPr>
          <w:p w14:paraId="0C3A0F5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8</w:t>
            </w:r>
          </w:p>
        </w:tc>
        <w:tc>
          <w:tcPr>
            <w:tcW w:w="6106" w:type="dxa"/>
            <w:shd w:val="clear" w:color="auto" w:fill="auto"/>
            <w:noWrap/>
            <w:vAlign w:val="center"/>
            <w:hideMark/>
          </w:tcPr>
          <w:p w14:paraId="2A6A294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Arab Regulators Network</w:t>
            </w:r>
          </w:p>
        </w:tc>
        <w:tc>
          <w:tcPr>
            <w:tcW w:w="1418" w:type="dxa"/>
            <w:shd w:val="clear" w:color="auto" w:fill="auto"/>
            <w:noWrap/>
            <w:vAlign w:val="center"/>
            <w:hideMark/>
          </w:tcPr>
          <w:p w14:paraId="45BF8CD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608B2FC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0DB2ACA7" w14:textId="77777777" w:rsidTr="008A5E8F">
        <w:trPr>
          <w:trHeight w:val="600"/>
        </w:trPr>
        <w:tc>
          <w:tcPr>
            <w:tcW w:w="715" w:type="dxa"/>
            <w:shd w:val="clear" w:color="auto" w:fill="auto"/>
            <w:noWrap/>
            <w:vAlign w:val="center"/>
            <w:hideMark/>
          </w:tcPr>
          <w:p w14:paraId="19E89FC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9</w:t>
            </w:r>
          </w:p>
        </w:tc>
        <w:tc>
          <w:tcPr>
            <w:tcW w:w="6106" w:type="dxa"/>
            <w:shd w:val="clear" w:color="auto" w:fill="auto"/>
            <w:noWrap/>
            <w:vAlign w:val="center"/>
            <w:hideMark/>
          </w:tcPr>
          <w:p w14:paraId="0C46539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Arab States Research and Education Network - ASREN</w:t>
            </w:r>
          </w:p>
        </w:tc>
        <w:tc>
          <w:tcPr>
            <w:tcW w:w="1418" w:type="dxa"/>
            <w:shd w:val="clear" w:color="auto" w:fill="auto"/>
            <w:noWrap/>
            <w:vAlign w:val="center"/>
            <w:hideMark/>
          </w:tcPr>
          <w:p w14:paraId="01006C9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853B0C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Academia</w:t>
            </w:r>
          </w:p>
        </w:tc>
      </w:tr>
      <w:tr w:rsidR="002D3066" w:rsidRPr="002D3066" w14:paraId="48D42659" w14:textId="77777777" w:rsidTr="008A5E8F">
        <w:trPr>
          <w:trHeight w:val="294"/>
        </w:trPr>
        <w:tc>
          <w:tcPr>
            <w:tcW w:w="715" w:type="dxa"/>
            <w:shd w:val="clear" w:color="auto" w:fill="auto"/>
            <w:noWrap/>
            <w:vAlign w:val="center"/>
            <w:hideMark/>
          </w:tcPr>
          <w:p w14:paraId="1A962B2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10</w:t>
            </w:r>
          </w:p>
        </w:tc>
        <w:tc>
          <w:tcPr>
            <w:tcW w:w="6106" w:type="dxa"/>
            <w:shd w:val="clear" w:color="auto" w:fill="auto"/>
            <w:noWrap/>
            <w:vAlign w:val="center"/>
            <w:hideMark/>
          </w:tcPr>
          <w:p w14:paraId="0E02DE1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ASECNA</w:t>
            </w:r>
          </w:p>
        </w:tc>
        <w:tc>
          <w:tcPr>
            <w:tcW w:w="1418" w:type="dxa"/>
            <w:shd w:val="clear" w:color="auto" w:fill="auto"/>
            <w:noWrap/>
            <w:vAlign w:val="center"/>
            <w:hideMark/>
          </w:tcPr>
          <w:p w14:paraId="1F0DC7F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6EBC4C9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3D5DAD5B" w14:textId="77777777" w:rsidTr="008A5E8F">
        <w:trPr>
          <w:trHeight w:val="294"/>
        </w:trPr>
        <w:tc>
          <w:tcPr>
            <w:tcW w:w="715" w:type="dxa"/>
            <w:shd w:val="clear" w:color="auto" w:fill="auto"/>
            <w:noWrap/>
            <w:vAlign w:val="center"/>
            <w:hideMark/>
          </w:tcPr>
          <w:p w14:paraId="0DCFF76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11</w:t>
            </w:r>
          </w:p>
        </w:tc>
        <w:tc>
          <w:tcPr>
            <w:tcW w:w="6106" w:type="dxa"/>
            <w:shd w:val="clear" w:color="auto" w:fill="auto"/>
            <w:noWrap/>
            <w:vAlign w:val="center"/>
            <w:hideMark/>
          </w:tcPr>
          <w:p w14:paraId="7E53FB4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Asia Pacific Network Information Centre (APNIC)</w:t>
            </w:r>
          </w:p>
        </w:tc>
        <w:tc>
          <w:tcPr>
            <w:tcW w:w="1418" w:type="dxa"/>
            <w:shd w:val="clear" w:color="auto" w:fill="auto"/>
            <w:noWrap/>
            <w:vAlign w:val="center"/>
            <w:hideMark/>
          </w:tcPr>
          <w:p w14:paraId="76DC5F4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7F3F604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w:t>
            </w:r>
          </w:p>
        </w:tc>
      </w:tr>
      <w:tr w:rsidR="002D3066" w:rsidRPr="002D3066" w14:paraId="735187CD" w14:textId="77777777" w:rsidTr="008A5E8F">
        <w:trPr>
          <w:trHeight w:val="294"/>
        </w:trPr>
        <w:tc>
          <w:tcPr>
            <w:tcW w:w="715" w:type="dxa"/>
            <w:shd w:val="clear" w:color="auto" w:fill="auto"/>
            <w:noWrap/>
            <w:vAlign w:val="center"/>
            <w:hideMark/>
          </w:tcPr>
          <w:p w14:paraId="4DD057F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12</w:t>
            </w:r>
          </w:p>
        </w:tc>
        <w:tc>
          <w:tcPr>
            <w:tcW w:w="6106" w:type="dxa"/>
            <w:shd w:val="clear" w:color="auto" w:fill="auto"/>
            <w:noWrap/>
            <w:vAlign w:val="center"/>
            <w:hideMark/>
          </w:tcPr>
          <w:p w14:paraId="4CCCA69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Asia-Pacific Broadcasting Union</w:t>
            </w:r>
          </w:p>
        </w:tc>
        <w:tc>
          <w:tcPr>
            <w:tcW w:w="1418" w:type="dxa"/>
            <w:shd w:val="clear" w:color="auto" w:fill="auto"/>
            <w:noWrap/>
            <w:vAlign w:val="center"/>
            <w:hideMark/>
          </w:tcPr>
          <w:p w14:paraId="6220616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F455EC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1F45334B" w14:textId="77777777" w:rsidTr="008A5E8F">
        <w:trPr>
          <w:trHeight w:val="294"/>
        </w:trPr>
        <w:tc>
          <w:tcPr>
            <w:tcW w:w="715" w:type="dxa"/>
            <w:shd w:val="clear" w:color="auto" w:fill="auto"/>
            <w:noWrap/>
            <w:vAlign w:val="center"/>
            <w:hideMark/>
          </w:tcPr>
          <w:p w14:paraId="19D3B45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13</w:t>
            </w:r>
          </w:p>
        </w:tc>
        <w:tc>
          <w:tcPr>
            <w:tcW w:w="6106" w:type="dxa"/>
            <w:shd w:val="clear" w:color="auto" w:fill="auto"/>
            <w:noWrap/>
            <w:vAlign w:val="center"/>
            <w:hideMark/>
          </w:tcPr>
          <w:p w14:paraId="69B9500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Asia-Pacific Institute for Broadcasting Development</w:t>
            </w:r>
          </w:p>
        </w:tc>
        <w:tc>
          <w:tcPr>
            <w:tcW w:w="1418" w:type="dxa"/>
            <w:shd w:val="clear" w:color="auto" w:fill="auto"/>
            <w:noWrap/>
            <w:vAlign w:val="center"/>
            <w:hideMark/>
          </w:tcPr>
          <w:p w14:paraId="05401D2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7A9FC6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r>
      <w:tr w:rsidR="002D3066" w:rsidRPr="002D3066" w14:paraId="7EDFDAB0" w14:textId="77777777" w:rsidTr="008A5E8F">
        <w:trPr>
          <w:trHeight w:val="294"/>
        </w:trPr>
        <w:tc>
          <w:tcPr>
            <w:tcW w:w="715" w:type="dxa"/>
            <w:shd w:val="clear" w:color="auto" w:fill="auto"/>
            <w:noWrap/>
            <w:vAlign w:val="center"/>
            <w:hideMark/>
          </w:tcPr>
          <w:p w14:paraId="3CCD945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14</w:t>
            </w:r>
          </w:p>
        </w:tc>
        <w:tc>
          <w:tcPr>
            <w:tcW w:w="6106" w:type="dxa"/>
            <w:shd w:val="clear" w:color="auto" w:fill="auto"/>
            <w:noWrap/>
            <w:vAlign w:val="center"/>
            <w:hideMark/>
          </w:tcPr>
          <w:p w14:paraId="35C0D47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Asia-Pacific Telecommunity</w:t>
            </w:r>
          </w:p>
        </w:tc>
        <w:tc>
          <w:tcPr>
            <w:tcW w:w="1418" w:type="dxa"/>
            <w:shd w:val="clear" w:color="auto" w:fill="auto"/>
            <w:noWrap/>
            <w:vAlign w:val="center"/>
            <w:hideMark/>
          </w:tcPr>
          <w:p w14:paraId="41A4245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REGORG</w:t>
            </w:r>
          </w:p>
        </w:tc>
        <w:tc>
          <w:tcPr>
            <w:tcW w:w="1106" w:type="dxa"/>
            <w:shd w:val="clear" w:color="auto" w:fill="auto"/>
            <w:noWrap/>
            <w:vAlign w:val="center"/>
            <w:hideMark/>
          </w:tcPr>
          <w:p w14:paraId="5113C7A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6E7C2981" w14:textId="77777777" w:rsidTr="008A5E8F">
        <w:trPr>
          <w:trHeight w:val="294"/>
        </w:trPr>
        <w:tc>
          <w:tcPr>
            <w:tcW w:w="715" w:type="dxa"/>
            <w:shd w:val="clear" w:color="auto" w:fill="auto"/>
            <w:noWrap/>
            <w:vAlign w:val="center"/>
            <w:hideMark/>
          </w:tcPr>
          <w:p w14:paraId="6CD57D8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15</w:t>
            </w:r>
          </w:p>
        </w:tc>
        <w:tc>
          <w:tcPr>
            <w:tcW w:w="6106" w:type="dxa"/>
            <w:shd w:val="clear" w:color="auto" w:fill="auto"/>
            <w:noWrap/>
            <w:vAlign w:val="center"/>
            <w:hideMark/>
          </w:tcPr>
          <w:p w14:paraId="553DC45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s-MX" w:eastAsia="en-GB"/>
              </w:rPr>
            </w:pPr>
            <w:r w:rsidRPr="002D3066">
              <w:rPr>
                <w:rFonts w:cs="Calibri"/>
                <w:color w:val="000000"/>
                <w:sz w:val="20"/>
                <w:lang w:val="es-MX"/>
              </w:rPr>
              <w:t>Asociación de Reguladores Administrador del Foro Latinoamericano de Entes Reguladores de Telecomunicaciones</w:t>
            </w:r>
          </w:p>
        </w:tc>
        <w:tc>
          <w:tcPr>
            <w:tcW w:w="1418" w:type="dxa"/>
            <w:shd w:val="clear" w:color="auto" w:fill="auto"/>
            <w:noWrap/>
            <w:vAlign w:val="center"/>
            <w:hideMark/>
          </w:tcPr>
          <w:p w14:paraId="3DA11F4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6939EE6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4DAB1670" w14:textId="77777777" w:rsidTr="008A5E8F">
        <w:trPr>
          <w:trHeight w:val="294"/>
        </w:trPr>
        <w:tc>
          <w:tcPr>
            <w:tcW w:w="715" w:type="dxa"/>
            <w:shd w:val="clear" w:color="auto" w:fill="auto"/>
            <w:noWrap/>
            <w:vAlign w:val="center"/>
            <w:hideMark/>
          </w:tcPr>
          <w:p w14:paraId="2C51214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16</w:t>
            </w:r>
          </w:p>
        </w:tc>
        <w:tc>
          <w:tcPr>
            <w:tcW w:w="6106" w:type="dxa"/>
            <w:shd w:val="clear" w:color="auto" w:fill="auto"/>
            <w:noWrap/>
            <w:vAlign w:val="center"/>
            <w:hideMark/>
          </w:tcPr>
          <w:p w14:paraId="3F75FAA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s-MX" w:eastAsia="en-GB"/>
              </w:rPr>
            </w:pPr>
            <w:r w:rsidRPr="002D3066">
              <w:rPr>
                <w:rFonts w:cs="Calibri"/>
                <w:color w:val="000000"/>
                <w:sz w:val="20"/>
                <w:lang w:val="es-MX"/>
              </w:rPr>
              <w:t>Associação de Reguladores de Comunicações e Telecomunicações da Comunidade dos Países de Língua Portuguesa (ARCTEL-CPLP)</w:t>
            </w:r>
          </w:p>
        </w:tc>
        <w:tc>
          <w:tcPr>
            <w:tcW w:w="1418" w:type="dxa"/>
            <w:shd w:val="clear" w:color="auto" w:fill="auto"/>
            <w:noWrap/>
            <w:vAlign w:val="center"/>
            <w:hideMark/>
          </w:tcPr>
          <w:p w14:paraId="2C1DC76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D77F2D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r>
      <w:tr w:rsidR="002D3066" w:rsidRPr="002D3066" w14:paraId="038B659F" w14:textId="77777777" w:rsidTr="008A5E8F">
        <w:trPr>
          <w:trHeight w:val="294"/>
        </w:trPr>
        <w:tc>
          <w:tcPr>
            <w:tcW w:w="715" w:type="dxa"/>
            <w:shd w:val="clear" w:color="auto" w:fill="auto"/>
            <w:noWrap/>
            <w:vAlign w:val="center"/>
            <w:hideMark/>
          </w:tcPr>
          <w:p w14:paraId="3788B0B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17</w:t>
            </w:r>
          </w:p>
        </w:tc>
        <w:tc>
          <w:tcPr>
            <w:tcW w:w="6106" w:type="dxa"/>
            <w:shd w:val="clear" w:color="auto" w:fill="auto"/>
            <w:noWrap/>
            <w:vAlign w:val="center"/>
            <w:hideMark/>
          </w:tcPr>
          <w:p w14:paraId="11F010C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Association for Progressive Communications</w:t>
            </w:r>
          </w:p>
        </w:tc>
        <w:tc>
          <w:tcPr>
            <w:tcW w:w="1418" w:type="dxa"/>
            <w:shd w:val="clear" w:color="auto" w:fill="auto"/>
            <w:noWrap/>
            <w:vAlign w:val="center"/>
            <w:hideMark/>
          </w:tcPr>
          <w:p w14:paraId="41C09A4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14EA820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RD</w:t>
            </w:r>
          </w:p>
        </w:tc>
      </w:tr>
      <w:tr w:rsidR="002D3066" w:rsidRPr="002D3066" w14:paraId="06A66549" w14:textId="77777777" w:rsidTr="008A5E8F">
        <w:trPr>
          <w:trHeight w:val="294"/>
        </w:trPr>
        <w:tc>
          <w:tcPr>
            <w:tcW w:w="715" w:type="dxa"/>
            <w:shd w:val="clear" w:color="auto" w:fill="auto"/>
            <w:noWrap/>
            <w:vAlign w:val="center"/>
            <w:hideMark/>
          </w:tcPr>
          <w:p w14:paraId="15C629C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18</w:t>
            </w:r>
          </w:p>
        </w:tc>
        <w:tc>
          <w:tcPr>
            <w:tcW w:w="6106" w:type="dxa"/>
            <w:shd w:val="clear" w:color="auto" w:fill="auto"/>
            <w:noWrap/>
            <w:vAlign w:val="center"/>
            <w:hideMark/>
          </w:tcPr>
          <w:p w14:paraId="6E3D86C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Caribbean Association of National Telecommunication Organizations (CANTO)</w:t>
            </w:r>
          </w:p>
        </w:tc>
        <w:tc>
          <w:tcPr>
            <w:tcW w:w="1418" w:type="dxa"/>
            <w:shd w:val="clear" w:color="auto" w:fill="auto"/>
            <w:noWrap/>
            <w:vAlign w:val="center"/>
            <w:hideMark/>
          </w:tcPr>
          <w:p w14:paraId="4968E8D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REGORG</w:t>
            </w:r>
          </w:p>
        </w:tc>
        <w:tc>
          <w:tcPr>
            <w:tcW w:w="1106" w:type="dxa"/>
            <w:shd w:val="clear" w:color="auto" w:fill="auto"/>
            <w:noWrap/>
            <w:vAlign w:val="center"/>
            <w:hideMark/>
          </w:tcPr>
          <w:p w14:paraId="58BA85A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r>
      <w:tr w:rsidR="002D3066" w:rsidRPr="002D3066" w14:paraId="25F5DAB5" w14:textId="77777777" w:rsidTr="008A5E8F">
        <w:trPr>
          <w:trHeight w:val="294"/>
        </w:trPr>
        <w:tc>
          <w:tcPr>
            <w:tcW w:w="715" w:type="dxa"/>
            <w:shd w:val="clear" w:color="auto" w:fill="auto"/>
            <w:noWrap/>
            <w:vAlign w:val="center"/>
            <w:hideMark/>
          </w:tcPr>
          <w:p w14:paraId="3888608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19</w:t>
            </w:r>
          </w:p>
        </w:tc>
        <w:tc>
          <w:tcPr>
            <w:tcW w:w="6106" w:type="dxa"/>
            <w:shd w:val="clear" w:color="auto" w:fill="auto"/>
            <w:noWrap/>
            <w:vAlign w:val="center"/>
            <w:hideMark/>
          </w:tcPr>
          <w:p w14:paraId="62EC386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Caribbean Broadcasting Union</w:t>
            </w:r>
          </w:p>
        </w:tc>
        <w:tc>
          <w:tcPr>
            <w:tcW w:w="1418" w:type="dxa"/>
            <w:shd w:val="clear" w:color="auto" w:fill="auto"/>
            <w:noWrap/>
            <w:vAlign w:val="center"/>
            <w:hideMark/>
          </w:tcPr>
          <w:p w14:paraId="1B3C3F4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71535BC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RD</w:t>
            </w:r>
          </w:p>
        </w:tc>
      </w:tr>
      <w:tr w:rsidR="002D3066" w:rsidRPr="002D3066" w14:paraId="013615C6" w14:textId="77777777" w:rsidTr="008A5E8F">
        <w:trPr>
          <w:trHeight w:val="294"/>
        </w:trPr>
        <w:tc>
          <w:tcPr>
            <w:tcW w:w="715" w:type="dxa"/>
            <w:shd w:val="clear" w:color="auto" w:fill="auto"/>
            <w:noWrap/>
            <w:vAlign w:val="center"/>
            <w:hideMark/>
          </w:tcPr>
          <w:p w14:paraId="63D428B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20</w:t>
            </w:r>
          </w:p>
        </w:tc>
        <w:tc>
          <w:tcPr>
            <w:tcW w:w="6106" w:type="dxa"/>
            <w:shd w:val="clear" w:color="auto" w:fill="auto"/>
            <w:noWrap/>
            <w:vAlign w:val="center"/>
            <w:hideMark/>
          </w:tcPr>
          <w:p w14:paraId="5D2BFCC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Caribbean Telecommunications Union</w:t>
            </w:r>
          </w:p>
        </w:tc>
        <w:tc>
          <w:tcPr>
            <w:tcW w:w="1418" w:type="dxa"/>
            <w:shd w:val="clear" w:color="auto" w:fill="auto"/>
            <w:noWrap/>
            <w:vAlign w:val="center"/>
            <w:hideMark/>
          </w:tcPr>
          <w:p w14:paraId="7B8E475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REGORG</w:t>
            </w:r>
          </w:p>
        </w:tc>
        <w:tc>
          <w:tcPr>
            <w:tcW w:w="1106" w:type="dxa"/>
            <w:shd w:val="clear" w:color="auto" w:fill="auto"/>
            <w:noWrap/>
            <w:vAlign w:val="center"/>
            <w:hideMark/>
          </w:tcPr>
          <w:p w14:paraId="1C54EDD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1CBB71FC" w14:textId="77777777" w:rsidTr="008A5E8F">
        <w:trPr>
          <w:trHeight w:val="294"/>
        </w:trPr>
        <w:tc>
          <w:tcPr>
            <w:tcW w:w="715" w:type="dxa"/>
            <w:shd w:val="clear" w:color="auto" w:fill="auto"/>
            <w:noWrap/>
            <w:vAlign w:val="center"/>
            <w:hideMark/>
          </w:tcPr>
          <w:p w14:paraId="12EE024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21</w:t>
            </w:r>
          </w:p>
        </w:tc>
        <w:tc>
          <w:tcPr>
            <w:tcW w:w="6106" w:type="dxa"/>
            <w:shd w:val="clear" w:color="auto" w:fill="auto"/>
            <w:noWrap/>
            <w:vAlign w:val="center"/>
            <w:hideMark/>
          </w:tcPr>
          <w:p w14:paraId="4FDA443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Child Helpline International</w:t>
            </w:r>
          </w:p>
        </w:tc>
        <w:tc>
          <w:tcPr>
            <w:tcW w:w="1418" w:type="dxa"/>
            <w:shd w:val="clear" w:color="auto" w:fill="auto"/>
            <w:noWrap/>
            <w:vAlign w:val="center"/>
            <w:hideMark/>
          </w:tcPr>
          <w:p w14:paraId="0378094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2F098EE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TD</w:t>
            </w:r>
          </w:p>
        </w:tc>
      </w:tr>
      <w:tr w:rsidR="002D3066" w:rsidRPr="002D3066" w14:paraId="36F1CF1E" w14:textId="77777777" w:rsidTr="008A5E8F">
        <w:trPr>
          <w:trHeight w:val="294"/>
        </w:trPr>
        <w:tc>
          <w:tcPr>
            <w:tcW w:w="715" w:type="dxa"/>
            <w:shd w:val="clear" w:color="auto" w:fill="auto"/>
            <w:noWrap/>
            <w:vAlign w:val="center"/>
            <w:hideMark/>
          </w:tcPr>
          <w:p w14:paraId="5E108A0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22</w:t>
            </w:r>
          </w:p>
        </w:tc>
        <w:tc>
          <w:tcPr>
            <w:tcW w:w="6106" w:type="dxa"/>
            <w:shd w:val="clear" w:color="auto" w:fill="auto"/>
            <w:noWrap/>
            <w:vAlign w:val="center"/>
            <w:hideMark/>
          </w:tcPr>
          <w:p w14:paraId="3B8BA18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Committee on Radio Astronomy Frequencies</w:t>
            </w:r>
          </w:p>
        </w:tc>
        <w:tc>
          <w:tcPr>
            <w:tcW w:w="1418" w:type="dxa"/>
            <w:shd w:val="clear" w:color="auto" w:fill="auto"/>
            <w:noWrap/>
            <w:vAlign w:val="center"/>
            <w:hideMark/>
          </w:tcPr>
          <w:p w14:paraId="76BFBAD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346F8FF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144AAB88" w14:textId="77777777" w:rsidTr="008A5E8F">
        <w:trPr>
          <w:trHeight w:val="294"/>
        </w:trPr>
        <w:tc>
          <w:tcPr>
            <w:tcW w:w="715" w:type="dxa"/>
            <w:shd w:val="clear" w:color="auto" w:fill="auto"/>
            <w:noWrap/>
            <w:vAlign w:val="center"/>
            <w:hideMark/>
          </w:tcPr>
          <w:p w14:paraId="75A37F1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23</w:t>
            </w:r>
          </w:p>
        </w:tc>
        <w:tc>
          <w:tcPr>
            <w:tcW w:w="6106" w:type="dxa"/>
            <w:shd w:val="clear" w:color="auto" w:fill="auto"/>
            <w:noWrap/>
            <w:vAlign w:val="center"/>
            <w:hideMark/>
          </w:tcPr>
          <w:p w14:paraId="1C4ED93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Committee on Space Research (COSPAR)</w:t>
            </w:r>
          </w:p>
        </w:tc>
        <w:tc>
          <w:tcPr>
            <w:tcW w:w="1418" w:type="dxa"/>
            <w:shd w:val="clear" w:color="auto" w:fill="auto"/>
            <w:noWrap/>
            <w:vAlign w:val="center"/>
            <w:hideMark/>
          </w:tcPr>
          <w:p w14:paraId="17EEE5D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42F38BE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3CC6788A" w14:textId="77777777" w:rsidTr="008A5E8F">
        <w:trPr>
          <w:trHeight w:val="294"/>
        </w:trPr>
        <w:tc>
          <w:tcPr>
            <w:tcW w:w="715" w:type="dxa"/>
            <w:shd w:val="clear" w:color="auto" w:fill="auto"/>
            <w:noWrap/>
            <w:vAlign w:val="center"/>
            <w:hideMark/>
          </w:tcPr>
          <w:p w14:paraId="0FA343F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24</w:t>
            </w:r>
          </w:p>
        </w:tc>
        <w:tc>
          <w:tcPr>
            <w:tcW w:w="6106" w:type="dxa"/>
            <w:shd w:val="clear" w:color="auto" w:fill="auto"/>
            <w:noWrap/>
            <w:vAlign w:val="center"/>
            <w:hideMark/>
          </w:tcPr>
          <w:p w14:paraId="05743AF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Common Market for Eastern and Southern Africa</w:t>
            </w:r>
          </w:p>
        </w:tc>
        <w:tc>
          <w:tcPr>
            <w:tcW w:w="1418" w:type="dxa"/>
            <w:shd w:val="clear" w:color="auto" w:fill="auto"/>
            <w:noWrap/>
            <w:vAlign w:val="center"/>
            <w:hideMark/>
          </w:tcPr>
          <w:p w14:paraId="570711D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45432A9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4B6B943E" w14:textId="77777777" w:rsidTr="008A5E8F">
        <w:trPr>
          <w:trHeight w:val="294"/>
        </w:trPr>
        <w:tc>
          <w:tcPr>
            <w:tcW w:w="715" w:type="dxa"/>
            <w:shd w:val="clear" w:color="auto" w:fill="auto"/>
            <w:noWrap/>
            <w:vAlign w:val="center"/>
            <w:hideMark/>
          </w:tcPr>
          <w:p w14:paraId="250B261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25</w:t>
            </w:r>
          </w:p>
        </w:tc>
        <w:tc>
          <w:tcPr>
            <w:tcW w:w="6106" w:type="dxa"/>
            <w:shd w:val="clear" w:color="auto" w:fill="auto"/>
            <w:noWrap/>
            <w:vAlign w:val="center"/>
            <w:hideMark/>
          </w:tcPr>
          <w:p w14:paraId="37C21A8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Commonwealth Telecommunications Organisation</w:t>
            </w:r>
          </w:p>
        </w:tc>
        <w:tc>
          <w:tcPr>
            <w:tcW w:w="1418" w:type="dxa"/>
            <w:shd w:val="clear" w:color="auto" w:fill="auto"/>
            <w:noWrap/>
            <w:vAlign w:val="center"/>
            <w:hideMark/>
          </w:tcPr>
          <w:p w14:paraId="2C80676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550C141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15A9B223" w14:textId="77777777" w:rsidTr="008A5E8F">
        <w:trPr>
          <w:trHeight w:val="294"/>
        </w:trPr>
        <w:tc>
          <w:tcPr>
            <w:tcW w:w="715" w:type="dxa"/>
            <w:shd w:val="clear" w:color="auto" w:fill="auto"/>
            <w:noWrap/>
            <w:vAlign w:val="center"/>
            <w:hideMark/>
          </w:tcPr>
          <w:p w14:paraId="7922D8D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26</w:t>
            </w:r>
          </w:p>
        </w:tc>
        <w:tc>
          <w:tcPr>
            <w:tcW w:w="6106" w:type="dxa"/>
            <w:shd w:val="clear" w:color="auto" w:fill="auto"/>
            <w:noWrap/>
            <w:vAlign w:val="center"/>
            <w:hideMark/>
          </w:tcPr>
          <w:p w14:paraId="48E6043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Consumers International</w:t>
            </w:r>
          </w:p>
        </w:tc>
        <w:tc>
          <w:tcPr>
            <w:tcW w:w="1418" w:type="dxa"/>
            <w:shd w:val="clear" w:color="auto" w:fill="auto"/>
            <w:noWrap/>
            <w:vAlign w:val="center"/>
            <w:hideMark/>
          </w:tcPr>
          <w:p w14:paraId="3B3D079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2F59735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TD</w:t>
            </w:r>
          </w:p>
        </w:tc>
      </w:tr>
      <w:tr w:rsidR="002D3066" w:rsidRPr="002D3066" w14:paraId="51355899" w14:textId="77777777" w:rsidTr="008A5E8F">
        <w:trPr>
          <w:trHeight w:val="294"/>
        </w:trPr>
        <w:tc>
          <w:tcPr>
            <w:tcW w:w="715" w:type="dxa"/>
            <w:shd w:val="clear" w:color="auto" w:fill="auto"/>
            <w:noWrap/>
            <w:vAlign w:val="center"/>
            <w:hideMark/>
          </w:tcPr>
          <w:p w14:paraId="2A2395A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27</w:t>
            </w:r>
          </w:p>
        </w:tc>
        <w:tc>
          <w:tcPr>
            <w:tcW w:w="6106" w:type="dxa"/>
            <w:shd w:val="clear" w:color="auto" w:fill="auto"/>
            <w:noWrap/>
            <w:vAlign w:val="center"/>
            <w:hideMark/>
          </w:tcPr>
          <w:p w14:paraId="3231C0B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Cooperation Council for the Arab States of the Gulf</w:t>
            </w:r>
          </w:p>
        </w:tc>
        <w:tc>
          <w:tcPr>
            <w:tcW w:w="1418" w:type="dxa"/>
            <w:shd w:val="clear" w:color="auto" w:fill="auto"/>
            <w:noWrap/>
            <w:vAlign w:val="center"/>
            <w:hideMark/>
          </w:tcPr>
          <w:p w14:paraId="39BB5FD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64594EE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7A67333D" w14:textId="77777777" w:rsidTr="008A5E8F">
        <w:trPr>
          <w:trHeight w:val="294"/>
        </w:trPr>
        <w:tc>
          <w:tcPr>
            <w:tcW w:w="715" w:type="dxa"/>
            <w:shd w:val="clear" w:color="auto" w:fill="auto"/>
            <w:noWrap/>
            <w:vAlign w:val="center"/>
            <w:hideMark/>
          </w:tcPr>
          <w:p w14:paraId="0694CD8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28</w:t>
            </w:r>
          </w:p>
        </w:tc>
        <w:tc>
          <w:tcPr>
            <w:tcW w:w="6106" w:type="dxa"/>
            <w:shd w:val="clear" w:color="auto" w:fill="auto"/>
            <w:noWrap/>
            <w:vAlign w:val="center"/>
            <w:hideMark/>
          </w:tcPr>
          <w:p w14:paraId="159CCB9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Digital Cooperation Organization</w:t>
            </w:r>
          </w:p>
        </w:tc>
        <w:tc>
          <w:tcPr>
            <w:tcW w:w="1418" w:type="dxa"/>
            <w:shd w:val="clear" w:color="auto" w:fill="auto"/>
            <w:noWrap/>
            <w:vAlign w:val="center"/>
            <w:hideMark/>
          </w:tcPr>
          <w:p w14:paraId="3B3B581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6EB03ED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r>
      <w:tr w:rsidR="002D3066" w:rsidRPr="002D3066" w14:paraId="6C633D5B" w14:textId="77777777" w:rsidTr="008A5E8F">
        <w:trPr>
          <w:trHeight w:val="294"/>
        </w:trPr>
        <w:tc>
          <w:tcPr>
            <w:tcW w:w="715" w:type="dxa"/>
            <w:shd w:val="clear" w:color="auto" w:fill="auto"/>
            <w:noWrap/>
            <w:vAlign w:val="center"/>
            <w:hideMark/>
          </w:tcPr>
          <w:p w14:paraId="64259E7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29</w:t>
            </w:r>
          </w:p>
        </w:tc>
        <w:tc>
          <w:tcPr>
            <w:tcW w:w="6106" w:type="dxa"/>
            <w:shd w:val="clear" w:color="auto" w:fill="auto"/>
            <w:noWrap/>
            <w:vAlign w:val="center"/>
            <w:hideMark/>
          </w:tcPr>
          <w:p w14:paraId="123D76C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Digital Radio Mondiale</w:t>
            </w:r>
          </w:p>
        </w:tc>
        <w:tc>
          <w:tcPr>
            <w:tcW w:w="1418" w:type="dxa"/>
            <w:shd w:val="clear" w:color="auto" w:fill="auto"/>
            <w:noWrap/>
            <w:vAlign w:val="center"/>
            <w:hideMark/>
          </w:tcPr>
          <w:p w14:paraId="5B027C9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971C36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RD</w:t>
            </w:r>
          </w:p>
        </w:tc>
      </w:tr>
      <w:tr w:rsidR="002D3066" w:rsidRPr="002D3066" w14:paraId="0DFD0D52" w14:textId="77777777" w:rsidTr="008A5E8F">
        <w:trPr>
          <w:trHeight w:val="294"/>
        </w:trPr>
        <w:tc>
          <w:tcPr>
            <w:tcW w:w="715" w:type="dxa"/>
            <w:shd w:val="clear" w:color="auto" w:fill="auto"/>
            <w:noWrap/>
            <w:vAlign w:val="center"/>
            <w:hideMark/>
          </w:tcPr>
          <w:p w14:paraId="3635C99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30</w:t>
            </w:r>
          </w:p>
        </w:tc>
        <w:tc>
          <w:tcPr>
            <w:tcW w:w="6106" w:type="dxa"/>
            <w:shd w:val="clear" w:color="auto" w:fill="auto"/>
            <w:noWrap/>
            <w:vAlign w:val="center"/>
            <w:hideMark/>
          </w:tcPr>
          <w:p w14:paraId="48827CB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eastAsia="en-GB"/>
              </w:rPr>
            </w:pPr>
            <w:r w:rsidRPr="002D3066">
              <w:rPr>
                <w:rFonts w:cs="Calibri"/>
                <w:color w:val="000000"/>
                <w:sz w:val="20"/>
              </w:rPr>
              <w:t>East African Community</w:t>
            </w:r>
          </w:p>
        </w:tc>
        <w:tc>
          <w:tcPr>
            <w:tcW w:w="1418" w:type="dxa"/>
            <w:shd w:val="clear" w:color="auto" w:fill="auto"/>
            <w:noWrap/>
            <w:vAlign w:val="center"/>
            <w:hideMark/>
          </w:tcPr>
          <w:p w14:paraId="50F8604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6392B37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r>
      <w:tr w:rsidR="002D3066" w:rsidRPr="002D3066" w14:paraId="093FFE14" w14:textId="77777777" w:rsidTr="008A5E8F">
        <w:trPr>
          <w:trHeight w:val="294"/>
        </w:trPr>
        <w:tc>
          <w:tcPr>
            <w:tcW w:w="715" w:type="dxa"/>
            <w:shd w:val="clear" w:color="auto" w:fill="auto"/>
            <w:noWrap/>
            <w:vAlign w:val="center"/>
            <w:hideMark/>
          </w:tcPr>
          <w:p w14:paraId="3FF4B1C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31</w:t>
            </w:r>
          </w:p>
        </w:tc>
        <w:tc>
          <w:tcPr>
            <w:tcW w:w="6106" w:type="dxa"/>
            <w:shd w:val="clear" w:color="auto" w:fill="auto"/>
            <w:noWrap/>
            <w:vAlign w:val="center"/>
            <w:hideMark/>
          </w:tcPr>
          <w:p w14:paraId="2954A82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eastAsia="en-GB"/>
              </w:rPr>
            </w:pPr>
            <w:r w:rsidRPr="002D3066">
              <w:rPr>
                <w:rFonts w:cs="Calibri"/>
                <w:color w:val="000000"/>
                <w:sz w:val="20"/>
                <w:lang w:val="fr-BE"/>
              </w:rPr>
              <w:t>Ecole Supérieure Multinationale des Télécommunications</w:t>
            </w:r>
          </w:p>
        </w:tc>
        <w:tc>
          <w:tcPr>
            <w:tcW w:w="1418" w:type="dxa"/>
            <w:shd w:val="clear" w:color="auto" w:fill="auto"/>
            <w:noWrap/>
            <w:vAlign w:val="center"/>
            <w:hideMark/>
          </w:tcPr>
          <w:p w14:paraId="2FC30AD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68831EC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6782313E" w14:textId="77777777" w:rsidTr="008A5E8F">
        <w:trPr>
          <w:trHeight w:val="294"/>
        </w:trPr>
        <w:tc>
          <w:tcPr>
            <w:tcW w:w="715" w:type="dxa"/>
            <w:shd w:val="clear" w:color="auto" w:fill="auto"/>
            <w:noWrap/>
            <w:vAlign w:val="center"/>
            <w:hideMark/>
          </w:tcPr>
          <w:p w14:paraId="7702F39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32</w:t>
            </w:r>
          </w:p>
        </w:tc>
        <w:tc>
          <w:tcPr>
            <w:tcW w:w="6106" w:type="dxa"/>
            <w:shd w:val="clear" w:color="auto" w:fill="auto"/>
            <w:noWrap/>
            <w:vAlign w:val="center"/>
            <w:hideMark/>
          </w:tcPr>
          <w:p w14:paraId="47470B9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Economic Community for West African States</w:t>
            </w:r>
          </w:p>
        </w:tc>
        <w:tc>
          <w:tcPr>
            <w:tcW w:w="1418" w:type="dxa"/>
            <w:shd w:val="clear" w:color="auto" w:fill="auto"/>
            <w:noWrap/>
            <w:vAlign w:val="center"/>
            <w:hideMark/>
          </w:tcPr>
          <w:p w14:paraId="0B9595A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49BC93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3BBE2992" w14:textId="77777777" w:rsidTr="008A5E8F">
        <w:trPr>
          <w:trHeight w:val="294"/>
        </w:trPr>
        <w:tc>
          <w:tcPr>
            <w:tcW w:w="715" w:type="dxa"/>
            <w:shd w:val="clear" w:color="auto" w:fill="auto"/>
            <w:noWrap/>
            <w:vAlign w:val="center"/>
            <w:hideMark/>
          </w:tcPr>
          <w:p w14:paraId="08A80C9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33</w:t>
            </w:r>
          </w:p>
        </w:tc>
        <w:tc>
          <w:tcPr>
            <w:tcW w:w="6106" w:type="dxa"/>
            <w:shd w:val="clear" w:color="auto" w:fill="auto"/>
            <w:noWrap/>
            <w:vAlign w:val="center"/>
            <w:hideMark/>
          </w:tcPr>
          <w:p w14:paraId="31F6BF8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ECPAT International</w:t>
            </w:r>
          </w:p>
        </w:tc>
        <w:tc>
          <w:tcPr>
            <w:tcW w:w="1418" w:type="dxa"/>
            <w:shd w:val="clear" w:color="auto" w:fill="auto"/>
            <w:noWrap/>
            <w:vAlign w:val="center"/>
            <w:hideMark/>
          </w:tcPr>
          <w:p w14:paraId="621DDE3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2EE2540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r>
      <w:tr w:rsidR="002D3066" w:rsidRPr="002D3066" w14:paraId="11D8654D" w14:textId="77777777" w:rsidTr="008A5E8F">
        <w:trPr>
          <w:trHeight w:val="294"/>
        </w:trPr>
        <w:tc>
          <w:tcPr>
            <w:tcW w:w="715" w:type="dxa"/>
            <w:shd w:val="clear" w:color="auto" w:fill="auto"/>
            <w:noWrap/>
            <w:vAlign w:val="center"/>
            <w:hideMark/>
          </w:tcPr>
          <w:p w14:paraId="094D932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34</w:t>
            </w:r>
          </w:p>
        </w:tc>
        <w:tc>
          <w:tcPr>
            <w:tcW w:w="6106" w:type="dxa"/>
            <w:shd w:val="clear" w:color="auto" w:fill="auto"/>
            <w:noWrap/>
            <w:vAlign w:val="center"/>
            <w:hideMark/>
          </w:tcPr>
          <w:p w14:paraId="0012A26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European Broadcasting Union</w:t>
            </w:r>
          </w:p>
        </w:tc>
        <w:tc>
          <w:tcPr>
            <w:tcW w:w="1418" w:type="dxa"/>
            <w:shd w:val="clear" w:color="auto" w:fill="auto"/>
            <w:noWrap/>
            <w:vAlign w:val="center"/>
            <w:hideMark/>
          </w:tcPr>
          <w:p w14:paraId="65ECE01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4B5EE08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591BC5B1" w14:textId="77777777" w:rsidTr="008A5E8F">
        <w:trPr>
          <w:trHeight w:val="294"/>
        </w:trPr>
        <w:tc>
          <w:tcPr>
            <w:tcW w:w="715" w:type="dxa"/>
            <w:shd w:val="clear" w:color="auto" w:fill="auto"/>
            <w:noWrap/>
            <w:vAlign w:val="center"/>
            <w:hideMark/>
          </w:tcPr>
          <w:p w14:paraId="35B2EEA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35</w:t>
            </w:r>
          </w:p>
        </w:tc>
        <w:tc>
          <w:tcPr>
            <w:tcW w:w="6106" w:type="dxa"/>
            <w:shd w:val="clear" w:color="auto" w:fill="auto"/>
            <w:noWrap/>
            <w:vAlign w:val="center"/>
            <w:hideMark/>
          </w:tcPr>
          <w:p w14:paraId="2C7B231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European Communications Office</w:t>
            </w:r>
          </w:p>
        </w:tc>
        <w:tc>
          <w:tcPr>
            <w:tcW w:w="1418" w:type="dxa"/>
            <w:shd w:val="clear" w:color="auto" w:fill="auto"/>
            <w:noWrap/>
            <w:vAlign w:val="center"/>
            <w:hideMark/>
          </w:tcPr>
          <w:p w14:paraId="0AFCE9D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23A3AC7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3FD57041" w14:textId="77777777" w:rsidTr="008A5E8F">
        <w:trPr>
          <w:trHeight w:val="294"/>
        </w:trPr>
        <w:tc>
          <w:tcPr>
            <w:tcW w:w="715" w:type="dxa"/>
            <w:shd w:val="clear" w:color="auto" w:fill="auto"/>
            <w:noWrap/>
            <w:vAlign w:val="center"/>
            <w:hideMark/>
          </w:tcPr>
          <w:p w14:paraId="197BF23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36</w:t>
            </w:r>
          </w:p>
        </w:tc>
        <w:tc>
          <w:tcPr>
            <w:tcW w:w="6106" w:type="dxa"/>
            <w:shd w:val="clear" w:color="auto" w:fill="auto"/>
            <w:noWrap/>
            <w:vAlign w:val="center"/>
            <w:hideMark/>
          </w:tcPr>
          <w:p w14:paraId="430701F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European Conference of Postal and Telecommunications Administrations</w:t>
            </w:r>
          </w:p>
        </w:tc>
        <w:tc>
          <w:tcPr>
            <w:tcW w:w="1418" w:type="dxa"/>
            <w:shd w:val="clear" w:color="auto" w:fill="auto"/>
            <w:noWrap/>
            <w:vAlign w:val="center"/>
            <w:hideMark/>
          </w:tcPr>
          <w:p w14:paraId="7EE2409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REGORG</w:t>
            </w:r>
          </w:p>
        </w:tc>
        <w:tc>
          <w:tcPr>
            <w:tcW w:w="1106" w:type="dxa"/>
            <w:shd w:val="clear" w:color="auto" w:fill="auto"/>
            <w:noWrap/>
            <w:vAlign w:val="center"/>
            <w:hideMark/>
          </w:tcPr>
          <w:p w14:paraId="48D5742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56A80BCD" w14:textId="77777777" w:rsidTr="008A5E8F">
        <w:trPr>
          <w:trHeight w:val="294"/>
        </w:trPr>
        <w:tc>
          <w:tcPr>
            <w:tcW w:w="715" w:type="dxa"/>
            <w:shd w:val="clear" w:color="auto" w:fill="auto"/>
            <w:noWrap/>
            <w:vAlign w:val="center"/>
            <w:hideMark/>
          </w:tcPr>
          <w:p w14:paraId="7A404C0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37</w:t>
            </w:r>
          </w:p>
        </w:tc>
        <w:tc>
          <w:tcPr>
            <w:tcW w:w="6106" w:type="dxa"/>
            <w:shd w:val="clear" w:color="auto" w:fill="auto"/>
            <w:noWrap/>
            <w:vAlign w:val="center"/>
            <w:hideMark/>
          </w:tcPr>
          <w:p w14:paraId="0FB156E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European Radio Amateurs' Organization</w:t>
            </w:r>
          </w:p>
        </w:tc>
        <w:tc>
          <w:tcPr>
            <w:tcW w:w="1418" w:type="dxa"/>
            <w:shd w:val="clear" w:color="auto" w:fill="auto"/>
            <w:noWrap/>
            <w:vAlign w:val="center"/>
            <w:hideMark/>
          </w:tcPr>
          <w:p w14:paraId="2160865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F0F3D1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5D597E3D" w14:textId="77777777" w:rsidTr="008A5E8F">
        <w:trPr>
          <w:trHeight w:val="294"/>
        </w:trPr>
        <w:tc>
          <w:tcPr>
            <w:tcW w:w="715" w:type="dxa"/>
            <w:shd w:val="clear" w:color="auto" w:fill="auto"/>
            <w:noWrap/>
            <w:vAlign w:val="center"/>
            <w:hideMark/>
          </w:tcPr>
          <w:p w14:paraId="07D98CE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38</w:t>
            </w:r>
          </w:p>
        </w:tc>
        <w:tc>
          <w:tcPr>
            <w:tcW w:w="6106" w:type="dxa"/>
            <w:shd w:val="clear" w:color="auto" w:fill="auto"/>
            <w:noWrap/>
            <w:vAlign w:val="center"/>
            <w:hideMark/>
          </w:tcPr>
          <w:p w14:paraId="3FFEE35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European Telecommunications Satellite Organisation</w:t>
            </w:r>
          </w:p>
        </w:tc>
        <w:tc>
          <w:tcPr>
            <w:tcW w:w="1418" w:type="dxa"/>
            <w:shd w:val="clear" w:color="auto" w:fill="auto"/>
            <w:noWrap/>
            <w:vAlign w:val="center"/>
            <w:hideMark/>
          </w:tcPr>
          <w:p w14:paraId="30654D2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SATORG</w:t>
            </w:r>
          </w:p>
        </w:tc>
        <w:tc>
          <w:tcPr>
            <w:tcW w:w="1106" w:type="dxa"/>
            <w:shd w:val="clear" w:color="auto" w:fill="auto"/>
            <w:noWrap/>
            <w:vAlign w:val="center"/>
            <w:hideMark/>
          </w:tcPr>
          <w:p w14:paraId="394D163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7869A8B0" w14:textId="77777777" w:rsidTr="008A5E8F">
        <w:trPr>
          <w:trHeight w:val="294"/>
        </w:trPr>
        <w:tc>
          <w:tcPr>
            <w:tcW w:w="715" w:type="dxa"/>
            <w:shd w:val="clear" w:color="auto" w:fill="auto"/>
            <w:noWrap/>
            <w:vAlign w:val="center"/>
            <w:hideMark/>
          </w:tcPr>
          <w:p w14:paraId="4D4CD09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lastRenderedPageBreak/>
              <w:t>39</w:t>
            </w:r>
          </w:p>
        </w:tc>
        <w:tc>
          <w:tcPr>
            <w:tcW w:w="6106" w:type="dxa"/>
            <w:shd w:val="clear" w:color="auto" w:fill="auto"/>
            <w:noWrap/>
            <w:vAlign w:val="center"/>
            <w:hideMark/>
          </w:tcPr>
          <w:p w14:paraId="16EAEFF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European Telecommunications Standards Institute</w:t>
            </w:r>
          </w:p>
        </w:tc>
        <w:tc>
          <w:tcPr>
            <w:tcW w:w="1418" w:type="dxa"/>
            <w:shd w:val="clear" w:color="auto" w:fill="auto"/>
            <w:noWrap/>
            <w:vAlign w:val="center"/>
            <w:hideMark/>
          </w:tcPr>
          <w:p w14:paraId="4E03EE8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7E1B1A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7538388B" w14:textId="77777777" w:rsidTr="008A5E8F">
        <w:trPr>
          <w:trHeight w:val="294"/>
        </w:trPr>
        <w:tc>
          <w:tcPr>
            <w:tcW w:w="715" w:type="dxa"/>
            <w:shd w:val="clear" w:color="auto" w:fill="auto"/>
            <w:noWrap/>
            <w:vAlign w:val="center"/>
            <w:hideMark/>
          </w:tcPr>
          <w:p w14:paraId="0879514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40</w:t>
            </w:r>
          </w:p>
        </w:tc>
        <w:tc>
          <w:tcPr>
            <w:tcW w:w="6106" w:type="dxa"/>
            <w:shd w:val="clear" w:color="auto" w:fill="auto"/>
            <w:noWrap/>
            <w:vAlign w:val="center"/>
            <w:hideMark/>
          </w:tcPr>
          <w:p w14:paraId="3130463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Forum of Incident Response and Security Teams (FIRST)</w:t>
            </w:r>
          </w:p>
        </w:tc>
        <w:tc>
          <w:tcPr>
            <w:tcW w:w="1418" w:type="dxa"/>
            <w:shd w:val="clear" w:color="auto" w:fill="auto"/>
            <w:noWrap/>
            <w:vAlign w:val="center"/>
            <w:hideMark/>
          </w:tcPr>
          <w:p w14:paraId="2401BC7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71A8D67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TD</w:t>
            </w:r>
          </w:p>
        </w:tc>
      </w:tr>
      <w:tr w:rsidR="002D3066" w:rsidRPr="002D3066" w14:paraId="4A354188" w14:textId="77777777" w:rsidTr="008A5E8F">
        <w:trPr>
          <w:trHeight w:val="294"/>
        </w:trPr>
        <w:tc>
          <w:tcPr>
            <w:tcW w:w="715" w:type="dxa"/>
            <w:shd w:val="clear" w:color="auto" w:fill="auto"/>
            <w:noWrap/>
            <w:vAlign w:val="center"/>
            <w:hideMark/>
          </w:tcPr>
          <w:p w14:paraId="08DE17D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41</w:t>
            </w:r>
          </w:p>
        </w:tc>
        <w:tc>
          <w:tcPr>
            <w:tcW w:w="6106" w:type="dxa"/>
            <w:shd w:val="clear" w:color="auto" w:fill="auto"/>
            <w:noWrap/>
            <w:vAlign w:val="center"/>
            <w:hideMark/>
          </w:tcPr>
          <w:p w14:paraId="4B4684BA" w14:textId="1D3DB053"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G3ict - Global Initiative for Inclusive I</w:t>
            </w:r>
            <w:r w:rsidR="00D313AB">
              <w:rPr>
                <w:rFonts w:cs="Calibri"/>
                <w:color w:val="000000"/>
                <w:sz w:val="20"/>
              </w:rPr>
              <w:t>CTs</w:t>
            </w:r>
          </w:p>
        </w:tc>
        <w:tc>
          <w:tcPr>
            <w:tcW w:w="1418" w:type="dxa"/>
            <w:shd w:val="clear" w:color="auto" w:fill="auto"/>
            <w:noWrap/>
            <w:vAlign w:val="center"/>
            <w:hideMark/>
          </w:tcPr>
          <w:p w14:paraId="6B5EAEA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2A60449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1871D662" w14:textId="77777777" w:rsidTr="008A5E8F">
        <w:trPr>
          <w:trHeight w:val="294"/>
        </w:trPr>
        <w:tc>
          <w:tcPr>
            <w:tcW w:w="715" w:type="dxa"/>
            <w:shd w:val="clear" w:color="auto" w:fill="auto"/>
            <w:noWrap/>
            <w:vAlign w:val="center"/>
            <w:hideMark/>
          </w:tcPr>
          <w:p w14:paraId="781FD9F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42</w:t>
            </w:r>
          </w:p>
        </w:tc>
        <w:tc>
          <w:tcPr>
            <w:tcW w:w="6106" w:type="dxa"/>
            <w:shd w:val="clear" w:color="auto" w:fill="auto"/>
            <w:noWrap/>
            <w:vAlign w:val="center"/>
            <w:hideMark/>
          </w:tcPr>
          <w:p w14:paraId="78F9D79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GCC Standardization Organization (GSO)</w:t>
            </w:r>
          </w:p>
        </w:tc>
        <w:tc>
          <w:tcPr>
            <w:tcW w:w="1418" w:type="dxa"/>
            <w:shd w:val="clear" w:color="auto" w:fill="auto"/>
            <w:noWrap/>
            <w:vAlign w:val="center"/>
            <w:hideMark/>
          </w:tcPr>
          <w:p w14:paraId="23D05CE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B88C17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w:t>
            </w:r>
          </w:p>
        </w:tc>
      </w:tr>
      <w:tr w:rsidR="002D3066" w:rsidRPr="002D3066" w14:paraId="3DEBFF52" w14:textId="77777777" w:rsidTr="008A5E8F">
        <w:trPr>
          <w:trHeight w:val="294"/>
        </w:trPr>
        <w:tc>
          <w:tcPr>
            <w:tcW w:w="715" w:type="dxa"/>
            <w:shd w:val="clear" w:color="auto" w:fill="auto"/>
            <w:noWrap/>
            <w:vAlign w:val="center"/>
            <w:hideMark/>
          </w:tcPr>
          <w:p w14:paraId="623A284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43</w:t>
            </w:r>
          </w:p>
        </w:tc>
        <w:tc>
          <w:tcPr>
            <w:tcW w:w="6106" w:type="dxa"/>
            <w:shd w:val="clear" w:color="auto" w:fill="auto"/>
            <w:noWrap/>
            <w:vAlign w:val="center"/>
            <w:hideMark/>
          </w:tcPr>
          <w:p w14:paraId="6C27C18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HFCC-International Broadcasting Delivery</w:t>
            </w:r>
          </w:p>
        </w:tc>
        <w:tc>
          <w:tcPr>
            <w:tcW w:w="1418" w:type="dxa"/>
            <w:shd w:val="clear" w:color="auto" w:fill="auto"/>
            <w:noWrap/>
            <w:vAlign w:val="center"/>
            <w:hideMark/>
          </w:tcPr>
          <w:p w14:paraId="4C37FF1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1B41948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4481C93C" w14:textId="77777777" w:rsidTr="008A5E8F">
        <w:trPr>
          <w:trHeight w:val="294"/>
        </w:trPr>
        <w:tc>
          <w:tcPr>
            <w:tcW w:w="715" w:type="dxa"/>
            <w:shd w:val="clear" w:color="auto" w:fill="auto"/>
            <w:noWrap/>
            <w:vAlign w:val="center"/>
            <w:hideMark/>
          </w:tcPr>
          <w:p w14:paraId="21AEC56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44</w:t>
            </w:r>
          </w:p>
        </w:tc>
        <w:tc>
          <w:tcPr>
            <w:tcW w:w="6106" w:type="dxa"/>
            <w:shd w:val="clear" w:color="auto" w:fill="auto"/>
            <w:noWrap/>
            <w:vAlign w:val="center"/>
            <w:hideMark/>
          </w:tcPr>
          <w:p w14:paraId="48D8E23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IJMA3-The Arab ICT Organization</w:t>
            </w:r>
          </w:p>
        </w:tc>
        <w:tc>
          <w:tcPr>
            <w:tcW w:w="1418" w:type="dxa"/>
            <w:shd w:val="clear" w:color="auto" w:fill="auto"/>
            <w:noWrap/>
            <w:vAlign w:val="center"/>
            <w:hideMark/>
          </w:tcPr>
          <w:p w14:paraId="436BC00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17B2E18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TD</w:t>
            </w:r>
          </w:p>
        </w:tc>
      </w:tr>
      <w:tr w:rsidR="002D3066" w:rsidRPr="002D3066" w14:paraId="035321C3" w14:textId="77777777" w:rsidTr="008A5E8F">
        <w:trPr>
          <w:trHeight w:val="294"/>
        </w:trPr>
        <w:tc>
          <w:tcPr>
            <w:tcW w:w="715" w:type="dxa"/>
            <w:shd w:val="clear" w:color="auto" w:fill="auto"/>
            <w:noWrap/>
            <w:vAlign w:val="center"/>
            <w:hideMark/>
          </w:tcPr>
          <w:p w14:paraId="4211E58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45</w:t>
            </w:r>
          </w:p>
        </w:tc>
        <w:tc>
          <w:tcPr>
            <w:tcW w:w="6106" w:type="dxa"/>
            <w:shd w:val="clear" w:color="auto" w:fill="auto"/>
            <w:noWrap/>
            <w:vAlign w:val="center"/>
            <w:hideMark/>
          </w:tcPr>
          <w:p w14:paraId="43A03B7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Institute of Electrical and Electronics Engineers, Inc. (IEEE)</w:t>
            </w:r>
          </w:p>
        </w:tc>
        <w:tc>
          <w:tcPr>
            <w:tcW w:w="1418" w:type="dxa"/>
            <w:shd w:val="clear" w:color="auto" w:fill="auto"/>
            <w:noWrap/>
            <w:vAlign w:val="center"/>
            <w:hideMark/>
          </w:tcPr>
          <w:p w14:paraId="751758D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1BB82AE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7E1C242D" w14:textId="77777777" w:rsidTr="008A5E8F">
        <w:trPr>
          <w:trHeight w:val="294"/>
        </w:trPr>
        <w:tc>
          <w:tcPr>
            <w:tcW w:w="715" w:type="dxa"/>
            <w:shd w:val="clear" w:color="auto" w:fill="auto"/>
            <w:noWrap/>
            <w:vAlign w:val="center"/>
            <w:hideMark/>
          </w:tcPr>
          <w:p w14:paraId="2742E5A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46</w:t>
            </w:r>
          </w:p>
        </w:tc>
        <w:tc>
          <w:tcPr>
            <w:tcW w:w="6106" w:type="dxa"/>
            <w:shd w:val="clear" w:color="auto" w:fill="auto"/>
            <w:noWrap/>
            <w:vAlign w:val="center"/>
            <w:hideMark/>
          </w:tcPr>
          <w:p w14:paraId="4C70C07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Inter-American Telecommunication Commission (CITEL)</w:t>
            </w:r>
          </w:p>
        </w:tc>
        <w:tc>
          <w:tcPr>
            <w:tcW w:w="1418" w:type="dxa"/>
            <w:shd w:val="clear" w:color="auto" w:fill="auto"/>
            <w:noWrap/>
            <w:vAlign w:val="center"/>
            <w:hideMark/>
          </w:tcPr>
          <w:p w14:paraId="1C935CD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REGORG</w:t>
            </w:r>
          </w:p>
        </w:tc>
        <w:tc>
          <w:tcPr>
            <w:tcW w:w="1106" w:type="dxa"/>
            <w:shd w:val="clear" w:color="auto" w:fill="auto"/>
            <w:noWrap/>
            <w:vAlign w:val="center"/>
            <w:hideMark/>
          </w:tcPr>
          <w:p w14:paraId="5C5D308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47479553" w14:textId="77777777" w:rsidTr="008A5E8F">
        <w:trPr>
          <w:trHeight w:val="294"/>
        </w:trPr>
        <w:tc>
          <w:tcPr>
            <w:tcW w:w="715" w:type="dxa"/>
            <w:shd w:val="clear" w:color="auto" w:fill="auto"/>
            <w:noWrap/>
            <w:vAlign w:val="center"/>
            <w:hideMark/>
          </w:tcPr>
          <w:p w14:paraId="18A4D0D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47</w:t>
            </w:r>
          </w:p>
        </w:tc>
        <w:tc>
          <w:tcPr>
            <w:tcW w:w="6106" w:type="dxa"/>
            <w:shd w:val="clear" w:color="auto" w:fill="auto"/>
            <w:noWrap/>
            <w:vAlign w:val="center"/>
            <w:hideMark/>
          </w:tcPr>
          <w:p w14:paraId="05EC1FD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Amateur Radio Union</w:t>
            </w:r>
          </w:p>
        </w:tc>
        <w:tc>
          <w:tcPr>
            <w:tcW w:w="1418" w:type="dxa"/>
            <w:shd w:val="clear" w:color="auto" w:fill="auto"/>
            <w:noWrap/>
            <w:vAlign w:val="center"/>
            <w:hideMark/>
          </w:tcPr>
          <w:p w14:paraId="4E8F731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703F4BB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RD</w:t>
            </w:r>
          </w:p>
        </w:tc>
      </w:tr>
      <w:tr w:rsidR="002D3066" w:rsidRPr="002D3066" w14:paraId="35AC7C97" w14:textId="77777777" w:rsidTr="008A5E8F">
        <w:trPr>
          <w:trHeight w:val="294"/>
        </w:trPr>
        <w:tc>
          <w:tcPr>
            <w:tcW w:w="715" w:type="dxa"/>
            <w:shd w:val="clear" w:color="auto" w:fill="auto"/>
            <w:noWrap/>
            <w:vAlign w:val="center"/>
            <w:hideMark/>
          </w:tcPr>
          <w:p w14:paraId="20386AB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48</w:t>
            </w:r>
          </w:p>
        </w:tc>
        <w:tc>
          <w:tcPr>
            <w:tcW w:w="6106" w:type="dxa"/>
            <w:shd w:val="clear" w:color="auto" w:fill="auto"/>
            <w:noWrap/>
            <w:vAlign w:val="center"/>
            <w:hideMark/>
          </w:tcPr>
          <w:p w14:paraId="2F61E47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Association of Broadcasting</w:t>
            </w:r>
          </w:p>
        </w:tc>
        <w:tc>
          <w:tcPr>
            <w:tcW w:w="1418" w:type="dxa"/>
            <w:shd w:val="clear" w:color="auto" w:fill="auto"/>
            <w:noWrap/>
            <w:vAlign w:val="center"/>
            <w:hideMark/>
          </w:tcPr>
          <w:p w14:paraId="59866CB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150681C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3F2C30CC" w14:textId="77777777" w:rsidTr="008A5E8F">
        <w:trPr>
          <w:trHeight w:val="294"/>
        </w:trPr>
        <w:tc>
          <w:tcPr>
            <w:tcW w:w="715" w:type="dxa"/>
            <w:shd w:val="clear" w:color="auto" w:fill="auto"/>
            <w:noWrap/>
            <w:vAlign w:val="center"/>
            <w:hideMark/>
          </w:tcPr>
          <w:p w14:paraId="35347E8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49</w:t>
            </w:r>
          </w:p>
        </w:tc>
        <w:tc>
          <w:tcPr>
            <w:tcW w:w="6106" w:type="dxa"/>
            <w:shd w:val="clear" w:color="auto" w:fill="auto"/>
            <w:noWrap/>
            <w:vAlign w:val="center"/>
            <w:hideMark/>
          </w:tcPr>
          <w:p w14:paraId="39E6DA6F" w14:textId="3348A175" w:rsidR="002D3066" w:rsidRPr="007B5D81"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7B5D81">
              <w:rPr>
                <w:rFonts w:cs="Calibri"/>
                <w:color w:val="000000"/>
                <w:sz w:val="18"/>
                <w:szCs w:val="18"/>
              </w:rPr>
              <w:t>International Ass</w:t>
            </w:r>
            <w:r w:rsidR="00D313AB" w:rsidRPr="007B5D81">
              <w:rPr>
                <w:rFonts w:cs="Calibri"/>
                <w:color w:val="000000"/>
                <w:sz w:val="18"/>
                <w:szCs w:val="18"/>
              </w:rPr>
              <w:t>oc</w:t>
            </w:r>
            <w:r w:rsidRPr="007B5D81">
              <w:rPr>
                <w:rFonts w:cs="Calibri"/>
                <w:color w:val="000000"/>
                <w:sz w:val="18"/>
                <w:szCs w:val="18"/>
              </w:rPr>
              <w:t xml:space="preserve"> of Marine Aids to Navigation and Lighthouse Authorities</w:t>
            </w:r>
          </w:p>
        </w:tc>
        <w:tc>
          <w:tcPr>
            <w:tcW w:w="1418" w:type="dxa"/>
            <w:shd w:val="clear" w:color="auto" w:fill="auto"/>
            <w:noWrap/>
            <w:vAlign w:val="center"/>
            <w:hideMark/>
          </w:tcPr>
          <w:p w14:paraId="6856A28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5EA6C6F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055099A5" w14:textId="77777777" w:rsidTr="008A5E8F">
        <w:trPr>
          <w:trHeight w:val="294"/>
        </w:trPr>
        <w:tc>
          <w:tcPr>
            <w:tcW w:w="715" w:type="dxa"/>
            <w:shd w:val="clear" w:color="auto" w:fill="auto"/>
            <w:noWrap/>
            <w:vAlign w:val="center"/>
            <w:hideMark/>
          </w:tcPr>
          <w:p w14:paraId="1D58E2F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50</w:t>
            </w:r>
          </w:p>
        </w:tc>
        <w:tc>
          <w:tcPr>
            <w:tcW w:w="6106" w:type="dxa"/>
            <w:shd w:val="clear" w:color="auto" w:fill="auto"/>
            <w:noWrap/>
            <w:vAlign w:val="center"/>
            <w:hideMark/>
          </w:tcPr>
          <w:p w14:paraId="7608FEC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Astronautical Federation IAF Secretariat</w:t>
            </w:r>
          </w:p>
        </w:tc>
        <w:tc>
          <w:tcPr>
            <w:tcW w:w="1418" w:type="dxa"/>
            <w:shd w:val="clear" w:color="auto" w:fill="auto"/>
            <w:noWrap/>
            <w:vAlign w:val="center"/>
            <w:hideMark/>
          </w:tcPr>
          <w:p w14:paraId="5223876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380DD27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71BCBE57" w14:textId="77777777" w:rsidTr="008A5E8F">
        <w:trPr>
          <w:trHeight w:val="294"/>
        </w:trPr>
        <w:tc>
          <w:tcPr>
            <w:tcW w:w="715" w:type="dxa"/>
            <w:shd w:val="clear" w:color="auto" w:fill="auto"/>
            <w:noWrap/>
            <w:vAlign w:val="center"/>
            <w:hideMark/>
          </w:tcPr>
          <w:p w14:paraId="0023041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51</w:t>
            </w:r>
          </w:p>
        </w:tc>
        <w:tc>
          <w:tcPr>
            <w:tcW w:w="6106" w:type="dxa"/>
            <w:shd w:val="clear" w:color="auto" w:fill="auto"/>
            <w:noWrap/>
            <w:vAlign w:val="center"/>
            <w:hideMark/>
          </w:tcPr>
          <w:p w14:paraId="5A5FD1B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Astronomical Union</w:t>
            </w:r>
          </w:p>
        </w:tc>
        <w:tc>
          <w:tcPr>
            <w:tcW w:w="1418" w:type="dxa"/>
            <w:shd w:val="clear" w:color="auto" w:fill="auto"/>
            <w:noWrap/>
            <w:vAlign w:val="center"/>
            <w:hideMark/>
          </w:tcPr>
          <w:p w14:paraId="28FC8B7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7B7FD28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23264C80" w14:textId="77777777" w:rsidTr="008A5E8F">
        <w:trPr>
          <w:trHeight w:val="294"/>
        </w:trPr>
        <w:tc>
          <w:tcPr>
            <w:tcW w:w="715" w:type="dxa"/>
            <w:shd w:val="clear" w:color="auto" w:fill="auto"/>
            <w:noWrap/>
            <w:vAlign w:val="center"/>
            <w:hideMark/>
          </w:tcPr>
          <w:p w14:paraId="70DEF11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52</w:t>
            </w:r>
          </w:p>
        </w:tc>
        <w:tc>
          <w:tcPr>
            <w:tcW w:w="6106" w:type="dxa"/>
            <w:shd w:val="clear" w:color="auto" w:fill="auto"/>
            <w:noWrap/>
            <w:vAlign w:val="center"/>
            <w:hideMark/>
          </w:tcPr>
          <w:p w14:paraId="33D3BEF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Bureau of Weights and Measures</w:t>
            </w:r>
          </w:p>
        </w:tc>
        <w:tc>
          <w:tcPr>
            <w:tcW w:w="1418" w:type="dxa"/>
            <w:shd w:val="clear" w:color="auto" w:fill="auto"/>
            <w:noWrap/>
            <w:vAlign w:val="center"/>
            <w:hideMark/>
          </w:tcPr>
          <w:p w14:paraId="5D52122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3090194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51F80C8D" w14:textId="77777777" w:rsidTr="008A5E8F">
        <w:trPr>
          <w:trHeight w:val="294"/>
        </w:trPr>
        <w:tc>
          <w:tcPr>
            <w:tcW w:w="715" w:type="dxa"/>
            <w:shd w:val="clear" w:color="auto" w:fill="auto"/>
            <w:noWrap/>
            <w:vAlign w:val="center"/>
            <w:hideMark/>
          </w:tcPr>
          <w:p w14:paraId="0F519B9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53</w:t>
            </w:r>
          </w:p>
        </w:tc>
        <w:tc>
          <w:tcPr>
            <w:tcW w:w="6106" w:type="dxa"/>
            <w:shd w:val="clear" w:color="auto" w:fill="auto"/>
            <w:noWrap/>
            <w:vAlign w:val="center"/>
            <w:hideMark/>
          </w:tcPr>
          <w:p w14:paraId="48CA1E6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Center for Promotion of Enterprises</w:t>
            </w:r>
          </w:p>
        </w:tc>
        <w:tc>
          <w:tcPr>
            <w:tcW w:w="1418" w:type="dxa"/>
            <w:shd w:val="clear" w:color="auto" w:fill="auto"/>
            <w:noWrap/>
            <w:vAlign w:val="center"/>
            <w:hideMark/>
          </w:tcPr>
          <w:p w14:paraId="0CFD6AF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70FDC19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r>
      <w:tr w:rsidR="002D3066" w:rsidRPr="002D3066" w14:paraId="6F1AA767" w14:textId="77777777" w:rsidTr="008A5E8F">
        <w:trPr>
          <w:trHeight w:val="294"/>
        </w:trPr>
        <w:tc>
          <w:tcPr>
            <w:tcW w:w="715" w:type="dxa"/>
            <w:shd w:val="clear" w:color="auto" w:fill="auto"/>
            <w:noWrap/>
            <w:vAlign w:val="center"/>
            <w:hideMark/>
          </w:tcPr>
          <w:p w14:paraId="3406697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54</w:t>
            </w:r>
          </w:p>
        </w:tc>
        <w:tc>
          <w:tcPr>
            <w:tcW w:w="6106" w:type="dxa"/>
            <w:shd w:val="clear" w:color="auto" w:fill="auto"/>
            <w:noWrap/>
            <w:vAlign w:val="center"/>
            <w:hideMark/>
          </w:tcPr>
          <w:p w14:paraId="7509F2A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Committee of the Red Cross</w:t>
            </w:r>
          </w:p>
        </w:tc>
        <w:tc>
          <w:tcPr>
            <w:tcW w:w="1418" w:type="dxa"/>
            <w:shd w:val="clear" w:color="auto" w:fill="auto"/>
            <w:noWrap/>
            <w:vAlign w:val="center"/>
            <w:hideMark/>
          </w:tcPr>
          <w:p w14:paraId="19AF798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7BD680D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54764EB0" w14:textId="77777777" w:rsidTr="008A5E8F">
        <w:trPr>
          <w:trHeight w:val="294"/>
        </w:trPr>
        <w:tc>
          <w:tcPr>
            <w:tcW w:w="715" w:type="dxa"/>
            <w:shd w:val="clear" w:color="auto" w:fill="auto"/>
            <w:noWrap/>
            <w:vAlign w:val="center"/>
            <w:hideMark/>
          </w:tcPr>
          <w:p w14:paraId="6C9503B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55</w:t>
            </w:r>
          </w:p>
        </w:tc>
        <w:tc>
          <w:tcPr>
            <w:tcW w:w="6106" w:type="dxa"/>
            <w:shd w:val="clear" w:color="auto" w:fill="auto"/>
            <w:noWrap/>
            <w:vAlign w:val="center"/>
            <w:hideMark/>
          </w:tcPr>
          <w:p w14:paraId="2BBB7F1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Council for Science</w:t>
            </w:r>
          </w:p>
        </w:tc>
        <w:tc>
          <w:tcPr>
            <w:tcW w:w="1418" w:type="dxa"/>
            <w:shd w:val="clear" w:color="auto" w:fill="auto"/>
            <w:noWrap/>
            <w:vAlign w:val="center"/>
            <w:hideMark/>
          </w:tcPr>
          <w:p w14:paraId="5307241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5401646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4481E58F" w14:textId="77777777" w:rsidTr="008A5E8F">
        <w:trPr>
          <w:trHeight w:val="294"/>
        </w:trPr>
        <w:tc>
          <w:tcPr>
            <w:tcW w:w="715" w:type="dxa"/>
            <w:shd w:val="clear" w:color="auto" w:fill="auto"/>
            <w:noWrap/>
            <w:vAlign w:val="center"/>
            <w:hideMark/>
          </w:tcPr>
          <w:p w14:paraId="59B58C6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56</w:t>
            </w:r>
          </w:p>
        </w:tc>
        <w:tc>
          <w:tcPr>
            <w:tcW w:w="6106" w:type="dxa"/>
            <w:shd w:val="clear" w:color="auto" w:fill="auto"/>
            <w:noWrap/>
            <w:vAlign w:val="center"/>
            <w:hideMark/>
          </w:tcPr>
          <w:p w14:paraId="24D83CC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Electrotechnical Commission</w:t>
            </w:r>
          </w:p>
        </w:tc>
        <w:tc>
          <w:tcPr>
            <w:tcW w:w="1418" w:type="dxa"/>
            <w:shd w:val="clear" w:color="auto" w:fill="auto"/>
            <w:noWrap/>
            <w:vAlign w:val="center"/>
            <w:hideMark/>
          </w:tcPr>
          <w:p w14:paraId="16A0BE0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2FA7695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4D4DBF73" w14:textId="77777777" w:rsidTr="008A5E8F">
        <w:trPr>
          <w:trHeight w:val="294"/>
        </w:trPr>
        <w:tc>
          <w:tcPr>
            <w:tcW w:w="715" w:type="dxa"/>
            <w:shd w:val="clear" w:color="auto" w:fill="auto"/>
            <w:noWrap/>
            <w:vAlign w:val="center"/>
            <w:hideMark/>
          </w:tcPr>
          <w:p w14:paraId="4650717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57</w:t>
            </w:r>
          </w:p>
        </w:tc>
        <w:tc>
          <w:tcPr>
            <w:tcW w:w="6106" w:type="dxa"/>
            <w:shd w:val="clear" w:color="auto" w:fill="auto"/>
            <w:noWrap/>
            <w:vAlign w:val="center"/>
            <w:hideMark/>
          </w:tcPr>
          <w:p w14:paraId="171CFBB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Federation for Information Processing (IFIP)</w:t>
            </w:r>
          </w:p>
        </w:tc>
        <w:tc>
          <w:tcPr>
            <w:tcW w:w="1418" w:type="dxa"/>
            <w:shd w:val="clear" w:color="auto" w:fill="auto"/>
            <w:noWrap/>
            <w:vAlign w:val="center"/>
            <w:hideMark/>
          </w:tcPr>
          <w:p w14:paraId="4DF1FC3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5764B3A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TD</w:t>
            </w:r>
          </w:p>
        </w:tc>
      </w:tr>
      <w:tr w:rsidR="002D3066" w:rsidRPr="002D3066" w14:paraId="532AF8CB" w14:textId="77777777" w:rsidTr="008A5E8F">
        <w:trPr>
          <w:trHeight w:val="294"/>
        </w:trPr>
        <w:tc>
          <w:tcPr>
            <w:tcW w:w="715" w:type="dxa"/>
            <w:shd w:val="clear" w:color="auto" w:fill="auto"/>
            <w:noWrap/>
            <w:vAlign w:val="center"/>
            <w:hideMark/>
          </w:tcPr>
          <w:p w14:paraId="3AB6832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58</w:t>
            </w:r>
          </w:p>
        </w:tc>
        <w:tc>
          <w:tcPr>
            <w:tcW w:w="6106" w:type="dxa"/>
            <w:shd w:val="clear" w:color="auto" w:fill="auto"/>
            <w:noWrap/>
            <w:vAlign w:val="center"/>
            <w:hideMark/>
          </w:tcPr>
          <w:p w14:paraId="06D364D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Mobile Satellite Organization (IMSO)</w:t>
            </w:r>
          </w:p>
        </w:tc>
        <w:tc>
          <w:tcPr>
            <w:tcW w:w="1418" w:type="dxa"/>
            <w:shd w:val="clear" w:color="auto" w:fill="auto"/>
            <w:noWrap/>
            <w:vAlign w:val="center"/>
            <w:hideMark/>
          </w:tcPr>
          <w:p w14:paraId="76D0398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2D3B334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0C94EBD8" w14:textId="77777777" w:rsidTr="008A5E8F">
        <w:trPr>
          <w:trHeight w:val="294"/>
        </w:trPr>
        <w:tc>
          <w:tcPr>
            <w:tcW w:w="715" w:type="dxa"/>
            <w:shd w:val="clear" w:color="auto" w:fill="auto"/>
            <w:noWrap/>
            <w:vAlign w:val="center"/>
            <w:hideMark/>
          </w:tcPr>
          <w:p w14:paraId="329760F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59</w:t>
            </w:r>
          </w:p>
        </w:tc>
        <w:tc>
          <w:tcPr>
            <w:tcW w:w="6106" w:type="dxa"/>
            <w:shd w:val="clear" w:color="auto" w:fill="auto"/>
            <w:noWrap/>
            <w:vAlign w:val="center"/>
            <w:hideMark/>
          </w:tcPr>
          <w:p w14:paraId="746F6F5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Organization for Standardization</w:t>
            </w:r>
          </w:p>
        </w:tc>
        <w:tc>
          <w:tcPr>
            <w:tcW w:w="1418" w:type="dxa"/>
            <w:shd w:val="clear" w:color="auto" w:fill="auto"/>
            <w:noWrap/>
            <w:vAlign w:val="center"/>
            <w:hideMark/>
          </w:tcPr>
          <w:p w14:paraId="720F62B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534B58A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73934B37" w14:textId="77777777" w:rsidTr="008A5E8F">
        <w:trPr>
          <w:trHeight w:val="294"/>
        </w:trPr>
        <w:tc>
          <w:tcPr>
            <w:tcW w:w="715" w:type="dxa"/>
            <w:shd w:val="clear" w:color="auto" w:fill="auto"/>
            <w:noWrap/>
            <w:vAlign w:val="center"/>
            <w:hideMark/>
          </w:tcPr>
          <w:p w14:paraId="4828638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60</w:t>
            </w:r>
          </w:p>
        </w:tc>
        <w:tc>
          <w:tcPr>
            <w:tcW w:w="6106" w:type="dxa"/>
            <w:shd w:val="clear" w:color="auto" w:fill="auto"/>
            <w:noWrap/>
            <w:vAlign w:val="center"/>
            <w:hideMark/>
          </w:tcPr>
          <w:p w14:paraId="507F3CB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Satellite System for Search and Rescue</w:t>
            </w:r>
          </w:p>
        </w:tc>
        <w:tc>
          <w:tcPr>
            <w:tcW w:w="1418" w:type="dxa"/>
            <w:shd w:val="clear" w:color="auto" w:fill="auto"/>
            <w:noWrap/>
            <w:vAlign w:val="center"/>
            <w:hideMark/>
          </w:tcPr>
          <w:p w14:paraId="3C49DA7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SATORG</w:t>
            </w:r>
          </w:p>
        </w:tc>
        <w:tc>
          <w:tcPr>
            <w:tcW w:w="1106" w:type="dxa"/>
            <w:shd w:val="clear" w:color="auto" w:fill="auto"/>
            <w:noWrap/>
            <w:vAlign w:val="center"/>
            <w:hideMark/>
          </w:tcPr>
          <w:p w14:paraId="784E6C0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3DB5EBD6" w14:textId="77777777" w:rsidTr="008A5E8F">
        <w:trPr>
          <w:trHeight w:val="294"/>
        </w:trPr>
        <w:tc>
          <w:tcPr>
            <w:tcW w:w="715" w:type="dxa"/>
            <w:shd w:val="clear" w:color="auto" w:fill="auto"/>
            <w:noWrap/>
            <w:vAlign w:val="center"/>
            <w:hideMark/>
          </w:tcPr>
          <w:p w14:paraId="74B974C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61</w:t>
            </w:r>
          </w:p>
        </w:tc>
        <w:tc>
          <w:tcPr>
            <w:tcW w:w="6106" w:type="dxa"/>
            <w:shd w:val="clear" w:color="auto" w:fill="auto"/>
            <w:noWrap/>
            <w:vAlign w:val="center"/>
            <w:hideMark/>
          </w:tcPr>
          <w:p w14:paraId="09C2544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Telecommunication Academy</w:t>
            </w:r>
          </w:p>
        </w:tc>
        <w:tc>
          <w:tcPr>
            <w:tcW w:w="1418" w:type="dxa"/>
            <w:shd w:val="clear" w:color="auto" w:fill="auto"/>
            <w:noWrap/>
            <w:vAlign w:val="center"/>
            <w:hideMark/>
          </w:tcPr>
          <w:p w14:paraId="7F2915F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663C989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TD</w:t>
            </w:r>
          </w:p>
        </w:tc>
      </w:tr>
      <w:tr w:rsidR="002D3066" w:rsidRPr="002D3066" w14:paraId="3D8C7A1A" w14:textId="77777777" w:rsidTr="008A5E8F">
        <w:trPr>
          <w:trHeight w:val="294"/>
        </w:trPr>
        <w:tc>
          <w:tcPr>
            <w:tcW w:w="715" w:type="dxa"/>
            <w:shd w:val="clear" w:color="auto" w:fill="auto"/>
            <w:noWrap/>
            <w:vAlign w:val="center"/>
            <w:hideMark/>
          </w:tcPr>
          <w:p w14:paraId="07253F9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62</w:t>
            </w:r>
          </w:p>
        </w:tc>
        <w:tc>
          <w:tcPr>
            <w:tcW w:w="6106" w:type="dxa"/>
            <w:shd w:val="clear" w:color="auto" w:fill="auto"/>
            <w:noWrap/>
            <w:vAlign w:val="center"/>
            <w:hideMark/>
          </w:tcPr>
          <w:p w14:paraId="3B047AD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Telecommunications Satellite Organization</w:t>
            </w:r>
          </w:p>
        </w:tc>
        <w:tc>
          <w:tcPr>
            <w:tcW w:w="1418" w:type="dxa"/>
            <w:shd w:val="clear" w:color="auto" w:fill="auto"/>
            <w:noWrap/>
            <w:vAlign w:val="center"/>
            <w:hideMark/>
          </w:tcPr>
          <w:p w14:paraId="35E84EF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2C290AB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098FAD7E" w14:textId="77777777" w:rsidTr="008A5E8F">
        <w:trPr>
          <w:trHeight w:val="294"/>
        </w:trPr>
        <w:tc>
          <w:tcPr>
            <w:tcW w:w="715" w:type="dxa"/>
            <w:shd w:val="clear" w:color="auto" w:fill="auto"/>
            <w:noWrap/>
            <w:vAlign w:val="center"/>
            <w:hideMark/>
          </w:tcPr>
          <w:p w14:paraId="513501B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63</w:t>
            </w:r>
          </w:p>
        </w:tc>
        <w:tc>
          <w:tcPr>
            <w:tcW w:w="6106" w:type="dxa"/>
            <w:shd w:val="clear" w:color="auto" w:fill="auto"/>
            <w:noWrap/>
            <w:vAlign w:val="center"/>
            <w:hideMark/>
          </w:tcPr>
          <w:p w14:paraId="798F0A1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International Union of Radio Science</w:t>
            </w:r>
          </w:p>
        </w:tc>
        <w:tc>
          <w:tcPr>
            <w:tcW w:w="1418" w:type="dxa"/>
            <w:shd w:val="clear" w:color="auto" w:fill="auto"/>
            <w:noWrap/>
            <w:vAlign w:val="center"/>
            <w:hideMark/>
          </w:tcPr>
          <w:p w14:paraId="7F82FAE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5EE16FE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6E12FD7E" w14:textId="77777777" w:rsidTr="008A5E8F">
        <w:trPr>
          <w:trHeight w:val="294"/>
        </w:trPr>
        <w:tc>
          <w:tcPr>
            <w:tcW w:w="715" w:type="dxa"/>
            <w:shd w:val="clear" w:color="auto" w:fill="auto"/>
            <w:noWrap/>
            <w:vAlign w:val="center"/>
            <w:hideMark/>
          </w:tcPr>
          <w:p w14:paraId="67FF7EC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64</w:t>
            </w:r>
          </w:p>
        </w:tc>
        <w:tc>
          <w:tcPr>
            <w:tcW w:w="6106" w:type="dxa"/>
            <w:shd w:val="clear" w:color="auto" w:fill="auto"/>
            <w:noWrap/>
            <w:vAlign w:val="center"/>
            <w:hideMark/>
          </w:tcPr>
          <w:p w14:paraId="4FB0A25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Internet Corporation for Assigned Names and Numbers (ICANN)</w:t>
            </w:r>
          </w:p>
        </w:tc>
        <w:tc>
          <w:tcPr>
            <w:tcW w:w="1418" w:type="dxa"/>
            <w:shd w:val="clear" w:color="auto" w:fill="auto"/>
            <w:noWrap/>
            <w:vAlign w:val="center"/>
            <w:hideMark/>
          </w:tcPr>
          <w:p w14:paraId="4650C6F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23ED9FA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r>
      <w:tr w:rsidR="002D3066" w:rsidRPr="002D3066" w14:paraId="4418FF32" w14:textId="77777777" w:rsidTr="008A5E8F">
        <w:trPr>
          <w:trHeight w:val="294"/>
        </w:trPr>
        <w:tc>
          <w:tcPr>
            <w:tcW w:w="715" w:type="dxa"/>
            <w:shd w:val="clear" w:color="auto" w:fill="auto"/>
            <w:noWrap/>
            <w:vAlign w:val="center"/>
            <w:hideMark/>
          </w:tcPr>
          <w:p w14:paraId="6993C89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65</w:t>
            </w:r>
          </w:p>
        </w:tc>
        <w:tc>
          <w:tcPr>
            <w:tcW w:w="6106" w:type="dxa"/>
            <w:shd w:val="clear" w:color="auto" w:fill="auto"/>
            <w:noWrap/>
            <w:vAlign w:val="center"/>
            <w:hideMark/>
          </w:tcPr>
          <w:p w14:paraId="6582AEB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Internet Society</w:t>
            </w:r>
          </w:p>
        </w:tc>
        <w:tc>
          <w:tcPr>
            <w:tcW w:w="1418" w:type="dxa"/>
            <w:shd w:val="clear" w:color="auto" w:fill="auto"/>
            <w:noWrap/>
            <w:vAlign w:val="center"/>
            <w:hideMark/>
          </w:tcPr>
          <w:p w14:paraId="6175208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656DE5E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TD</w:t>
            </w:r>
          </w:p>
        </w:tc>
      </w:tr>
      <w:tr w:rsidR="002D3066" w:rsidRPr="002D3066" w14:paraId="36EE3755" w14:textId="77777777" w:rsidTr="008A5E8F">
        <w:trPr>
          <w:trHeight w:val="294"/>
        </w:trPr>
        <w:tc>
          <w:tcPr>
            <w:tcW w:w="715" w:type="dxa"/>
            <w:shd w:val="clear" w:color="auto" w:fill="auto"/>
            <w:noWrap/>
            <w:vAlign w:val="center"/>
            <w:hideMark/>
          </w:tcPr>
          <w:p w14:paraId="0E02F0D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66</w:t>
            </w:r>
          </w:p>
        </w:tc>
        <w:tc>
          <w:tcPr>
            <w:tcW w:w="6106" w:type="dxa"/>
            <w:shd w:val="clear" w:color="auto" w:fill="auto"/>
            <w:noWrap/>
            <w:vAlign w:val="center"/>
            <w:hideMark/>
          </w:tcPr>
          <w:p w14:paraId="21DD38A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League of Arab States</w:t>
            </w:r>
          </w:p>
        </w:tc>
        <w:tc>
          <w:tcPr>
            <w:tcW w:w="1418" w:type="dxa"/>
            <w:shd w:val="clear" w:color="auto" w:fill="auto"/>
            <w:noWrap/>
            <w:vAlign w:val="center"/>
            <w:hideMark/>
          </w:tcPr>
          <w:p w14:paraId="3ED21C8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REGORG</w:t>
            </w:r>
          </w:p>
        </w:tc>
        <w:tc>
          <w:tcPr>
            <w:tcW w:w="1106" w:type="dxa"/>
            <w:shd w:val="clear" w:color="auto" w:fill="auto"/>
            <w:noWrap/>
            <w:vAlign w:val="center"/>
            <w:hideMark/>
          </w:tcPr>
          <w:p w14:paraId="1D9D4F0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6EE84565" w14:textId="77777777" w:rsidTr="008A5E8F">
        <w:trPr>
          <w:trHeight w:val="294"/>
        </w:trPr>
        <w:tc>
          <w:tcPr>
            <w:tcW w:w="715" w:type="dxa"/>
            <w:shd w:val="clear" w:color="auto" w:fill="auto"/>
            <w:noWrap/>
            <w:vAlign w:val="center"/>
            <w:hideMark/>
          </w:tcPr>
          <w:p w14:paraId="6BCD85A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67</w:t>
            </w:r>
          </w:p>
        </w:tc>
        <w:tc>
          <w:tcPr>
            <w:tcW w:w="6106" w:type="dxa"/>
            <w:shd w:val="clear" w:color="auto" w:fill="auto"/>
            <w:noWrap/>
            <w:vAlign w:val="center"/>
            <w:hideMark/>
          </w:tcPr>
          <w:p w14:paraId="468D465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NetHope Inc</w:t>
            </w:r>
          </w:p>
        </w:tc>
        <w:tc>
          <w:tcPr>
            <w:tcW w:w="1418" w:type="dxa"/>
            <w:shd w:val="clear" w:color="auto" w:fill="auto"/>
            <w:noWrap/>
            <w:vAlign w:val="center"/>
            <w:hideMark/>
          </w:tcPr>
          <w:p w14:paraId="34D0360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32B5436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r>
      <w:tr w:rsidR="002D3066" w:rsidRPr="002D3066" w14:paraId="22BFCFE7" w14:textId="77777777" w:rsidTr="008A5E8F">
        <w:trPr>
          <w:trHeight w:val="294"/>
        </w:trPr>
        <w:tc>
          <w:tcPr>
            <w:tcW w:w="715" w:type="dxa"/>
            <w:shd w:val="clear" w:color="auto" w:fill="auto"/>
            <w:noWrap/>
            <w:vAlign w:val="center"/>
            <w:hideMark/>
          </w:tcPr>
          <w:p w14:paraId="5FBB389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68</w:t>
            </w:r>
          </w:p>
        </w:tc>
        <w:tc>
          <w:tcPr>
            <w:tcW w:w="6106" w:type="dxa"/>
            <w:shd w:val="clear" w:color="auto" w:fill="auto"/>
            <w:noWrap/>
            <w:vAlign w:val="center"/>
            <w:hideMark/>
          </w:tcPr>
          <w:p w14:paraId="2C77C1B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eastAsia="en-GB"/>
              </w:rPr>
            </w:pPr>
            <w:r w:rsidRPr="002D3066">
              <w:rPr>
                <w:rFonts w:cs="Calibri"/>
                <w:color w:val="000000"/>
                <w:sz w:val="20"/>
              </w:rPr>
              <w:t>Open Geospatial Consortium</w:t>
            </w:r>
          </w:p>
        </w:tc>
        <w:tc>
          <w:tcPr>
            <w:tcW w:w="1418" w:type="dxa"/>
            <w:shd w:val="clear" w:color="auto" w:fill="auto"/>
            <w:noWrap/>
            <w:vAlign w:val="center"/>
            <w:hideMark/>
          </w:tcPr>
          <w:p w14:paraId="094F6BC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46E6E3D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0A04F572" w14:textId="77777777" w:rsidTr="008A5E8F">
        <w:trPr>
          <w:trHeight w:val="294"/>
        </w:trPr>
        <w:tc>
          <w:tcPr>
            <w:tcW w:w="715" w:type="dxa"/>
            <w:shd w:val="clear" w:color="auto" w:fill="auto"/>
            <w:noWrap/>
            <w:vAlign w:val="center"/>
            <w:hideMark/>
          </w:tcPr>
          <w:p w14:paraId="3397A31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69</w:t>
            </w:r>
          </w:p>
        </w:tc>
        <w:tc>
          <w:tcPr>
            <w:tcW w:w="6106" w:type="dxa"/>
            <w:shd w:val="clear" w:color="auto" w:fill="auto"/>
            <w:noWrap/>
            <w:vAlign w:val="center"/>
            <w:hideMark/>
          </w:tcPr>
          <w:p w14:paraId="5B59735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eastAsia="en-GB"/>
              </w:rPr>
            </w:pPr>
            <w:r w:rsidRPr="002D3066">
              <w:rPr>
                <w:rFonts w:cs="Calibri"/>
                <w:color w:val="000000"/>
                <w:sz w:val="20"/>
                <w:lang w:val="fr-BE"/>
              </w:rPr>
              <w:t>Organisation Internationale de la Francophonie</w:t>
            </w:r>
          </w:p>
        </w:tc>
        <w:tc>
          <w:tcPr>
            <w:tcW w:w="1418" w:type="dxa"/>
            <w:shd w:val="clear" w:color="auto" w:fill="auto"/>
            <w:noWrap/>
            <w:vAlign w:val="center"/>
            <w:hideMark/>
          </w:tcPr>
          <w:p w14:paraId="11AAA85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5B092CB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2B18D6CE" w14:textId="77777777" w:rsidTr="008A5E8F">
        <w:trPr>
          <w:trHeight w:val="294"/>
        </w:trPr>
        <w:tc>
          <w:tcPr>
            <w:tcW w:w="715" w:type="dxa"/>
            <w:shd w:val="clear" w:color="auto" w:fill="auto"/>
            <w:noWrap/>
            <w:vAlign w:val="center"/>
            <w:hideMark/>
          </w:tcPr>
          <w:p w14:paraId="7B48DA2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70</w:t>
            </w:r>
          </w:p>
        </w:tc>
        <w:tc>
          <w:tcPr>
            <w:tcW w:w="6106" w:type="dxa"/>
            <w:shd w:val="clear" w:color="auto" w:fill="auto"/>
            <w:noWrap/>
            <w:vAlign w:val="center"/>
            <w:hideMark/>
          </w:tcPr>
          <w:p w14:paraId="34E5C57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Pacific Islands Telecommunications Association</w:t>
            </w:r>
          </w:p>
        </w:tc>
        <w:tc>
          <w:tcPr>
            <w:tcW w:w="1418" w:type="dxa"/>
            <w:shd w:val="clear" w:color="auto" w:fill="auto"/>
            <w:noWrap/>
            <w:vAlign w:val="center"/>
            <w:hideMark/>
          </w:tcPr>
          <w:p w14:paraId="6DD4273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7EF228E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2B552076" w14:textId="77777777" w:rsidTr="008A5E8F">
        <w:trPr>
          <w:trHeight w:val="294"/>
        </w:trPr>
        <w:tc>
          <w:tcPr>
            <w:tcW w:w="715" w:type="dxa"/>
            <w:shd w:val="clear" w:color="auto" w:fill="auto"/>
            <w:noWrap/>
            <w:vAlign w:val="center"/>
            <w:hideMark/>
          </w:tcPr>
          <w:p w14:paraId="72F5540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71</w:t>
            </w:r>
          </w:p>
        </w:tc>
        <w:tc>
          <w:tcPr>
            <w:tcW w:w="6106" w:type="dxa"/>
            <w:shd w:val="clear" w:color="auto" w:fill="auto"/>
            <w:noWrap/>
            <w:vAlign w:val="center"/>
            <w:hideMark/>
          </w:tcPr>
          <w:p w14:paraId="48A6984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Personal Connected Health Alliance</w:t>
            </w:r>
          </w:p>
        </w:tc>
        <w:tc>
          <w:tcPr>
            <w:tcW w:w="1418" w:type="dxa"/>
            <w:shd w:val="clear" w:color="auto" w:fill="auto"/>
            <w:noWrap/>
            <w:vAlign w:val="center"/>
            <w:hideMark/>
          </w:tcPr>
          <w:p w14:paraId="3A2C5A3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528DF74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663A6566" w14:textId="77777777" w:rsidTr="008A5E8F">
        <w:trPr>
          <w:trHeight w:val="294"/>
        </w:trPr>
        <w:tc>
          <w:tcPr>
            <w:tcW w:w="715" w:type="dxa"/>
            <w:shd w:val="clear" w:color="auto" w:fill="auto"/>
            <w:noWrap/>
            <w:vAlign w:val="center"/>
            <w:hideMark/>
          </w:tcPr>
          <w:p w14:paraId="7BCB206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72</w:t>
            </w:r>
          </w:p>
        </w:tc>
        <w:tc>
          <w:tcPr>
            <w:tcW w:w="6106" w:type="dxa"/>
            <w:shd w:val="clear" w:color="auto" w:fill="auto"/>
            <w:noWrap/>
            <w:vAlign w:val="center"/>
            <w:hideMark/>
          </w:tcPr>
          <w:p w14:paraId="3AA667C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Regional African Satellite Communications Organization</w:t>
            </w:r>
          </w:p>
        </w:tc>
        <w:tc>
          <w:tcPr>
            <w:tcW w:w="1418" w:type="dxa"/>
            <w:shd w:val="clear" w:color="auto" w:fill="auto"/>
            <w:noWrap/>
            <w:vAlign w:val="center"/>
            <w:hideMark/>
          </w:tcPr>
          <w:p w14:paraId="1CE83A3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SATORG</w:t>
            </w:r>
          </w:p>
        </w:tc>
        <w:tc>
          <w:tcPr>
            <w:tcW w:w="1106" w:type="dxa"/>
            <w:shd w:val="clear" w:color="auto" w:fill="auto"/>
            <w:noWrap/>
            <w:vAlign w:val="center"/>
            <w:hideMark/>
          </w:tcPr>
          <w:p w14:paraId="140D888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RD</w:t>
            </w:r>
          </w:p>
        </w:tc>
      </w:tr>
      <w:tr w:rsidR="002D3066" w:rsidRPr="002D3066" w14:paraId="13C5B136" w14:textId="77777777" w:rsidTr="008A5E8F">
        <w:trPr>
          <w:trHeight w:val="294"/>
        </w:trPr>
        <w:tc>
          <w:tcPr>
            <w:tcW w:w="715" w:type="dxa"/>
            <w:shd w:val="clear" w:color="auto" w:fill="auto"/>
            <w:noWrap/>
            <w:vAlign w:val="center"/>
            <w:hideMark/>
          </w:tcPr>
          <w:p w14:paraId="6950DE2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73</w:t>
            </w:r>
          </w:p>
        </w:tc>
        <w:tc>
          <w:tcPr>
            <w:tcW w:w="6106" w:type="dxa"/>
            <w:shd w:val="clear" w:color="auto" w:fill="auto"/>
            <w:noWrap/>
            <w:vAlign w:val="center"/>
            <w:hideMark/>
          </w:tcPr>
          <w:p w14:paraId="5E67982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Regional Commonwealth in the Field of Communications</w:t>
            </w:r>
          </w:p>
        </w:tc>
        <w:tc>
          <w:tcPr>
            <w:tcW w:w="1418" w:type="dxa"/>
            <w:shd w:val="clear" w:color="auto" w:fill="auto"/>
            <w:noWrap/>
            <w:vAlign w:val="center"/>
            <w:hideMark/>
          </w:tcPr>
          <w:p w14:paraId="4744A7B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REGORG</w:t>
            </w:r>
          </w:p>
        </w:tc>
        <w:tc>
          <w:tcPr>
            <w:tcW w:w="1106" w:type="dxa"/>
            <w:shd w:val="clear" w:color="auto" w:fill="auto"/>
            <w:noWrap/>
            <w:vAlign w:val="center"/>
            <w:hideMark/>
          </w:tcPr>
          <w:p w14:paraId="2FE232D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4C9D309F" w14:textId="77777777" w:rsidTr="008A5E8F">
        <w:trPr>
          <w:trHeight w:val="294"/>
        </w:trPr>
        <w:tc>
          <w:tcPr>
            <w:tcW w:w="715" w:type="dxa"/>
            <w:shd w:val="clear" w:color="auto" w:fill="auto"/>
            <w:noWrap/>
            <w:vAlign w:val="center"/>
            <w:hideMark/>
          </w:tcPr>
          <w:p w14:paraId="222C1A3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74</w:t>
            </w:r>
          </w:p>
        </w:tc>
        <w:tc>
          <w:tcPr>
            <w:tcW w:w="6106" w:type="dxa"/>
            <w:shd w:val="clear" w:color="auto" w:fill="auto"/>
            <w:noWrap/>
            <w:vAlign w:val="center"/>
            <w:hideMark/>
          </w:tcPr>
          <w:p w14:paraId="10F59EC6" w14:textId="77777777" w:rsidR="002D3066" w:rsidRPr="00D61A19"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s-MX" w:eastAsia="en-GB"/>
              </w:rPr>
            </w:pPr>
            <w:r w:rsidRPr="00D61A19">
              <w:rPr>
                <w:rFonts w:cs="Calibri"/>
                <w:color w:val="000000"/>
                <w:sz w:val="18"/>
                <w:szCs w:val="18"/>
                <w:lang w:val="es-MX"/>
              </w:rPr>
              <w:t>Registro de Direcciones de Internet para América Latina y Caribe - LACNIC</w:t>
            </w:r>
          </w:p>
        </w:tc>
        <w:tc>
          <w:tcPr>
            <w:tcW w:w="1418" w:type="dxa"/>
            <w:shd w:val="clear" w:color="auto" w:fill="auto"/>
            <w:noWrap/>
            <w:vAlign w:val="center"/>
            <w:hideMark/>
          </w:tcPr>
          <w:p w14:paraId="39D8C4A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4BFD39B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TD</w:t>
            </w:r>
          </w:p>
        </w:tc>
      </w:tr>
      <w:tr w:rsidR="002D3066" w:rsidRPr="002D3066" w14:paraId="6B06B5B4" w14:textId="77777777" w:rsidTr="008A5E8F">
        <w:trPr>
          <w:trHeight w:val="294"/>
        </w:trPr>
        <w:tc>
          <w:tcPr>
            <w:tcW w:w="715" w:type="dxa"/>
            <w:shd w:val="clear" w:color="auto" w:fill="auto"/>
            <w:noWrap/>
            <w:vAlign w:val="center"/>
            <w:hideMark/>
          </w:tcPr>
          <w:p w14:paraId="455F349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75</w:t>
            </w:r>
          </w:p>
        </w:tc>
        <w:tc>
          <w:tcPr>
            <w:tcW w:w="6106" w:type="dxa"/>
            <w:shd w:val="clear" w:color="auto" w:fill="auto"/>
            <w:noWrap/>
            <w:vAlign w:val="center"/>
            <w:hideMark/>
          </w:tcPr>
          <w:p w14:paraId="7071E6E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Society of Motion Picture and Television Engineers</w:t>
            </w:r>
          </w:p>
        </w:tc>
        <w:tc>
          <w:tcPr>
            <w:tcW w:w="1418" w:type="dxa"/>
            <w:shd w:val="clear" w:color="auto" w:fill="auto"/>
            <w:noWrap/>
            <w:vAlign w:val="center"/>
            <w:hideMark/>
          </w:tcPr>
          <w:p w14:paraId="5CB4793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129B4DD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3C6D08C9" w14:textId="77777777" w:rsidTr="008A5E8F">
        <w:trPr>
          <w:trHeight w:val="294"/>
        </w:trPr>
        <w:tc>
          <w:tcPr>
            <w:tcW w:w="715" w:type="dxa"/>
            <w:shd w:val="clear" w:color="auto" w:fill="auto"/>
            <w:noWrap/>
            <w:vAlign w:val="center"/>
            <w:hideMark/>
          </w:tcPr>
          <w:p w14:paraId="7B75B0D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76</w:t>
            </w:r>
          </w:p>
        </w:tc>
        <w:tc>
          <w:tcPr>
            <w:tcW w:w="6106" w:type="dxa"/>
            <w:shd w:val="clear" w:color="auto" w:fill="auto"/>
            <w:noWrap/>
            <w:vAlign w:val="center"/>
            <w:hideMark/>
          </w:tcPr>
          <w:p w14:paraId="6D0E7BC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Southern Africa Telecentre Networks</w:t>
            </w:r>
          </w:p>
        </w:tc>
        <w:tc>
          <w:tcPr>
            <w:tcW w:w="1418" w:type="dxa"/>
            <w:shd w:val="clear" w:color="auto" w:fill="auto"/>
            <w:noWrap/>
            <w:vAlign w:val="center"/>
            <w:hideMark/>
          </w:tcPr>
          <w:p w14:paraId="5FAF606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6611300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54D02DF7" w14:textId="77777777" w:rsidTr="008A5E8F">
        <w:trPr>
          <w:trHeight w:val="294"/>
        </w:trPr>
        <w:tc>
          <w:tcPr>
            <w:tcW w:w="715" w:type="dxa"/>
            <w:shd w:val="clear" w:color="auto" w:fill="auto"/>
            <w:noWrap/>
            <w:vAlign w:val="center"/>
            <w:hideMark/>
          </w:tcPr>
          <w:p w14:paraId="3DF6EB5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77</w:t>
            </w:r>
          </w:p>
        </w:tc>
        <w:tc>
          <w:tcPr>
            <w:tcW w:w="6106" w:type="dxa"/>
            <w:shd w:val="clear" w:color="auto" w:fill="auto"/>
            <w:noWrap/>
            <w:vAlign w:val="center"/>
            <w:hideMark/>
          </w:tcPr>
          <w:p w14:paraId="44AF977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Southern African Development Community</w:t>
            </w:r>
          </w:p>
        </w:tc>
        <w:tc>
          <w:tcPr>
            <w:tcW w:w="1418" w:type="dxa"/>
            <w:shd w:val="clear" w:color="auto" w:fill="auto"/>
            <w:noWrap/>
            <w:vAlign w:val="center"/>
            <w:hideMark/>
          </w:tcPr>
          <w:p w14:paraId="1F536E4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5EBB5C4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6BD492A7" w14:textId="77777777" w:rsidTr="008A5E8F">
        <w:trPr>
          <w:trHeight w:val="294"/>
        </w:trPr>
        <w:tc>
          <w:tcPr>
            <w:tcW w:w="715" w:type="dxa"/>
            <w:shd w:val="clear" w:color="auto" w:fill="auto"/>
            <w:noWrap/>
            <w:vAlign w:val="center"/>
            <w:hideMark/>
          </w:tcPr>
          <w:p w14:paraId="5180479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78</w:t>
            </w:r>
          </w:p>
        </w:tc>
        <w:tc>
          <w:tcPr>
            <w:tcW w:w="6106" w:type="dxa"/>
            <w:shd w:val="clear" w:color="auto" w:fill="auto"/>
            <w:noWrap/>
            <w:vAlign w:val="center"/>
            <w:hideMark/>
          </w:tcPr>
          <w:p w14:paraId="4146D35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Telecommunications Regional Technical Commission</w:t>
            </w:r>
          </w:p>
        </w:tc>
        <w:tc>
          <w:tcPr>
            <w:tcW w:w="1418" w:type="dxa"/>
            <w:shd w:val="clear" w:color="auto" w:fill="auto"/>
            <w:noWrap/>
            <w:vAlign w:val="center"/>
            <w:hideMark/>
          </w:tcPr>
          <w:p w14:paraId="552714B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REGORG</w:t>
            </w:r>
          </w:p>
        </w:tc>
        <w:tc>
          <w:tcPr>
            <w:tcW w:w="1106" w:type="dxa"/>
            <w:shd w:val="clear" w:color="auto" w:fill="auto"/>
            <w:noWrap/>
            <w:vAlign w:val="center"/>
            <w:hideMark/>
          </w:tcPr>
          <w:p w14:paraId="57517A7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31184A16" w14:textId="77777777" w:rsidTr="008A5E8F">
        <w:trPr>
          <w:trHeight w:val="294"/>
        </w:trPr>
        <w:tc>
          <w:tcPr>
            <w:tcW w:w="715" w:type="dxa"/>
            <w:shd w:val="clear" w:color="auto" w:fill="auto"/>
            <w:noWrap/>
            <w:vAlign w:val="center"/>
            <w:hideMark/>
          </w:tcPr>
          <w:p w14:paraId="550B05E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79</w:t>
            </w:r>
          </w:p>
        </w:tc>
        <w:tc>
          <w:tcPr>
            <w:tcW w:w="6106" w:type="dxa"/>
            <w:shd w:val="clear" w:color="auto" w:fill="auto"/>
            <w:noWrap/>
            <w:vAlign w:val="center"/>
            <w:hideMark/>
          </w:tcPr>
          <w:p w14:paraId="22EF5FA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The Asia-Pacific Satellite Communications Council</w:t>
            </w:r>
          </w:p>
        </w:tc>
        <w:tc>
          <w:tcPr>
            <w:tcW w:w="1418" w:type="dxa"/>
            <w:shd w:val="clear" w:color="auto" w:fill="auto"/>
            <w:noWrap/>
            <w:vAlign w:val="center"/>
            <w:hideMark/>
          </w:tcPr>
          <w:p w14:paraId="5434EAC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D20743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736141F3" w14:textId="77777777" w:rsidTr="008A5E8F">
        <w:trPr>
          <w:trHeight w:val="294"/>
        </w:trPr>
        <w:tc>
          <w:tcPr>
            <w:tcW w:w="715" w:type="dxa"/>
            <w:shd w:val="clear" w:color="auto" w:fill="auto"/>
            <w:noWrap/>
            <w:vAlign w:val="center"/>
            <w:hideMark/>
          </w:tcPr>
          <w:p w14:paraId="0BDF067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80</w:t>
            </w:r>
          </w:p>
        </w:tc>
        <w:tc>
          <w:tcPr>
            <w:tcW w:w="6106" w:type="dxa"/>
            <w:shd w:val="clear" w:color="auto" w:fill="auto"/>
            <w:noWrap/>
            <w:vAlign w:val="center"/>
            <w:hideMark/>
          </w:tcPr>
          <w:p w14:paraId="06088A6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eastAsia="en-GB"/>
              </w:rPr>
            </w:pPr>
            <w:r w:rsidRPr="002D3066">
              <w:rPr>
                <w:rFonts w:cs="Calibri"/>
                <w:color w:val="000000"/>
                <w:sz w:val="20"/>
                <w:lang w:val="fr-BE"/>
              </w:rPr>
              <w:t>Union Economique et Monétaire Ouest Africaine</w:t>
            </w:r>
          </w:p>
        </w:tc>
        <w:tc>
          <w:tcPr>
            <w:tcW w:w="1418" w:type="dxa"/>
            <w:shd w:val="clear" w:color="auto" w:fill="auto"/>
            <w:noWrap/>
            <w:vAlign w:val="center"/>
            <w:hideMark/>
          </w:tcPr>
          <w:p w14:paraId="10B1821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04D8271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TD</w:t>
            </w:r>
          </w:p>
        </w:tc>
      </w:tr>
      <w:tr w:rsidR="002D3066" w:rsidRPr="002D3066" w14:paraId="7264A903" w14:textId="77777777" w:rsidTr="008A5E8F">
        <w:trPr>
          <w:trHeight w:val="294"/>
        </w:trPr>
        <w:tc>
          <w:tcPr>
            <w:tcW w:w="715" w:type="dxa"/>
            <w:shd w:val="clear" w:color="auto" w:fill="auto"/>
            <w:noWrap/>
            <w:vAlign w:val="center"/>
            <w:hideMark/>
          </w:tcPr>
          <w:p w14:paraId="752BECE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81</w:t>
            </w:r>
          </w:p>
        </w:tc>
        <w:tc>
          <w:tcPr>
            <w:tcW w:w="6106" w:type="dxa"/>
            <w:shd w:val="clear" w:color="auto" w:fill="auto"/>
            <w:noWrap/>
            <w:vAlign w:val="center"/>
            <w:hideMark/>
          </w:tcPr>
          <w:p w14:paraId="312B594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West Africa Telecommunications Regulators Assembly</w:t>
            </w:r>
          </w:p>
        </w:tc>
        <w:tc>
          <w:tcPr>
            <w:tcW w:w="1418" w:type="dxa"/>
            <w:shd w:val="clear" w:color="auto" w:fill="auto"/>
            <w:noWrap/>
            <w:vAlign w:val="center"/>
            <w:hideMark/>
          </w:tcPr>
          <w:p w14:paraId="670C645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617220E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6BDB23E2" w14:textId="77777777" w:rsidTr="008A5E8F">
        <w:trPr>
          <w:trHeight w:val="294"/>
        </w:trPr>
        <w:tc>
          <w:tcPr>
            <w:tcW w:w="715" w:type="dxa"/>
            <w:shd w:val="clear" w:color="auto" w:fill="auto"/>
            <w:noWrap/>
            <w:vAlign w:val="center"/>
            <w:hideMark/>
          </w:tcPr>
          <w:p w14:paraId="1AB4BE4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82</w:t>
            </w:r>
          </w:p>
        </w:tc>
        <w:tc>
          <w:tcPr>
            <w:tcW w:w="6106" w:type="dxa"/>
            <w:shd w:val="clear" w:color="auto" w:fill="auto"/>
            <w:noWrap/>
            <w:vAlign w:val="center"/>
            <w:hideMark/>
          </w:tcPr>
          <w:p w14:paraId="22F513C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Wireless World Research Forum</w:t>
            </w:r>
          </w:p>
        </w:tc>
        <w:tc>
          <w:tcPr>
            <w:tcW w:w="1418" w:type="dxa"/>
            <w:shd w:val="clear" w:color="auto" w:fill="auto"/>
            <w:noWrap/>
            <w:vAlign w:val="center"/>
            <w:hideMark/>
          </w:tcPr>
          <w:p w14:paraId="2F0536B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761056B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r>
      <w:tr w:rsidR="002D3066" w:rsidRPr="002D3066" w14:paraId="37AFA088" w14:textId="77777777" w:rsidTr="008A5E8F">
        <w:trPr>
          <w:trHeight w:val="294"/>
        </w:trPr>
        <w:tc>
          <w:tcPr>
            <w:tcW w:w="715" w:type="dxa"/>
            <w:shd w:val="clear" w:color="auto" w:fill="auto"/>
            <w:noWrap/>
            <w:vAlign w:val="center"/>
            <w:hideMark/>
          </w:tcPr>
          <w:p w14:paraId="50FC95E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83</w:t>
            </w:r>
          </w:p>
        </w:tc>
        <w:tc>
          <w:tcPr>
            <w:tcW w:w="6106" w:type="dxa"/>
            <w:shd w:val="clear" w:color="auto" w:fill="auto"/>
            <w:noWrap/>
            <w:vAlign w:val="center"/>
            <w:hideMark/>
          </w:tcPr>
          <w:p w14:paraId="050FA20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World Broadcasting Unions - Technical Committee</w:t>
            </w:r>
          </w:p>
        </w:tc>
        <w:tc>
          <w:tcPr>
            <w:tcW w:w="1418" w:type="dxa"/>
            <w:shd w:val="clear" w:color="auto" w:fill="auto"/>
            <w:noWrap/>
            <w:vAlign w:val="center"/>
            <w:hideMark/>
          </w:tcPr>
          <w:p w14:paraId="43C88C1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hideMark/>
          </w:tcPr>
          <w:p w14:paraId="7FB401A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r w:rsidR="002D3066" w:rsidRPr="002D3066" w14:paraId="2C2ED55D" w14:textId="77777777" w:rsidTr="008A5E8F">
        <w:trPr>
          <w:trHeight w:val="294"/>
        </w:trPr>
        <w:tc>
          <w:tcPr>
            <w:tcW w:w="715" w:type="dxa"/>
            <w:shd w:val="clear" w:color="auto" w:fill="auto"/>
            <w:noWrap/>
            <w:vAlign w:val="center"/>
          </w:tcPr>
          <w:p w14:paraId="67AE64D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84</w:t>
            </w:r>
          </w:p>
        </w:tc>
        <w:tc>
          <w:tcPr>
            <w:tcW w:w="6106" w:type="dxa"/>
            <w:shd w:val="clear" w:color="auto" w:fill="auto"/>
            <w:noWrap/>
            <w:vAlign w:val="center"/>
          </w:tcPr>
          <w:p w14:paraId="285F410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themeColor="text1"/>
                <w:sz w:val="20"/>
                <w:lang w:eastAsia="en-GB"/>
              </w:rPr>
            </w:pPr>
            <w:r w:rsidRPr="002D3066">
              <w:rPr>
                <w:rFonts w:cs="Calibri"/>
                <w:color w:val="000000"/>
                <w:sz w:val="20"/>
              </w:rPr>
              <w:t>WorldDAB Forum</w:t>
            </w:r>
          </w:p>
        </w:tc>
        <w:tc>
          <w:tcPr>
            <w:tcW w:w="1418" w:type="dxa"/>
            <w:shd w:val="clear" w:color="auto" w:fill="auto"/>
            <w:noWrap/>
            <w:vAlign w:val="center"/>
          </w:tcPr>
          <w:p w14:paraId="694DA65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1106" w:type="dxa"/>
            <w:shd w:val="clear" w:color="auto" w:fill="auto"/>
            <w:noWrap/>
            <w:vAlign w:val="center"/>
          </w:tcPr>
          <w:p w14:paraId="62F355C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r>
    </w:tbl>
    <w:p w14:paraId="1BBC265B" w14:textId="5573E314" w:rsidR="002D3066" w:rsidRPr="002D3066" w:rsidRDefault="002D3066" w:rsidP="002D3066">
      <w:pPr>
        <w:spacing w:before="240" w:after="240"/>
        <w:jc w:val="center"/>
        <w:rPr>
          <w:b/>
          <w:bCs/>
          <w:sz w:val="28"/>
        </w:rPr>
      </w:pPr>
      <w:r w:rsidRPr="002D3066">
        <w:rPr>
          <w:b/>
          <w:sz w:val="28"/>
        </w:rPr>
        <w:lastRenderedPageBreak/>
        <w:t>Annex 3</w:t>
      </w:r>
      <w:r w:rsidRPr="002D3066">
        <w:rPr>
          <w:b/>
          <w:bCs/>
          <w:sz w:val="28"/>
        </w:rPr>
        <w:t>:</w:t>
      </w:r>
      <w:r w:rsidRPr="002D3066">
        <w:rPr>
          <w:b/>
          <w:sz w:val="28"/>
        </w:rPr>
        <w:t xml:space="preserve"> </w:t>
      </w:r>
      <w:r w:rsidR="00A47083">
        <w:rPr>
          <w:b/>
          <w:sz w:val="28"/>
        </w:rPr>
        <w:t>O</w:t>
      </w:r>
      <w:r w:rsidRPr="002D3066">
        <w:rPr>
          <w:b/>
          <w:sz w:val="28"/>
        </w:rPr>
        <w:t>rgani</w:t>
      </w:r>
      <w:r w:rsidR="00E227FD">
        <w:rPr>
          <w:b/>
          <w:sz w:val="28"/>
        </w:rPr>
        <w:t>s</w:t>
      </w:r>
      <w:r w:rsidRPr="002D3066">
        <w:rPr>
          <w:b/>
          <w:sz w:val="28"/>
        </w:rPr>
        <w:t xml:space="preserve">ations that requested </w:t>
      </w:r>
      <w:r w:rsidRPr="002D3066">
        <w:rPr>
          <w:b/>
          <w:bCs/>
          <w:sz w:val="28"/>
        </w:rPr>
        <w:t>the</w:t>
      </w:r>
      <w:r w:rsidRPr="002D3066">
        <w:rPr>
          <w:b/>
          <w:sz w:val="28"/>
        </w:rPr>
        <w:t xml:space="preserve"> extension and provided the required information, but are not considered to meet one or </w:t>
      </w:r>
      <w:r w:rsidRPr="002D3066">
        <w:rPr>
          <w:b/>
          <w:bCs/>
          <w:sz w:val="28"/>
        </w:rPr>
        <w:t>more</w:t>
      </w:r>
      <w:r w:rsidRPr="002D3066">
        <w:rPr>
          <w:b/>
          <w:sz w:val="28"/>
        </w:rPr>
        <w:t xml:space="preserve"> criteria</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795"/>
        <w:gridCol w:w="1480"/>
        <w:gridCol w:w="945"/>
        <w:gridCol w:w="988"/>
        <w:gridCol w:w="1740"/>
      </w:tblGrid>
      <w:tr w:rsidR="002D3066" w:rsidRPr="002D3066" w14:paraId="68496892" w14:textId="77777777">
        <w:trPr>
          <w:trHeight w:val="298"/>
        </w:trPr>
        <w:tc>
          <w:tcPr>
            <w:tcW w:w="530" w:type="dxa"/>
            <w:shd w:val="clear" w:color="auto" w:fill="A6A6A6" w:themeFill="background1" w:themeFillShade="A6"/>
            <w:noWrap/>
            <w:vAlign w:val="center"/>
            <w:hideMark/>
          </w:tcPr>
          <w:p w14:paraId="1C18352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bCs/>
                <w:color w:val="000000" w:themeColor="text1"/>
                <w:sz w:val="20"/>
                <w:lang w:eastAsia="en-GB"/>
              </w:rPr>
              <w:t>N.</w:t>
            </w:r>
          </w:p>
        </w:tc>
        <w:tc>
          <w:tcPr>
            <w:tcW w:w="3795" w:type="dxa"/>
            <w:shd w:val="clear" w:color="auto" w:fill="A6A6A6" w:themeFill="background1" w:themeFillShade="A6"/>
            <w:noWrap/>
            <w:vAlign w:val="center"/>
            <w:hideMark/>
          </w:tcPr>
          <w:p w14:paraId="67BC90B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color w:val="000000" w:themeColor="text1"/>
                <w:sz w:val="20"/>
                <w:lang w:eastAsia="en-GB"/>
              </w:rPr>
              <w:t>Entity Name</w:t>
            </w:r>
          </w:p>
        </w:tc>
        <w:tc>
          <w:tcPr>
            <w:tcW w:w="1480" w:type="dxa"/>
            <w:shd w:val="clear" w:color="auto" w:fill="A6A6A6" w:themeFill="background1" w:themeFillShade="A6"/>
            <w:noWrap/>
            <w:vAlign w:val="center"/>
            <w:hideMark/>
          </w:tcPr>
          <w:p w14:paraId="4809352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color w:val="000000" w:themeColor="text1"/>
                <w:sz w:val="20"/>
                <w:lang w:eastAsia="en-GB"/>
              </w:rPr>
              <w:t>Main</w:t>
            </w:r>
          </w:p>
          <w:p w14:paraId="2449874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color w:val="000000" w:themeColor="text1"/>
                <w:sz w:val="20"/>
                <w:lang w:eastAsia="en-GB"/>
              </w:rPr>
              <w:t>Category</w:t>
            </w:r>
          </w:p>
        </w:tc>
        <w:tc>
          <w:tcPr>
            <w:tcW w:w="945" w:type="dxa"/>
            <w:shd w:val="clear" w:color="auto" w:fill="A6A6A6" w:themeFill="background1" w:themeFillShade="A6"/>
            <w:noWrap/>
            <w:vAlign w:val="center"/>
            <w:hideMark/>
          </w:tcPr>
          <w:p w14:paraId="33D8057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color w:val="000000" w:themeColor="text1"/>
                <w:sz w:val="20"/>
                <w:lang w:eastAsia="en-GB"/>
              </w:rPr>
              <w:t>Sectors</w:t>
            </w:r>
          </w:p>
        </w:tc>
        <w:tc>
          <w:tcPr>
            <w:tcW w:w="988" w:type="dxa"/>
            <w:shd w:val="clear" w:color="auto" w:fill="A6A6A6" w:themeFill="background1" w:themeFillShade="A6"/>
          </w:tcPr>
          <w:p w14:paraId="0156691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color w:val="000000" w:themeColor="text1"/>
                <w:sz w:val="20"/>
                <w:lang w:eastAsia="en-GB"/>
              </w:rPr>
              <w:t xml:space="preserve">Criteria not </w:t>
            </w:r>
            <w:r w:rsidRPr="002D3066">
              <w:rPr>
                <w:rFonts w:cs="Calibri"/>
                <w:b/>
                <w:bCs/>
                <w:color w:val="000000" w:themeColor="text1"/>
                <w:sz w:val="20"/>
                <w:lang w:eastAsia="en-GB"/>
              </w:rPr>
              <w:t>met</w:t>
            </w:r>
          </w:p>
        </w:tc>
        <w:tc>
          <w:tcPr>
            <w:tcW w:w="1740" w:type="dxa"/>
            <w:shd w:val="clear" w:color="auto" w:fill="A6A6A6" w:themeFill="background1" w:themeFillShade="A6"/>
          </w:tcPr>
          <w:p w14:paraId="6B098BE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color w:val="000000" w:themeColor="text1"/>
                <w:sz w:val="20"/>
                <w:lang w:eastAsia="en-GB"/>
              </w:rPr>
              <w:t>Additional Comments</w:t>
            </w:r>
          </w:p>
        </w:tc>
      </w:tr>
      <w:tr w:rsidR="002D3066" w:rsidRPr="002D3066" w14:paraId="4B90EF4D" w14:textId="77777777">
        <w:trPr>
          <w:trHeight w:val="298"/>
        </w:trPr>
        <w:tc>
          <w:tcPr>
            <w:tcW w:w="530" w:type="dxa"/>
            <w:shd w:val="clear" w:color="auto" w:fill="auto"/>
            <w:noWrap/>
            <w:vAlign w:val="center"/>
            <w:hideMark/>
          </w:tcPr>
          <w:p w14:paraId="633DA93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w:t>
            </w:r>
          </w:p>
        </w:tc>
        <w:tc>
          <w:tcPr>
            <w:tcW w:w="3795" w:type="dxa"/>
            <w:shd w:val="clear" w:color="auto" w:fill="auto"/>
            <w:noWrap/>
            <w:vAlign w:val="center"/>
            <w:hideMark/>
          </w:tcPr>
          <w:p w14:paraId="4F92813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s-MX" w:eastAsia="en-GB"/>
              </w:rPr>
            </w:pPr>
            <w:r w:rsidRPr="002D3066">
              <w:rPr>
                <w:rFonts w:cs="Calibri"/>
                <w:color w:val="000000"/>
                <w:sz w:val="20"/>
                <w:lang w:val="es-MX"/>
              </w:rPr>
              <w:t>Asociación Interamericana de Empresas de Telecomunicaciones</w:t>
            </w:r>
          </w:p>
        </w:tc>
        <w:tc>
          <w:tcPr>
            <w:tcW w:w="1480" w:type="dxa"/>
            <w:shd w:val="clear" w:color="auto" w:fill="auto"/>
            <w:noWrap/>
            <w:vAlign w:val="center"/>
            <w:hideMark/>
          </w:tcPr>
          <w:p w14:paraId="4273348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945" w:type="dxa"/>
            <w:shd w:val="clear" w:color="auto" w:fill="auto"/>
            <w:noWrap/>
            <w:vAlign w:val="center"/>
            <w:hideMark/>
          </w:tcPr>
          <w:p w14:paraId="58B3F9C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RTD</w:t>
            </w:r>
          </w:p>
        </w:tc>
        <w:tc>
          <w:tcPr>
            <w:tcW w:w="988" w:type="dxa"/>
            <w:vAlign w:val="center"/>
          </w:tcPr>
          <w:p w14:paraId="0B836C5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w:t>
            </w:r>
          </w:p>
        </w:tc>
        <w:tc>
          <w:tcPr>
            <w:tcW w:w="1740" w:type="dxa"/>
            <w:vAlign w:val="center"/>
          </w:tcPr>
          <w:p w14:paraId="4BDF2B6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Business Association</w:t>
            </w:r>
          </w:p>
        </w:tc>
      </w:tr>
      <w:tr w:rsidR="002D3066" w:rsidRPr="002D3066" w14:paraId="074117AC" w14:textId="77777777">
        <w:trPr>
          <w:trHeight w:val="298"/>
        </w:trPr>
        <w:tc>
          <w:tcPr>
            <w:tcW w:w="530" w:type="dxa"/>
            <w:shd w:val="clear" w:color="auto" w:fill="auto"/>
            <w:noWrap/>
            <w:vAlign w:val="center"/>
            <w:hideMark/>
          </w:tcPr>
          <w:p w14:paraId="1239317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2</w:t>
            </w:r>
          </w:p>
        </w:tc>
        <w:tc>
          <w:tcPr>
            <w:tcW w:w="3795" w:type="dxa"/>
            <w:shd w:val="clear" w:color="auto" w:fill="auto"/>
            <w:noWrap/>
            <w:vAlign w:val="center"/>
            <w:hideMark/>
          </w:tcPr>
          <w:p w14:paraId="372C846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s-MX" w:eastAsia="en-GB"/>
              </w:rPr>
            </w:pPr>
            <w:r w:rsidRPr="002D3066">
              <w:rPr>
                <w:rFonts w:cs="Calibri"/>
                <w:color w:val="000000"/>
                <w:sz w:val="20"/>
                <w:lang w:val="es-MX"/>
              </w:rPr>
              <w:t>Associação Empresarial de Comunicações de Portugal</w:t>
            </w:r>
          </w:p>
        </w:tc>
        <w:tc>
          <w:tcPr>
            <w:tcW w:w="1480" w:type="dxa"/>
            <w:shd w:val="clear" w:color="auto" w:fill="auto"/>
            <w:noWrap/>
            <w:vAlign w:val="center"/>
            <w:hideMark/>
          </w:tcPr>
          <w:p w14:paraId="41E0C7F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945" w:type="dxa"/>
            <w:shd w:val="clear" w:color="auto" w:fill="auto"/>
            <w:noWrap/>
            <w:vAlign w:val="center"/>
            <w:hideMark/>
          </w:tcPr>
          <w:p w14:paraId="67638F4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c>
          <w:tcPr>
            <w:tcW w:w="988" w:type="dxa"/>
            <w:vAlign w:val="center"/>
          </w:tcPr>
          <w:p w14:paraId="717C034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w:t>
            </w:r>
          </w:p>
        </w:tc>
        <w:tc>
          <w:tcPr>
            <w:tcW w:w="1740" w:type="dxa"/>
            <w:vAlign w:val="center"/>
          </w:tcPr>
          <w:p w14:paraId="3D97E53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Business Association</w:t>
            </w:r>
          </w:p>
        </w:tc>
      </w:tr>
      <w:tr w:rsidR="002D3066" w:rsidRPr="002D3066" w14:paraId="4A98D714" w14:textId="77777777">
        <w:trPr>
          <w:trHeight w:val="298"/>
        </w:trPr>
        <w:tc>
          <w:tcPr>
            <w:tcW w:w="530" w:type="dxa"/>
            <w:shd w:val="clear" w:color="auto" w:fill="auto"/>
            <w:noWrap/>
            <w:vAlign w:val="center"/>
            <w:hideMark/>
          </w:tcPr>
          <w:p w14:paraId="6735C6C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3</w:t>
            </w:r>
          </w:p>
        </w:tc>
        <w:tc>
          <w:tcPr>
            <w:tcW w:w="3795" w:type="dxa"/>
            <w:shd w:val="clear" w:color="auto" w:fill="auto"/>
            <w:noWrap/>
            <w:vAlign w:val="center"/>
            <w:hideMark/>
          </w:tcPr>
          <w:p w14:paraId="15186B7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s-MX" w:eastAsia="en-GB"/>
              </w:rPr>
            </w:pPr>
            <w:r w:rsidRPr="002D3066">
              <w:rPr>
                <w:rFonts w:cs="Calibri"/>
                <w:color w:val="000000"/>
                <w:sz w:val="20"/>
                <w:lang w:val="es-MX"/>
              </w:rPr>
              <w:t>Associação Internacional das Comunicações de Expressão Portuguesa</w:t>
            </w:r>
          </w:p>
        </w:tc>
        <w:tc>
          <w:tcPr>
            <w:tcW w:w="1480" w:type="dxa"/>
            <w:shd w:val="clear" w:color="auto" w:fill="auto"/>
            <w:noWrap/>
            <w:vAlign w:val="center"/>
            <w:hideMark/>
          </w:tcPr>
          <w:p w14:paraId="64E032A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945" w:type="dxa"/>
            <w:shd w:val="clear" w:color="auto" w:fill="auto"/>
            <w:noWrap/>
            <w:vAlign w:val="center"/>
            <w:hideMark/>
          </w:tcPr>
          <w:p w14:paraId="08055E1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TD</w:t>
            </w:r>
          </w:p>
        </w:tc>
        <w:tc>
          <w:tcPr>
            <w:tcW w:w="988" w:type="dxa"/>
            <w:vAlign w:val="center"/>
          </w:tcPr>
          <w:p w14:paraId="50F724C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2,3</w:t>
            </w:r>
          </w:p>
        </w:tc>
        <w:tc>
          <w:tcPr>
            <w:tcW w:w="1740" w:type="dxa"/>
            <w:vAlign w:val="center"/>
          </w:tcPr>
          <w:p w14:paraId="344B5F6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Business Association</w:t>
            </w:r>
          </w:p>
        </w:tc>
      </w:tr>
      <w:tr w:rsidR="002D3066" w:rsidRPr="002D3066" w14:paraId="2078AFFE" w14:textId="77777777">
        <w:trPr>
          <w:trHeight w:val="298"/>
        </w:trPr>
        <w:tc>
          <w:tcPr>
            <w:tcW w:w="530" w:type="dxa"/>
            <w:shd w:val="clear" w:color="auto" w:fill="auto"/>
            <w:noWrap/>
            <w:vAlign w:val="center"/>
            <w:hideMark/>
          </w:tcPr>
          <w:p w14:paraId="647FE51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4</w:t>
            </w:r>
          </w:p>
        </w:tc>
        <w:tc>
          <w:tcPr>
            <w:tcW w:w="3795" w:type="dxa"/>
            <w:shd w:val="clear" w:color="auto" w:fill="auto"/>
            <w:noWrap/>
            <w:vAlign w:val="center"/>
            <w:hideMark/>
          </w:tcPr>
          <w:p w14:paraId="19859B5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Broadcast Networks Europe</w:t>
            </w:r>
          </w:p>
        </w:tc>
        <w:tc>
          <w:tcPr>
            <w:tcW w:w="1480" w:type="dxa"/>
            <w:shd w:val="clear" w:color="auto" w:fill="auto"/>
            <w:noWrap/>
            <w:vAlign w:val="center"/>
            <w:hideMark/>
          </w:tcPr>
          <w:p w14:paraId="35A56AF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945" w:type="dxa"/>
            <w:shd w:val="clear" w:color="auto" w:fill="auto"/>
            <w:noWrap/>
            <w:vAlign w:val="center"/>
            <w:hideMark/>
          </w:tcPr>
          <w:p w14:paraId="26046F9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w:t>
            </w:r>
          </w:p>
        </w:tc>
        <w:tc>
          <w:tcPr>
            <w:tcW w:w="988" w:type="dxa"/>
            <w:vAlign w:val="center"/>
          </w:tcPr>
          <w:p w14:paraId="133933F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w:t>
            </w:r>
          </w:p>
        </w:tc>
        <w:tc>
          <w:tcPr>
            <w:tcW w:w="1740" w:type="dxa"/>
            <w:vAlign w:val="center"/>
          </w:tcPr>
          <w:p w14:paraId="148A80B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Business Association</w:t>
            </w:r>
          </w:p>
        </w:tc>
      </w:tr>
      <w:tr w:rsidR="002D3066" w:rsidRPr="002D3066" w14:paraId="33CC7520" w14:textId="77777777">
        <w:trPr>
          <w:trHeight w:val="298"/>
        </w:trPr>
        <w:tc>
          <w:tcPr>
            <w:tcW w:w="530" w:type="dxa"/>
            <w:shd w:val="clear" w:color="auto" w:fill="auto"/>
            <w:noWrap/>
            <w:vAlign w:val="center"/>
            <w:hideMark/>
          </w:tcPr>
          <w:p w14:paraId="5104700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5</w:t>
            </w:r>
          </w:p>
        </w:tc>
        <w:tc>
          <w:tcPr>
            <w:tcW w:w="3795" w:type="dxa"/>
            <w:shd w:val="clear" w:color="auto" w:fill="auto"/>
            <w:noWrap/>
            <w:vAlign w:val="center"/>
            <w:hideMark/>
          </w:tcPr>
          <w:p w14:paraId="324989D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eastAsia="en-GB"/>
              </w:rPr>
            </w:pPr>
            <w:r w:rsidRPr="002D3066">
              <w:rPr>
                <w:rFonts w:cs="Calibri"/>
                <w:color w:val="000000"/>
                <w:sz w:val="20"/>
                <w:lang w:val="fr-BE"/>
              </w:rPr>
              <w:t>Consortium d'Appui aux Actions pour la Promotion et le Développement de l'Afrique (CAPDA)</w:t>
            </w:r>
          </w:p>
        </w:tc>
        <w:tc>
          <w:tcPr>
            <w:tcW w:w="1480" w:type="dxa"/>
            <w:shd w:val="clear" w:color="auto" w:fill="auto"/>
            <w:noWrap/>
            <w:vAlign w:val="center"/>
            <w:hideMark/>
          </w:tcPr>
          <w:p w14:paraId="4A39CEC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945" w:type="dxa"/>
            <w:shd w:val="clear" w:color="auto" w:fill="auto"/>
            <w:noWrap/>
            <w:vAlign w:val="center"/>
            <w:hideMark/>
          </w:tcPr>
          <w:p w14:paraId="26BE81A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c>
          <w:tcPr>
            <w:tcW w:w="988" w:type="dxa"/>
            <w:vAlign w:val="center"/>
          </w:tcPr>
          <w:p w14:paraId="7581E4C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2,3</w:t>
            </w:r>
          </w:p>
        </w:tc>
        <w:tc>
          <w:tcPr>
            <w:tcW w:w="1740" w:type="dxa"/>
            <w:vAlign w:val="center"/>
          </w:tcPr>
          <w:p w14:paraId="1333583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Not a member organization</w:t>
            </w:r>
          </w:p>
        </w:tc>
      </w:tr>
      <w:tr w:rsidR="002D3066" w:rsidRPr="002D3066" w14:paraId="085887AC" w14:textId="77777777">
        <w:trPr>
          <w:trHeight w:val="298"/>
        </w:trPr>
        <w:tc>
          <w:tcPr>
            <w:tcW w:w="530" w:type="dxa"/>
            <w:shd w:val="clear" w:color="auto" w:fill="auto"/>
            <w:noWrap/>
            <w:vAlign w:val="center"/>
            <w:hideMark/>
          </w:tcPr>
          <w:p w14:paraId="45B60E1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6</w:t>
            </w:r>
          </w:p>
        </w:tc>
        <w:tc>
          <w:tcPr>
            <w:tcW w:w="3795" w:type="dxa"/>
            <w:shd w:val="clear" w:color="auto" w:fill="auto"/>
            <w:noWrap/>
            <w:vAlign w:val="center"/>
            <w:hideMark/>
          </w:tcPr>
          <w:p w14:paraId="74483EE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eastAsia="en-GB"/>
              </w:rPr>
            </w:pPr>
            <w:r w:rsidRPr="002D3066">
              <w:rPr>
                <w:rFonts w:cs="Calibri"/>
                <w:color w:val="000000"/>
                <w:sz w:val="20"/>
              </w:rPr>
              <w:t>Digital Opportunity Trust</w:t>
            </w:r>
          </w:p>
        </w:tc>
        <w:tc>
          <w:tcPr>
            <w:tcW w:w="1480" w:type="dxa"/>
            <w:shd w:val="clear" w:color="auto" w:fill="auto"/>
            <w:noWrap/>
            <w:vAlign w:val="center"/>
            <w:hideMark/>
          </w:tcPr>
          <w:p w14:paraId="12A32CD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REGINTORG</w:t>
            </w:r>
          </w:p>
        </w:tc>
        <w:tc>
          <w:tcPr>
            <w:tcW w:w="945" w:type="dxa"/>
            <w:shd w:val="clear" w:color="auto" w:fill="auto"/>
            <w:noWrap/>
            <w:vAlign w:val="center"/>
            <w:hideMark/>
          </w:tcPr>
          <w:p w14:paraId="18FC220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D</w:t>
            </w:r>
          </w:p>
        </w:tc>
        <w:tc>
          <w:tcPr>
            <w:tcW w:w="988" w:type="dxa"/>
            <w:vAlign w:val="center"/>
          </w:tcPr>
          <w:p w14:paraId="1BB22BE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2,3</w:t>
            </w:r>
          </w:p>
        </w:tc>
        <w:tc>
          <w:tcPr>
            <w:tcW w:w="1740" w:type="dxa"/>
            <w:vAlign w:val="center"/>
          </w:tcPr>
          <w:p w14:paraId="1D4C049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Not a member organization</w:t>
            </w:r>
          </w:p>
        </w:tc>
      </w:tr>
      <w:tr w:rsidR="002D3066" w:rsidRPr="002D3066" w14:paraId="2CB5C6B0" w14:textId="77777777">
        <w:trPr>
          <w:trHeight w:val="298"/>
        </w:trPr>
        <w:tc>
          <w:tcPr>
            <w:tcW w:w="530" w:type="dxa"/>
            <w:shd w:val="clear" w:color="auto" w:fill="auto"/>
            <w:noWrap/>
            <w:vAlign w:val="center"/>
          </w:tcPr>
          <w:p w14:paraId="4759862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7</w:t>
            </w:r>
          </w:p>
        </w:tc>
        <w:tc>
          <w:tcPr>
            <w:tcW w:w="3795" w:type="dxa"/>
            <w:shd w:val="clear" w:color="auto" w:fill="auto"/>
            <w:noWrap/>
            <w:vAlign w:val="center"/>
          </w:tcPr>
          <w:p w14:paraId="507CA0F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European Competitive Telecommunications Association</w:t>
            </w:r>
          </w:p>
        </w:tc>
        <w:tc>
          <w:tcPr>
            <w:tcW w:w="1480" w:type="dxa"/>
            <w:shd w:val="clear" w:color="auto" w:fill="auto"/>
            <w:noWrap/>
            <w:vAlign w:val="center"/>
          </w:tcPr>
          <w:p w14:paraId="58382E4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REGINTORG</w:t>
            </w:r>
          </w:p>
        </w:tc>
        <w:tc>
          <w:tcPr>
            <w:tcW w:w="945" w:type="dxa"/>
            <w:shd w:val="clear" w:color="auto" w:fill="auto"/>
            <w:noWrap/>
            <w:vAlign w:val="center"/>
          </w:tcPr>
          <w:p w14:paraId="7E5407A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RTD</w:t>
            </w:r>
          </w:p>
        </w:tc>
        <w:tc>
          <w:tcPr>
            <w:tcW w:w="988" w:type="dxa"/>
            <w:vAlign w:val="center"/>
          </w:tcPr>
          <w:p w14:paraId="78B64B6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w:t>
            </w:r>
          </w:p>
        </w:tc>
        <w:tc>
          <w:tcPr>
            <w:tcW w:w="1740" w:type="dxa"/>
            <w:vAlign w:val="center"/>
          </w:tcPr>
          <w:p w14:paraId="0478E35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Business Association</w:t>
            </w:r>
          </w:p>
        </w:tc>
      </w:tr>
      <w:tr w:rsidR="002D3066" w:rsidRPr="002D3066" w14:paraId="110EBA67" w14:textId="77777777">
        <w:trPr>
          <w:trHeight w:val="298"/>
        </w:trPr>
        <w:tc>
          <w:tcPr>
            <w:tcW w:w="530" w:type="dxa"/>
            <w:shd w:val="clear" w:color="auto" w:fill="auto"/>
            <w:noWrap/>
            <w:vAlign w:val="center"/>
          </w:tcPr>
          <w:p w14:paraId="5494181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8</w:t>
            </w:r>
          </w:p>
        </w:tc>
        <w:tc>
          <w:tcPr>
            <w:tcW w:w="3795" w:type="dxa"/>
            <w:shd w:val="clear" w:color="auto" w:fill="auto"/>
            <w:noWrap/>
            <w:vAlign w:val="center"/>
          </w:tcPr>
          <w:p w14:paraId="506E09F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European Telecommunications Network Operators' Association</w:t>
            </w:r>
          </w:p>
        </w:tc>
        <w:tc>
          <w:tcPr>
            <w:tcW w:w="1480" w:type="dxa"/>
            <w:shd w:val="clear" w:color="auto" w:fill="auto"/>
            <w:noWrap/>
            <w:vAlign w:val="center"/>
          </w:tcPr>
          <w:p w14:paraId="28823FF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REGINTORG</w:t>
            </w:r>
          </w:p>
        </w:tc>
        <w:tc>
          <w:tcPr>
            <w:tcW w:w="945" w:type="dxa"/>
            <w:shd w:val="clear" w:color="auto" w:fill="auto"/>
            <w:noWrap/>
            <w:vAlign w:val="center"/>
          </w:tcPr>
          <w:p w14:paraId="27DD001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RTD</w:t>
            </w:r>
          </w:p>
        </w:tc>
        <w:tc>
          <w:tcPr>
            <w:tcW w:w="988" w:type="dxa"/>
            <w:vAlign w:val="center"/>
          </w:tcPr>
          <w:p w14:paraId="645A050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w:t>
            </w:r>
          </w:p>
        </w:tc>
        <w:tc>
          <w:tcPr>
            <w:tcW w:w="1740" w:type="dxa"/>
            <w:vAlign w:val="center"/>
          </w:tcPr>
          <w:p w14:paraId="6C804CC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Business Association</w:t>
            </w:r>
          </w:p>
        </w:tc>
      </w:tr>
      <w:tr w:rsidR="002D3066" w:rsidRPr="002D3066" w14:paraId="4FBFB1ED" w14:textId="77777777">
        <w:trPr>
          <w:trHeight w:val="298"/>
        </w:trPr>
        <w:tc>
          <w:tcPr>
            <w:tcW w:w="530" w:type="dxa"/>
            <w:shd w:val="clear" w:color="auto" w:fill="auto"/>
            <w:noWrap/>
            <w:vAlign w:val="center"/>
          </w:tcPr>
          <w:p w14:paraId="7D11ACC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9</w:t>
            </w:r>
          </w:p>
        </w:tc>
        <w:tc>
          <w:tcPr>
            <w:tcW w:w="3795" w:type="dxa"/>
            <w:shd w:val="clear" w:color="auto" w:fill="auto"/>
            <w:noWrap/>
            <w:vAlign w:val="center"/>
          </w:tcPr>
          <w:p w14:paraId="2A1F14D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Fiber Connect Council MENA Region</w:t>
            </w:r>
          </w:p>
        </w:tc>
        <w:tc>
          <w:tcPr>
            <w:tcW w:w="1480" w:type="dxa"/>
            <w:shd w:val="clear" w:color="auto" w:fill="auto"/>
            <w:noWrap/>
            <w:vAlign w:val="center"/>
          </w:tcPr>
          <w:p w14:paraId="056EF97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REGINTORG</w:t>
            </w:r>
          </w:p>
        </w:tc>
        <w:tc>
          <w:tcPr>
            <w:tcW w:w="945" w:type="dxa"/>
            <w:shd w:val="clear" w:color="auto" w:fill="auto"/>
            <w:noWrap/>
            <w:vAlign w:val="center"/>
          </w:tcPr>
          <w:p w14:paraId="0D65D62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D</w:t>
            </w:r>
          </w:p>
        </w:tc>
        <w:tc>
          <w:tcPr>
            <w:tcW w:w="988" w:type="dxa"/>
            <w:vAlign w:val="center"/>
          </w:tcPr>
          <w:p w14:paraId="16D644C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w:t>
            </w:r>
          </w:p>
        </w:tc>
        <w:tc>
          <w:tcPr>
            <w:tcW w:w="1740" w:type="dxa"/>
            <w:vAlign w:val="center"/>
          </w:tcPr>
          <w:p w14:paraId="351A5F1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Business Association</w:t>
            </w:r>
          </w:p>
        </w:tc>
      </w:tr>
      <w:tr w:rsidR="002D3066" w:rsidRPr="002D3066" w14:paraId="20D19BD2" w14:textId="77777777">
        <w:trPr>
          <w:trHeight w:val="298"/>
        </w:trPr>
        <w:tc>
          <w:tcPr>
            <w:tcW w:w="530" w:type="dxa"/>
            <w:shd w:val="clear" w:color="auto" w:fill="auto"/>
            <w:noWrap/>
            <w:vAlign w:val="center"/>
          </w:tcPr>
          <w:p w14:paraId="0819BB8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10</w:t>
            </w:r>
          </w:p>
        </w:tc>
        <w:tc>
          <w:tcPr>
            <w:tcW w:w="3795" w:type="dxa"/>
            <w:shd w:val="clear" w:color="auto" w:fill="auto"/>
            <w:noWrap/>
            <w:vAlign w:val="center"/>
          </w:tcPr>
          <w:p w14:paraId="5E3ACE47" w14:textId="00398372"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Global VSAT Forum Limited</w:t>
            </w:r>
            <w:r w:rsidR="009D7B05">
              <w:rPr>
                <w:rFonts w:cs="Calibri"/>
                <w:color w:val="000000"/>
                <w:sz w:val="20"/>
              </w:rPr>
              <w:t xml:space="preserve"> </w:t>
            </w:r>
            <w:r w:rsidR="005B4F89">
              <w:rPr>
                <w:rFonts w:cs="Calibri"/>
                <w:color w:val="000000"/>
                <w:sz w:val="20"/>
              </w:rPr>
              <w:t>(</w:t>
            </w:r>
            <w:r w:rsidR="009D7B05">
              <w:rPr>
                <w:rFonts w:cs="Calibri"/>
                <w:color w:val="000000"/>
                <w:sz w:val="20"/>
              </w:rPr>
              <w:t xml:space="preserve">No longer a separate entity, </w:t>
            </w:r>
            <w:r w:rsidR="005B4F89">
              <w:rPr>
                <w:rFonts w:cs="Calibri"/>
                <w:color w:val="000000"/>
                <w:sz w:val="20"/>
              </w:rPr>
              <w:t>merged with GSOA)</w:t>
            </w:r>
          </w:p>
        </w:tc>
        <w:tc>
          <w:tcPr>
            <w:tcW w:w="1480" w:type="dxa"/>
            <w:shd w:val="clear" w:color="auto" w:fill="auto"/>
            <w:noWrap/>
            <w:vAlign w:val="center"/>
          </w:tcPr>
          <w:p w14:paraId="11085D2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REGINTORG</w:t>
            </w:r>
          </w:p>
        </w:tc>
        <w:tc>
          <w:tcPr>
            <w:tcW w:w="945" w:type="dxa"/>
            <w:shd w:val="clear" w:color="auto" w:fill="auto"/>
            <w:noWrap/>
            <w:vAlign w:val="center"/>
          </w:tcPr>
          <w:p w14:paraId="08EA4F1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D</w:t>
            </w:r>
          </w:p>
        </w:tc>
        <w:tc>
          <w:tcPr>
            <w:tcW w:w="988" w:type="dxa"/>
            <w:vAlign w:val="center"/>
          </w:tcPr>
          <w:p w14:paraId="1FE9593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w:t>
            </w:r>
          </w:p>
        </w:tc>
        <w:tc>
          <w:tcPr>
            <w:tcW w:w="1740" w:type="dxa"/>
            <w:vAlign w:val="center"/>
          </w:tcPr>
          <w:p w14:paraId="47E5A90F" w14:textId="3D14BBF7" w:rsidR="009C0277"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Business Association</w:t>
            </w:r>
          </w:p>
          <w:p w14:paraId="560F3784" w14:textId="64A9B9EB"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p>
        </w:tc>
      </w:tr>
      <w:tr w:rsidR="002D3066" w:rsidRPr="002D3066" w14:paraId="533BC6ED" w14:textId="77777777">
        <w:trPr>
          <w:trHeight w:val="298"/>
        </w:trPr>
        <w:tc>
          <w:tcPr>
            <w:tcW w:w="530" w:type="dxa"/>
            <w:shd w:val="clear" w:color="auto" w:fill="auto"/>
            <w:noWrap/>
            <w:vAlign w:val="center"/>
          </w:tcPr>
          <w:p w14:paraId="24538B1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11</w:t>
            </w:r>
          </w:p>
        </w:tc>
        <w:tc>
          <w:tcPr>
            <w:tcW w:w="3795" w:type="dxa"/>
            <w:shd w:val="clear" w:color="auto" w:fill="auto"/>
            <w:noWrap/>
            <w:vAlign w:val="center"/>
          </w:tcPr>
          <w:p w14:paraId="340C26A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International Maritime Radio Association</w:t>
            </w:r>
          </w:p>
        </w:tc>
        <w:tc>
          <w:tcPr>
            <w:tcW w:w="1480" w:type="dxa"/>
            <w:shd w:val="clear" w:color="auto" w:fill="auto"/>
            <w:noWrap/>
            <w:vAlign w:val="center"/>
          </w:tcPr>
          <w:p w14:paraId="5134D0E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REGINTORG</w:t>
            </w:r>
          </w:p>
        </w:tc>
        <w:tc>
          <w:tcPr>
            <w:tcW w:w="945" w:type="dxa"/>
            <w:shd w:val="clear" w:color="auto" w:fill="auto"/>
            <w:noWrap/>
            <w:vAlign w:val="center"/>
          </w:tcPr>
          <w:p w14:paraId="72400DA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RT</w:t>
            </w:r>
          </w:p>
        </w:tc>
        <w:tc>
          <w:tcPr>
            <w:tcW w:w="988" w:type="dxa"/>
            <w:vAlign w:val="center"/>
          </w:tcPr>
          <w:p w14:paraId="1E57CB2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w:t>
            </w:r>
          </w:p>
        </w:tc>
        <w:tc>
          <w:tcPr>
            <w:tcW w:w="1740" w:type="dxa"/>
            <w:vAlign w:val="center"/>
          </w:tcPr>
          <w:p w14:paraId="2919862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Business Association</w:t>
            </w:r>
          </w:p>
        </w:tc>
      </w:tr>
      <w:tr w:rsidR="002D3066" w:rsidRPr="002D3066" w14:paraId="1C6BA9AC" w14:textId="77777777">
        <w:trPr>
          <w:trHeight w:val="298"/>
        </w:trPr>
        <w:tc>
          <w:tcPr>
            <w:tcW w:w="530" w:type="dxa"/>
            <w:shd w:val="clear" w:color="auto" w:fill="auto"/>
            <w:noWrap/>
            <w:vAlign w:val="center"/>
          </w:tcPr>
          <w:p w14:paraId="374B669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12</w:t>
            </w:r>
          </w:p>
        </w:tc>
        <w:tc>
          <w:tcPr>
            <w:tcW w:w="3795" w:type="dxa"/>
            <w:shd w:val="clear" w:color="auto" w:fill="auto"/>
            <w:noWrap/>
            <w:vAlign w:val="center"/>
          </w:tcPr>
          <w:p w14:paraId="62AC59D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Internet Systems Consortium</w:t>
            </w:r>
          </w:p>
        </w:tc>
        <w:tc>
          <w:tcPr>
            <w:tcW w:w="1480" w:type="dxa"/>
            <w:shd w:val="clear" w:color="auto" w:fill="auto"/>
            <w:noWrap/>
            <w:vAlign w:val="center"/>
          </w:tcPr>
          <w:p w14:paraId="08FE9D6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REGINTORG</w:t>
            </w:r>
          </w:p>
        </w:tc>
        <w:tc>
          <w:tcPr>
            <w:tcW w:w="945" w:type="dxa"/>
            <w:shd w:val="clear" w:color="auto" w:fill="auto"/>
            <w:noWrap/>
            <w:vAlign w:val="center"/>
          </w:tcPr>
          <w:p w14:paraId="2AE8BF7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TD</w:t>
            </w:r>
          </w:p>
        </w:tc>
        <w:tc>
          <w:tcPr>
            <w:tcW w:w="988" w:type="dxa"/>
            <w:vAlign w:val="center"/>
          </w:tcPr>
          <w:p w14:paraId="3E065D0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2,3</w:t>
            </w:r>
          </w:p>
        </w:tc>
        <w:tc>
          <w:tcPr>
            <w:tcW w:w="1740" w:type="dxa"/>
            <w:vAlign w:val="center"/>
          </w:tcPr>
          <w:p w14:paraId="152A8CE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Not a member organization</w:t>
            </w:r>
          </w:p>
        </w:tc>
      </w:tr>
      <w:tr w:rsidR="002D3066" w:rsidRPr="002D3066" w14:paraId="7AAC92F2" w14:textId="77777777">
        <w:trPr>
          <w:trHeight w:val="298"/>
        </w:trPr>
        <w:tc>
          <w:tcPr>
            <w:tcW w:w="530" w:type="dxa"/>
            <w:shd w:val="clear" w:color="auto" w:fill="auto"/>
            <w:noWrap/>
            <w:vAlign w:val="center"/>
          </w:tcPr>
          <w:p w14:paraId="6958F0B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13</w:t>
            </w:r>
          </w:p>
        </w:tc>
        <w:tc>
          <w:tcPr>
            <w:tcW w:w="3795" w:type="dxa"/>
            <w:shd w:val="clear" w:color="auto" w:fill="auto"/>
            <w:noWrap/>
            <w:vAlign w:val="center"/>
          </w:tcPr>
          <w:p w14:paraId="1417966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ITU-APT Foundation of India</w:t>
            </w:r>
          </w:p>
        </w:tc>
        <w:tc>
          <w:tcPr>
            <w:tcW w:w="1480" w:type="dxa"/>
            <w:shd w:val="clear" w:color="auto" w:fill="auto"/>
            <w:noWrap/>
            <w:vAlign w:val="center"/>
          </w:tcPr>
          <w:p w14:paraId="67F1421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REGINTORG</w:t>
            </w:r>
          </w:p>
        </w:tc>
        <w:tc>
          <w:tcPr>
            <w:tcW w:w="945" w:type="dxa"/>
            <w:shd w:val="clear" w:color="auto" w:fill="auto"/>
            <w:noWrap/>
            <w:vAlign w:val="center"/>
          </w:tcPr>
          <w:p w14:paraId="2D82067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RTD</w:t>
            </w:r>
          </w:p>
        </w:tc>
        <w:tc>
          <w:tcPr>
            <w:tcW w:w="988" w:type="dxa"/>
            <w:vAlign w:val="center"/>
          </w:tcPr>
          <w:p w14:paraId="703EB1F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1,3</w:t>
            </w:r>
          </w:p>
        </w:tc>
        <w:tc>
          <w:tcPr>
            <w:tcW w:w="1740" w:type="dxa"/>
            <w:vAlign w:val="center"/>
          </w:tcPr>
          <w:p w14:paraId="303EF79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National body, insufficient international membership</w:t>
            </w:r>
          </w:p>
        </w:tc>
      </w:tr>
      <w:tr w:rsidR="002D3066" w:rsidRPr="002D3066" w14:paraId="5FB85E06" w14:textId="77777777">
        <w:trPr>
          <w:trHeight w:val="298"/>
        </w:trPr>
        <w:tc>
          <w:tcPr>
            <w:tcW w:w="530" w:type="dxa"/>
            <w:shd w:val="clear" w:color="auto" w:fill="auto"/>
            <w:noWrap/>
            <w:vAlign w:val="center"/>
          </w:tcPr>
          <w:p w14:paraId="498E583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14</w:t>
            </w:r>
          </w:p>
        </w:tc>
        <w:tc>
          <w:tcPr>
            <w:tcW w:w="3795" w:type="dxa"/>
            <w:shd w:val="clear" w:color="auto" w:fill="auto"/>
            <w:noWrap/>
            <w:vAlign w:val="center"/>
          </w:tcPr>
          <w:p w14:paraId="74DBB51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Mandat International</w:t>
            </w:r>
          </w:p>
        </w:tc>
        <w:tc>
          <w:tcPr>
            <w:tcW w:w="1480" w:type="dxa"/>
            <w:shd w:val="clear" w:color="auto" w:fill="auto"/>
            <w:noWrap/>
            <w:vAlign w:val="center"/>
          </w:tcPr>
          <w:p w14:paraId="2BBFDFA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REGINTORG</w:t>
            </w:r>
          </w:p>
        </w:tc>
        <w:tc>
          <w:tcPr>
            <w:tcW w:w="945" w:type="dxa"/>
            <w:shd w:val="clear" w:color="auto" w:fill="auto"/>
            <w:noWrap/>
            <w:vAlign w:val="center"/>
          </w:tcPr>
          <w:p w14:paraId="7AF47D8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T</w:t>
            </w:r>
          </w:p>
        </w:tc>
        <w:tc>
          <w:tcPr>
            <w:tcW w:w="988" w:type="dxa"/>
            <w:vAlign w:val="center"/>
          </w:tcPr>
          <w:p w14:paraId="1081BA0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2,3</w:t>
            </w:r>
          </w:p>
        </w:tc>
        <w:tc>
          <w:tcPr>
            <w:tcW w:w="1740" w:type="dxa"/>
            <w:vAlign w:val="center"/>
          </w:tcPr>
          <w:p w14:paraId="5BC9972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Not a member organization</w:t>
            </w:r>
          </w:p>
        </w:tc>
      </w:tr>
      <w:tr w:rsidR="002D3066" w:rsidRPr="002D3066" w14:paraId="2332D5C9" w14:textId="77777777">
        <w:trPr>
          <w:trHeight w:val="298"/>
        </w:trPr>
        <w:tc>
          <w:tcPr>
            <w:tcW w:w="530" w:type="dxa"/>
            <w:shd w:val="clear" w:color="auto" w:fill="auto"/>
            <w:noWrap/>
            <w:vAlign w:val="center"/>
          </w:tcPr>
          <w:p w14:paraId="3EFC087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15</w:t>
            </w:r>
          </w:p>
        </w:tc>
        <w:tc>
          <w:tcPr>
            <w:tcW w:w="3795" w:type="dxa"/>
            <w:shd w:val="clear" w:color="auto" w:fill="auto"/>
            <w:noWrap/>
            <w:vAlign w:val="center"/>
          </w:tcPr>
          <w:p w14:paraId="65DE63F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North American Broadcasters Association (NABA)</w:t>
            </w:r>
          </w:p>
        </w:tc>
        <w:tc>
          <w:tcPr>
            <w:tcW w:w="1480" w:type="dxa"/>
            <w:shd w:val="clear" w:color="auto" w:fill="auto"/>
            <w:noWrap/>
            <w:vAlign w:val="center"/>
          </w:tcPr>
          <w:p w14:paraId="1FAF1D8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REGINTORG</w:t>
            </w:r>
          </w:p>
        </w:tc>
        <w:tc>
          <w:tcPr>
            <w:tcW w:w="945" w:type="dxa"/>
            <w:shd w:val="clear" w:color="auto" w:fill="auto"/>
            <w:noWrap/>
            <w:vAlign w:val="center"/>
          </w:tcPr>
          <w:p w14:paraId="1C0BBEF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w:t>
            </w:r>
          </w:p>
        </w:tc>
        <w:tc>
          <w:tcPr>
            <w:tcW w:w="988" w:type="dxa"/>
            <w:vAlign w:val="center"/>
          </w:tcPr>
          <w:p w14:paraId="09AA198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w:t>
            </w:r>
          </w:p>
        </w:tc>
        <w:tc>
          <w:tcPr>
            <w:tcW w:w="1740" w:type="dxa"/>
            <w:vAlign w:val="center"/>
          </w:tcPr>
          <w:p w14:paraId="5DA1CC9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color w:val="000000"/>
                <w:sz w:val="20"/>
              </w:rPr>
            </w:pPr>
            <w:r w:rsidRPr="002D3066">
              <w:rPr>
                <w:rFonts w:cs="Calibri"/>
                <w:color w:val="000000"/>
                <w:sz w:val="20"/>
              </w:rPr>
              <w:t>Business Association</w:t>
            </w:r>
          </w:p>
        </w:tc>
      </w:tr>
      <w:tr w:rsidR="002D3066" w:rsidRPr="002D3066" w14:paraId="0E59CABA" w14:textId="77777777">
        <w:trPr>
          <w:trHeight w:val="298"/>
        </w:trPr>
        <w:tc>
          <w:tcPr>
            <w:tcW w:w="530" w:type="dxa"/>
            <w:shd w:val="clear" w:color="auto" w:fill="auto"/>
            <w:noWrap/>
            <w:vAlign w:val="center"/>
          </w:tcPr>
          <w:p w14:paraId="70404F7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16</w:t>
            </w:r>
          </w:p>
        </w:tc>
        <w:tc>
          <w:tcPr>
            <w:tcW w:w="3795" w:type="dxa"/>
            <w:shd w:val="clear" w:color="auto" w:fill="auto"/>
            <w:noWrap/>
            <w:vAlign w:val="center"/>
          </w:tcPr>
          <w:p w14:paraId="6E349091" w14:textId="330664C3"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Scientific Committee on Frequency Allocations for Radio Astronomy and Space Science (IUCAF)</w:t>
            </w:r>
          </w:p>
        </w:tc>
        <w:tc>
          <w:tcPr>
            <w:tcW w:w="1480" w:type="dxa"/>
            <w:shd w:val="clear" w:color="auto" w:fill="auto"/>
            <w:noWrap/>
            <w:vAlign w:val="center"/>
          </w:tcPr>
          <w:p w14:paraId="719B07E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REGINTORG</w:t>
            </w:r>
          </w:p>
        </w:tc>
        <w:tc>
          <w:tcPr>
            <w:tcW w:w="945" w:type="dxa"/>
            <w:shd w:val="clear" w:color="auto" w:fill="auto"/>
            <w:noWrap/>
            <w:vAlign w:val="center"/>
          </w:tcPr>
          <w:p w14:paraId="638A30A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w:t>
            </w:r>
          </w:p>
        </w:tc>
        <w:tc>
          <w:tcPr>
            <w:tcW w:w="988" w:type="dxa"/>
            <w:vAlign w:val="center"/>
          </w:tcPr>
          <w:p w14:paraId="477988D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w:t>
            </w:r>
          </w:p>
        </w:tc>
        <w:tc>
          <w:tcPr>
            <w:tcW w:w="1740" w:type="dxa"/>
            <w:vAlign w:val="center"/>
          </w:tcPr>
          <w:p w14:paraId="1C83FBA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Not a legal entity. Affiliated body of ISC</w:t>
            </w:r>
          </w:p>
        </w:tc>
      </w:tr>
      <w:tr w:rsidR="002D3066" w:rsidRPr="002D3066" w14:paraId="3AE679A9" w14:textId="77777777">
        <w:trPr>
          <w:trHeight w:val="298"/>
        </w:trPr>
        <w:tc>
          <w:tcPr>
            <w:tcW w:w="530" w:type="dxa"/>
            <w:shd w:val="clear" w:color="auto" w:fill="auto"/>
            <w:noWrap/>
            <w:vAlign w:val="center"/>
          </w:tcPr>
          <w:p w14:paraId="25C2F69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17</w:t>
            </w:r>
          </w:p>
        </w:tc>
        <w:tc>
          <w:tcPr>
            <w:tcW w:w="3795" w:type="dxa"/>
            <w:shd w:val="clear" w:color="auto" w:fill="auto"/>
            <w:noWrap/>
            <w:vAlign w:val="center"/>
          </w:tcPr>
          <w:p w14:paraId="437BFC5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Sintesio Foundation</w:t>
            </w:r>
          </w:p>
        </w:tc>
        <w:tc>
          <w:tcPr>
            <w:tcW w:w="1480" w:type="dxa"/>
            <w:shd w:val="clear" w:color="auto" w:fill="auto"/>
            <w:noWrap/>
            <w:vAlign w:val="center"/>
          </w:tcPr>
          <w:p w14:paraId="068B7F0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 xml:space="preserve">REGINTORG </w:t>
            </w:r>
          </w:p>
        </w:tc>
        <w:tc>
          <w:tcPr>
            <w:tcW w:w="945" w:type="dxa"/>
            <w:shd w:val="clear" w:color="auto" w:fill="auto"/>
            <w:noWrap/>
            <w:vAlign w:val="center"/>
          </w:tcPr>
          <w:p w14:paraId="3093F91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D</w:t>
            </w:r>
          </w:p>
        </w:tc>
        <w:tc>
          <w:tcPr>
            <w:tcW w:w="988" w:type="dxa"/>
            <w:vAlign w:val="center"/>
          </w:tcPr>
          <w:p w14:paraId="37C7DC3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3</w:t>
            </w:r>
          </w:p>
        </w:tc>
        <w:tc>
          <w:tcPr>
            <w:tcW w:w="1740" w:type="dxa"/>
            <w:vAlign w:val="center"/>
          </w:tcPr>
          <w:p w14:paraId="09591E2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Insufficient international membership</w:t>
            </w:r>
          </w:p>
        </w:tc>
      </w:tr>
      <w:tr w:rsidR="002D3066" w:rsidRPr="002D3066" w14:paraId="6AF6B1B6" w14:textId="77777777">
        <w:trPr>
          <w:trHeight w:val="327"/>
        </w:trPr>
        <w:tc>
          <w:tcPr>
            <w:tcW w:w="530" w:type="dxa"/>
            <w:shd w:val="clear" w:color="auto" w:fill="auto"/>
            <w:noWrap/>
            <w:vAlign w:val="center"/>
          </w:tcPr>
          <w:p w14:paraId="36D62AC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18</w:t>
            </w:r>
          </w:p>
        </w:tc>
        <w:tc>
          <w:tcPr>
            <w:tcW w:w="3795" w:type="dxa"/>
            <w:shd w:val="clear" w:color="auto" w:fill="auto"/>
            <w:noWrap/>
            <w:vAlign w:val="center"/>
          </w:tcPr>
          <w:p w14:paraId="5133DAB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Techfugees Foundation</w:t>
            </w:r>
          </w:p>
        </w:tc>
        <w:tc>
          <w:tcPr>
            <w:tcW w:w="1480" w:type="dxa"/>
            <w:shd w:val="clear" w:color="auto" w:fill="auto"/>
            <w:noWrap/>
            <w:vAlign w:val="center"/>
          </w:tcPr>
          <w:p w14:paraId="4D5AE18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REGINTORG</w:t>
            </w:r>
          </w:p>
        </w:tc>
        <w:tc>
          <w:tcPr>
            <w:tcW w:w="945" w:type="dxa"/>
            <w:shd w:val="clear" w:color="auto" w:fill="auto"/>
            <w:noWrap/>
            <w:vAlign w:val="center"/>
          </w:tcPr>
          <w:p w14:paraId="328A7DE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D</w:t>
            </w:r>
          </w:p>
        </w:tc>
        <w:tc>
          <w:tcPr>
            <w:tcW w:w="988" w:type="dxa"/>
            <w:vAlign w:val="center"/>
          </w:tcPr>
          <w:p w14:paraId="060C4DC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2,3</w:t>
            </w:r>
          </w:p>
        </w:tc>
        <w:tc>
          <w:tcPr>
            <w:tcW w:w="1740" w:type="dxa"/>
            <w:vAlign w:val="center"/>
          </w:tcPr>
          <w:p w14:paraId="210F81E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color w:val="000000"/>
                <w:sz w:val="20"/>
              </w:rPr>
            </w:pPr>
            <w:r w:rsidRPr="002D3066">
              <w:rPr>
                <w:rFonts w:cs="Calibri"/>
                <w:color w:val="000000"/>
                <w:sz w:val="20"/>
              </w:rPr>
              <w:t>Not a member organization</w:t>
            </w:r>
          </w:p>
        </w:tc>
      </w:tr>
      <w:tr w:rsidR="002D3066" w:rsidRPr="002D3066" w14:paraId="612426B8" w14:textId="77777777">
        <w:trPr>
          <w:trHeight w:val="298"/>
        </w:trPr>
        <w:tc>
          <w:tcPr>
            <w:tcW w:w="530" w:type="dxa"/>
            <w:shd w:val="clear" w:color="auto" w:fill="auto"/>
            <w:noWrap/>
            <w:vAlign w:val="center"/>
          </w:tcPr>
          <w:p w14:paraId="150C819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sz w:val="20"/>
              </w:rPr>
              <w:t>19</w:t>
            </w:r>
          </w:p>
        </w:tc>
        <w:tc>
          <w:tcPr>
            <w:tcW w:w="3795" w:type="dxa"/>
            <w:shd w:val="clear" w:color="auto" w:fill="auto"/>
            <w:noWrap/>
            <w:vAlign w:val="center"/>
          </w:tcPr>
          <w:p w14:paraId="1BD3411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World Wide Web Foundation</w:t>
            </w:r>
          </w:p>
        </w:tc>
        <w:tc>
          <w:tcPr>
            <w:tcW w:w="1480" w:type="dxa"/>
            <w:shd w:val="clear" w:color="auto" w:fill="auto"/>
            <w:noWrap/>
            <w:vAlign w:val="center"/>
          </w:tcPr>
          <w:p w14:paraId="1275BA2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REGINTORG</w:t>
            </w:r>
          </w:p>
        </w:tc>
        <w:tc>
          <w:tcPr>
            <w:tcW w:w="945" w:type="dxa"/>
            <w:shd w:val="clear" w:color="auto" w:fill="auto"/>
            <w:noWrap/>
            <w:vAlign w:val="center"/>
          </w:tcPr>
          <w:p w14:paraId="4973EC2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D</w:t>
            </w:r>
          </w:p>
        </w:tc>
        <w:tc>
          <w:tcPr>
            <w:tcW w:w="988" w:type="dxa"/>
            <w:vAlign w:val="center"/>
          </w:tcPr>
          <w:p w14:paraId="7F37303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sz w:val="20"/>
              </w:rPr>
              <w:t>2,3</w:t>
            </w:r>
          </w:p>
        </w:tc>
        <w:tc>
          <w:tcPr>
            <w:tcW w:w="1740" w:type="dxa"/>
            <w:vAlign w:val="center"/>
          </w:tcPr>
          <w:p w14:paraId="03409F1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color w:val="000000"/>
                <w:sz w:val="20"/>
              </w:rPr>
            </w:pPr>
            <w:r w:rsidRPr="002D3066">
              <w:rPr>
                <w:rFonts w:cs="Calibri"/>
                <w:color w:val="000000"/>
                <w:sz w:val="20"/>
              </w:rPr>
              <w:t>Not a member organization</w:t>
            </w:r>
          </w:p>
        </w:tc>
      </w:tr>
    </w:tbl>
    <w:p w14:paraId="4C32BDC6" w14:textId="77777777" w:rsidR="00A47083" w:rsidRDefault="00A47083" w:rsidP="002D3066">
      <w:pPr>
        <w:spacing w:before="240" w:after="240"/>
        <w:jc w:val="center"/>
        <w:rPr>
          <w:b/>
          <w:sz w:val="28"/>
        </w:rPr>
      </w:pPr>
    </w:p>
    <w:p w14:paraId="66790240" w14:textId="77777777" w:rsidR="00817F11" w:rsidRDefault="00817F11" w:rsidP="002D3066">
      <w:pPr>
        <w:spacing w:before="240" w:after="240"/>
        <w:jc w:val="center"/>
        <w:rPr>
          <w:b/>
          <w:sz w:val="28"/>
        </w:rPr>
      </w:pPr>
    </w:p>
    <w:p w14:paraId="42EE5A3B" w14:textId="5BED9E30" w:rsidR="002D3066" w:rsidRPr="002D3066" w:rsidRDefault="002D3066" w:rsidP="002D3066">
      <w:pPr>
        <w:spacing w:before="240" w:after="240"/>
        <w:jc w:val="center"/>
        <w:rPr>
          <w:b/>
          <w:bCs/>
          <w:sz w:val="28"/>
        </w:rPr>
      </w:pPr>
      <w:r w:rsidRPr="002D3066">
        <w:rPr>
          <w:b/>
          <w:sz w:val="28"/>
        </w:rPr>
        <w:lastRenderedPageBreak/>
        <w:t xml:space="preserve">Annex </w:t>
      </w:r>
      <w:r w:rsidRPr="002D3066">
        <w:rPr>
          <w:b/>
          <w:bCs/>
          <w:sz w:val="28"/>
        </w:rPr>
        <w:t>4:</w:t>
      </w:r>
      <w:r w:rsidRPr="002D3066">
        <w:rPr>
          <w:b/>
          <w:sz w:val="28"/>
        </w:rPr>
        <w:t xml:space="preserve"> </w:t>
      </w:r>
      <w:r w:rsidR="00817F11">
        <w:rPr>
          <w:b/>
          <w:sz w:val="28"/>
        </w:rPr>
        <w:t>O</w:t>
      </w:r>
      <w:r w:rsidRPr="002D3066">
        <w:rPr>
          <w:b/>
          <w:sz w:val="28"/>
        </w:rPr>
        <w:t>rgani</w:t>
      </w:r>
      <w:r w:rsidR="00E227FD">
        <w:rPr>
          <w:b/>
          <w:sz w:val="28"/>
        </w:rPr>
        <w:t>s</w:t>
      </w:r>
      <w:r w:rsidRPr="002D3066">
        <w:rPr>
          <w:b/>
          <w:sz w:val="28"/>
        </w:rPr>
        <w:t>ations that did not submit a formal request for an extension of their exemption status</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6545"/>
        <w:gridCol w:w="1355"/>
        <w:gridCol w:w="1032"/>
      </w:tblGrid>
      <w:tr w:rsidR="002D3066" w:rsidRPr="002D3066" w14:paraId="1C011AFD" w14:textId="77777777">
        <w:trPr>
          <w:trHeight w:val="294"/>
        </w:trPr>
        <w:tc>
          <w:tcPr>
            <w:tcW w:w="535" w:type="dxa"/>
            <w:shd w:val="clear" w:color="auto" w:fill="A6A6A6" w:themeFill="background1" w:themeFillShade="A6"/>
            <w:noWrap/>
            <w:vAlign w:val="center"/>
            <w:hideMark/>
          </w:tcPr>
          <w:p w14:paraId="4D085DCD" w14:textId="77777777" w:rsidR="002D3066" w:rsidRPr="002D3066" w:rsidRDefault="002D3066" w:rsidP="002D3066">
            <w:pPr>
              <w:tabs>
                <w:tab w:val="clear" w:pos="567"/>
                <w:tab w:val="clear" w:pos="1134"/>
                <w:tab w:val="clear" w:pos="1701"/>
                <w:tab w:val="clear" w:pos="2268"/>
                <w:tab w:val="clear" w:pos="2835"/>
              </w:tabs>
              <w:spacing w:before="0" w:line="259" w:lineRule="auto"/>
              <w:rPr>
                <w:b/>
                <w:color w:val="000000" w:themeColor="text1"/>
                <w:sz w:val="20"/>
                <w:lang w:eastAsia="en-GB"/>
              </w:rPr>
            </w:pPr>
            <w:r w:rsidRPr="002D3066">
              <w:rPr>
                <w:rFonts w:cs="Calibri"/>
                <w:b/>
                <w:bCs/>
                <w:color w:val="000000" w:themeColor="text1"/>
                <w:sz w:val="20"/>
                <w:lang w:eastAsia="en-GB"/>
              </w:rPr>
              <w:t>N.</w:t>
            </w:r>
          </w:p>
        </w:tc>
        <w:tc>
          <w:tcPr>
            <w:tcW w:w="6545" w:type="dxa"/>
            <w:shd w:val="clear" w:color="auto" w:fill="A6A6A6" w:themeFill="background1" w:themeFillShade="A6"/>
            <w:noWrap/>
            <w:vAlign w:val="center"/>
            <w:hideMark/>
          </w:tcPr>
          <w:p w14:paraId="55036F8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color w:val="000000" w:themeColor="text1"/>
                <w:sz w:val="20"/>
                <w:lang w:eastAsia="en-GB"/>
              </w:rPr>
              <w:t>Entity Name</w:t>
            </w:r>
          </w:p>
        </w:tc>
        <w:tc>
          <w:tcPr>
            <w:tcW w:w="1355" w:type="dxa"/>
            <w:shd w:val="clear" w:color="auto" w:fill="A6A6A6" w:themeFill="background1" w:themeFillShade="A6"/>
            <w:noWrap/>
            <w:vAlign w:val="center"/>
            <w:hideMark/>
          </w:tcPr>
          <w:p w14:paraId="7FDAFAD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color w:val="000000" w:themeColor="text1"/>
                <w:sz w:val="20"/>
                <w:lang w:eastAsia="en-GB"/>
              </w:rPr>
              <w:t>Main Category</w:t>
            </w:r>
          </w:p>
        </w:tc>
        <w:tc>
          <w:tcPr>
            <w:tcW w:w="1032" w:type="dxa"/>
            <w:shd w:val="clear" w:color="auto" w:fill="A6A6A6" w:themeFill="background1" w:themeFillShade="A6"/>
            <w:noWrap/>
            <w:vAlign w:val="center"/>
            <w:hideMark/>
          </w:tcPr>
          <w:p w14:paraId="0ED4FD2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eastAsia="en-GB"/>
              </w:rPr>
            </w:pPr>
            <w:r w:rsidRPr="002D3066">
              <w:rPr>
                <w:rFonts w:cs="Calibri"/>
                <w:b/>
                <w:color w:val="000000" w:themeColor="text1"/>
                <w:sz w:val="20"/>
                <w:lang w:eastAsia="en-GB"/>
              </w:rPr>
              <w:t>Sectors</w:t>
            </w:r>
          </w:p>
        </w:tc>
      </w:tr>
      <w:tr w:rsidR="002D3066" w:rsidRPr="002D3066" w14:paraId="11A9BBF3" w14:textId="7777777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5108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1</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738B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African ICT Consumers Network (AICN)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ED0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0737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TD</w:t>
            </w:r>
          </w:p>
        </w:tc>
      </w:tr>
      <w:tr w:rsidR="002D3066" w:rsidRPr="002D3066" w14:paraId="38DB4813" w14:textId="7777777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237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2</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9129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African Union of Broadcasting</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B624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630C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RTD</w:t>
            </w:r>
          </w:p>
        </w:tc>
      </w:tr>
      <w:tr w:rsidR="002D3066" w:rsidRPr="002D3066" w14:paraId="76F7883F" w14:textId="7777777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C75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3</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FE3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Arab Business Forum for Information and Communication Technology</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B705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CCC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D</w:t>
            </w:r>
          </w:p>
        </w:tc>
      </w:tr>
      <w:tr w:rsidR="002D3066" w:rsidRPr="002D3066" w14:paraId="041E5099" w14:textId="7777777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2C66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4</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3593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Arab Private Broadcasting Union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2FC2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06E9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RTD</w:t>
            </w:r>
          </w:p>
        </w:tc>
      </w:tr>
      <w:tr w:rsidR="002D3066" w:rsidRPr="002D3066" w14:paraId="284B1A88" w14:textId="7777777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6BF9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5</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1050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Arab States Broadcasting Union</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E37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4303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RD</w:t>
            </w:r>
          </w:p>
        </w:tc>
      </w:tr>
      <w:tr w:rsidR="002D3066" w:rsidRPr="002D3066" w14:paraId="46F9A53B" w14:textId="77777777">
        <w:trPr>
          <w:trHeight w:val="294"/>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597B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6</w:t>
            </w:r>
          </w:p>
        </w:tc>
        <w:tc>
          <w:tcPr>
            <w:tcW w:w="6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20A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Association of Andean Community Telecommunications Enterprises</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15FB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REGINTORG</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EBA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rPr>
              <w:t>RTD</w:t>
            </w:r>
          </w:p>
        </w:tc>
      </w:tr>
      <w:tr w:rsidR="002D3066" w:rsidRPr="002D3066" w14:paraId="378C17FF" w14:textId="77777777">
        <w:trPr>
          <w:trHeight w:val="294"/>
        </w:trPr>
        <w:tc>
          <w:tcPr>
            <w:tcW w:w="535" w:type="dxa"/>
            <w:shd w:val="clear" w:color="auto" w:fill="auto"/>
            <w:noWrap/>
            <w:vAlign w:val="center"/>
          </w:tcPr>
          <w:p w14:paraId="72449A2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7</w:t>
            </w:r>
          </w:p>
        </w:tc>
        <w:tc>
          <w:tcPr>
            <w:tcW w:w="6545" w:type="dxa"/>
            <w:shd w:val="clear" w:color="auto" w:fill="auto"/>
            <w:noWrap/>
            <w:vAlign w:val="bottom"/>
          </w:tcPr>
          <w:p w14:paraId="4CDBB71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Centre for Environment and Development for the Arab Region and Europe</w:t>
            </w:r>
          </w:p>
        </w:tc>
        <w:tc>
          <w:tcPr>
            <w:tcW w:w="1355" w:type="dxa"/>
            <w:shd w:val="clear" w:color="auto" w:fill="auto"/>
            <w:noWrap/>
            <w:vAlign w:val="bottom"/>
          </w:tcPr>
          <w:p w14:paraId="240AF7A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53CB411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TD</w:t>
            </w:r>
          </w:p>
        </w:tc>
      </w:tr>
      <w:tr w:rsidR="002D3066" w:rsidRPr="002D3066" w14:paraId="5CC2DD82" w14:textId="77777777">
        <w:trPr>
          <w:trHeight w:val="294"/>
        </w:trPr>
        <w:tc>
          <w:tcPr>
            <w:tcW w:w="535" w:type="dxa"/>
            <w:shd w:val="clear" w:color="auto" w:fill="auto"/>
            <w:noWrap/>
            <w:vAlign w:val="center"/>
          </w:tcPr>
          <w:p w14:paraId="14815DE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8</w:t>
            </w:r>
          </w:p>
        </w:tc>
        <w:tc>
          <w:tcPr>
            <w:tcW w:w="6545" w:type="dxa"/>
            <w:shd w:val="clear" w:color="auto" w:fill="auto"/>
            <w:noWrap/>
            <w:vAlign w:val="bottom"/>
          </w:tcPr>
          <w:p w14:paraId="41FCB066" w14:textId="00D12895"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Commonwealth ITU Group</w:t>
            </w:r>
          </w:p>
        </w:tc>
        <w:tc>
          <w:tcPr>
            <w:tcW w:w="1355" w:type="dxa"/>
            <w:shd w:val="clear" w:color="auto" w:fill="auto"/>
            <w:noWrap/>
            <w:vAlign w:val="bottom"/>
          </w:tcPr>
          <w:p w14:paraId="1608237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5144F04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RTD</w:t>
            </w:r>
          </w:p>
        </w:tc>
      </w:tr>
      <w:tr w:rsidR="002D3066" w:rsidRPr="002D3066" w14:paraId="1276AD33" w14:textId="77777777">
        <w:trPr>
          <w:trHeight w:val="294"/>
        </w:trPr>
        <w:tc>
          <w:tcPr>
            <w:tcW w:w="535" w:type="dxa"/>
            <w:shd w:val="clear" w:color="auto" w:fill="auto"/>
            <w:noWrap/>
            <w:vAlign w:val="center"/>
          </w:tcPr>
          <w:p w14:paraId="3AB8BEE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9</w:t>
            </w:r>
          </w:p>
        </w:tc>
        <w:tc>
          <w:tcPr>
            <w:tcW w:w="6545" w:type="dxa"/>
            <w:shd w:val="clear" w:color="auto" w:fill="auto"/>
            <w:noWrap/>
            <w:vAlign w:val="bottom"/>
          </w:tcPr>
          <w:p w14:paraId="5C7FCB3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rPr>
            </w:pPr>
            <w:r w:rsidRPr="002D3066">
              <w:rPr>
                <w:rFonts w:cs="Calibri"/>
                <w:color w:val="000000" w:themeColor="text1"/>
                <w:sz w:val="20"/>
                <w:lang w:val="fr-BE"/>
              </w:rPr>
              <w:t>Communauté économique des Etats de l'Afrique centrale</w:t>
            </w:r>
          </w:p>
        </w:tc>
        <w:tc>
          <w:tcPr>
            <w:tcW w:w="1355" w:type="dxa"/>
            <w:shd w:val="clear" w:color="auto" w:fill="auto"/>
            <w:noWrap/>
            <w:vAlign w:val="bottom"/>
          </w:tcPr>
          <w:p w14:paraId="2DA3615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6FD9D2B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RTD</w:t>
            </w:r>
          </w:p>
        </w:tc>
      </w:tr>
      <w:tr w:rsidR="002D3066" w:rsidRPr="002D3066" w14:paraId="79494A92" w14:textId="77777777">
        <w:trPr>
          <w:trHeight w:val="294"/>
        </w:trPr>
        <w:tc>
          <w:tcPr>
            <w:tcW w:w="535" w:type="dxa"/>
            <w:shd w:val="clear" w:color="auto" w:fill="auto"/>
            <w:noWrap/>
            <w:vAlign w:val="center"/>
          </w:tcPr>
          <w:p w14:paraId="6DDF3FD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10</w:t>
            </w:r>
          </w:p>
        </w:tc>
        <w:tc>
          <w:tcPr>
            <w:tcW w:w="6545" w:type="dxa"/>
            <w:shd w:val="clear" w:color="auto" w:fill="auto"/>
            <w:noWrap/>
            <w:vAlign w:val="bottom"/>
          </w:tcPr>
          <w:p w14:paraId="28A0EB6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fr-BE"/>
              </w:rPr>
            </w:pPr>
            <w:r w:rsidRPr="002D3066">
              <w:rPr>
                <w:rFonts w:cs="Calibri"/>
                <w:color w:val="000000" w:themeColor="text1"/>
                <w:sz w:val="20"/>
                <w:lang w:val="fr-BE"/>
              </w:rPr>
              <w:t>Diaspora africaine pour la société de l'information</w:t>
            </w:r>
          </w:p>
        </w:tc>
        <w:tc>
          <w:tcPr>
            <w:tcW w:w="1355" w:type="dxa"/>
            <w:shd w:val="clear" w:color="auto" w:fill="auto"/>
            <w:noWrap/>
            <w:vAlign w:val="bottom"/>
          </w:tcPr>
          <w:p w14:paraId="4074AA0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56AB00C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D</w:t>
            </w:r>
          </w:p>
        </w:tc>
      </w:tr>
      <w:tr w:rsidR="002D3066" w:rsidRPr="002D3066" w14:paraId="29FD005F" w14:textId="77777777">
        <w:trPr>
          <w:trHeight w:val="294"/>
        </w:trPr>
        <w:tc>
          <w:tcPr>
            <w:tcW w:w="535" w:type="dxa"/>
            <w:shd w:val="clear" w:color="auto" w:fill="auto"/>
            <w:noWrap/>
            <w:vAlign w:val="center"/>
          </w:tcPr>
          <w:p w14:paraId="0BBECE6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11</w:t>
            </w:r>
          </w:p>
        </w:tc>
        <w:tc>
          <w:tcPr>
            <w:tcW w:w="6545" w:type="dxa"/>
            <w:shd w:val="clear" w:color="auto" w:fill="auto"/>
            <w:noWrap/>
            <w:vAlign w:val="bottom"/>
          </w:tcPr>
          <w:p w14:paraId="32013FE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Dominic Foundation</w:t>
            </w:r>
          </w:p>
        </w:tc>
        <w:tc>
          <w:tcPr>
            <w:tcW w:w="1355" w:type="dxa"/>
            <w:shd w:val="clear" w:color="auto" w:fill="auto"/>
            <w:noWrap/>
            <w:vAlign w:val="bottom"/>
          </w:tcPr>
          <w:p w14:paraId="74FE404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58F42A0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TD</w:t>
            </w:r>
          </w:p>
        </w:tc>
      </w:tr>
      <w:tr w:rsidR="002D3066" w:rsidRPr="002D3066" w14:paraId="75AEBFC4" w14:textId="77777777">
        <w:trPr>
          <w:trHeight w:val="294"/>
        </w:trPr>
        <w:tc>
          <w:tcPr>
            <w:tcW w:w="535" w:type="dxa"/>
            <w:shd w:val="clear" w:color="auto" w:fill="auto"/>
            <w:noWrap/>
            <w:vAlign w:val="center"/>
          </w:tcPr>
          <w:p w14:paraId="6A040E5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12</w:t>
            </w:r>
          </w:p>
        </w:tc>
        <w:tc>
          <w:tcPr>
            <w:tcW w:w="6545" w:type="dxa"/>
            <w:shd w:val="clear" w:color="auto" w:fill="auto"/>
            <w:noWrap/>
            <w:vAlign w:val="bottom"/>
          </w:tcPr>
          <w:p w14:paraId="38A6BA3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East African Communications Organization</w:t>
            </w:r>
          </w:p>
        </w:tc>
        <w:tc>
          <w:tcPr>
            <w:tcW w:w="1355" w:type="dxa"/>
            <w:shd w:val="clear" w:color="auto" w:fill="auto"/>
            <w:noWrap/>
            <w:vAlign w:val="bottom"/>
          </w:tcPr>
          <w:p w14:paraId="6F42493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5D0075A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RTD</w:t>
            </w:r>
          </w:p>
        </w:tc>
      </w:tr>
      <w:tr w:rsidR="002D3066" w:rsidRPr="002D3066" w14:paraId="6E487AA8" w14:textId="77777777">
        <w:trPr>
          <w:trHeight w:val="294"/>
        </w:trPr>
        <w:tc>
          <w:tcPr>
            <w:tcW w:w="535" w:type="dxa"/>
            <w:shd w:val="clear" w:color="auto" w:fill="auto"/>
            <w:noWrap/>
            <w:vAlign w:val="center"/>
          </w:tcPr>
          <w:p w14:paraId="4BFFA73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13</w:t>
            </w:r>
          </w:p>
        </w:tc>
        <w:tc>
          <w:tcPr>
            <w:tcW w:w="6545" w:type="dxa"/>
            <w:shd w:val="clear" w:color="auto" w:fill="auto"/>
            <w:noWrap/>
            <w:vAlign w:val="bottom"/>
          </w:tcPr>
          <w:p w14:paraId="29BE706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EIDQ Association -The Association for the Directory Information and Related Search Industry</w:t>
            </w:r>
          </w:p>
        </w:tc>
        <w:tc>
          <w:tcPr>
            <w:tcW w:w="1355" w:type="dxa"/>
            <w:shd w:val="clear" w:color="auto" w:fill="auto"/>
            <w:noWrap/>
            <w:vAlign w:val="bottom"/>
          </w:tcPr>
          <w:p w14:paraId="09EAD23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108F8E0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T</w:t>
            </w:r>
          </w:p>
        </w:tc>
      </w:tr>
      <w:tr w:rsidR="002D3066" w:rsidRPr="002D3066" w14:paraId="0ECDCAFB" w14:textId="77777777">
        <w:trPr>
          <w:trHeight w:val="294"/>
        </w:trPr>
        <w:tc>
          <w:tcPr>
            <w:tcW w:w="535" w:type="dxa"/>
            <w:shd w:val="clear" w:color="auto" w:fill="auto"/>
            <w:noWrap/>
            <w:vAlign w:val="center"/>
          </w:tcPr>
          <w:p w14:paraId="6D96703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14</w:t>
            </w:r>
          </w:p>
        </w:tc>
        <w:tc>
          <w:tcPr>
            <w:tcW w:w="6545" w:type="dxa"/>
            <w:shd w:val="clear" w:color="auto" w:fill="auto"/>
            <w:noWrap/>
            <w:vAlign w:val="bottom"/>
          </w:tcPr>
          <w:p w14:paraId="3F5D0C6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FTTH Council Asia-Pacific</w:t>
            </w:r>
          </w:p>
        </w:tc>
        <w:tc>
          <w:tcPr>
            <w:tcW w:w="1355" w:type="dxa"/>
            <w:shd w:val="clear" w:color="auto" w:fill="auto"/>
            <w:noWrap/>
            <w:vAlign w:val="bottom"/>
          </w:tcPr>
          <w:p w14:paraId="6FB1E4C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16A338F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D</w:t>
            </w:r>
          </w:p>
        </w:tc>
      </w:tr>
      <w:tr w:rsidR="002D3066" w:rsidRPr="002D3066" w14:paraId="2C6EE89D" w14:textId="77777777">
        <w:trPr>
          <w:trHeight w:val="294"/>
        </w:trPr>
        <w:tc>
          <w:tcPr>
            <w:tcW w:w="535" w:type="dxa"/>
            <w:shd w:val="clear" w:color="auto" w:fill="auto"/>
            <w:noWrap/>
            <w:vAlign w:val="center"/>
          </w:tcPr>
          <w:p w14:paraId="07F0B1D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15</w:t>
            </w:r>
          </w:p>
        </w:tc>
        <w:tc>
          <w:tcPr>
            <w:tcW w:w="6545" w:type="dxa"/>
            <w:shd w:val="clear" w:color="auto" w:fill="auto"/>
            <w:noWrap/>
            <w:vAlign w:val="bottom"/>
          </w:tcPr>
          <w:p w14:paraId="37E3307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Global ICT Standardization Forum for India (GISFI)</w:t>
            </w:r>
          </w:p>
        </w:tc>
        <w:tc>
          <w:tcPr>
            <w:tcW w:w="1355" w:type="dxa"/>
            <w:shd w:val="clear" w:color="auto" w:fill="auto"/>
            <w:noWrap/>
            <w:vAlign w:val="bottom"/>
          </w:tcPr>
          <w:p w14:paraId="21C80BC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12784EA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T</w:t>
            </w:r>
          </w:p>
        </w:tc>
      </w:tr>
      <w:tr w:rsidR="002D3066" w:rsidRPr="002D3066" w14:paraId="3B4B1FF7" w14:textId="77777777">
        <w:trPr>
          <w:trHeight w:val="294"/>
        </w:trPr>
        <w:tc>
          <w:tcPr>
            <w:tcW w:w="535" w:type="dxa"/>
            <w:shd w:val="clear" w:color="auto" w:fill="auto"/>
            <w:noWrap/>
            <w:vAlign w:val="center"/>
          </w:tcPr>
          <w:p w14:paraId="35DE977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16</w:t>
            </w:r>
          </w:p>
        </w:tc>
        <w:tc>
          <w:tcPr>
            <w:tcW w:w="6545" w:type="dxa"/>
            <w:shd w:val="clear" w:color="auto" w:fill="auto"/>
            <w:noWrap/>
            <w:vAlign w:val="bottom"/>
          </w:tcPr>
          <w:p w14:paraId="3766890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Global Knowledge Partnership Foundation</w:t>
            </w:r>
          </w:p>
        </w:tc>
        <w:tc>
          <w:tcPr>
            <w:tcW w:w="1355" w:type="dxa"/>
            <w:shd w:val="clear" w:color="auto" w:fill="auto"/>
            <w:noWrap/>
            <w:vAlign w:val="bottom"/>
          </w:tcPr>
          <w:p w14:paraId="73A48E1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0AECD8F0"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D</w:t>
            </w:r>
          </w:p>
        </w:tc>
      </w:tr>
      <w:tr w:rsidR="002D3066" w:rsidRPr="002D3066" w14:paraId="7A8A7BC1" w14:textId="77777777">
        <w:trPr>
          <w:trHeight w:val="294"/>
        </w:trPr>
        <w:tc>
          <w:tcPr>
            <w:tcW w:w="535" w:type="dxa"/>
            <w:shd w:val="clear" w:color="auto" w:fill="auto"/>
            <w:noWrap/>
            <w:vAlign w:val="center"/>
          </w:tcPr>
          <w:p w14:paraId="4C162A1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17</w:t>
            </w:r>
          </w:p>
        </w:tc>
        <w:tc>
          <w:tcPr>
            <w:tcW w:w="6545" w:type="dxa"/>
            <w:shd w:val="clear" w:color="auto" w:fill="auto"/>
            <w:noWrap/>
            <w:vAlign w:val="bottom"/>
          </w:tcPr>
          <w:p w14:paraId="0959624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Indigenous Peoples ICT Task Force</w:t>
            </w:r>
          </w:p>
        </w:tc>
        <w:tc>
          <w:tcPr>
            <w:tcW w:w="1355" w:type="dxa"/>
            <w:shd w:val="clear" w:color="auto" w:fill="auto"/>
            <w:noWrap/>
            <w:vAlign w:val="bottom"/>
          </w:tcPr>
          <w:p w14:paraId="451C719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6F3FB83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D</w:t>
            </w:r>
          </w:p>
        </w:tc>
      </w:tr>
      <w:tr w:rsidR="002D3066" w:rsidRPr="002D3066" w14:paraId="1B5FAC8C" w14:textId="77777777">
        <w:trPr>
          <w:trHeight w:val="294"/>
        </w:trPr>
        <w:tc>
          <w:tcPr>
            <w:tcW w:w="535" w:type="dxa"/>
            <w:shd w:val="clear" w:color="auto" w:fill="auto"/>
            <w:noWrap/>
            <w:vAlign w:val="center"/>
          </w:tcPr>
          <w:p w14:paraId="2DBA854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18</w:t>
            </w:r>
          </w:p>
        </w:tc>
        <w:tc>
          <w:tcPr>
            <w:tcW w:w="6545" w:type="dxa"/>
            <w:shd w:val="clear" w:color="auto" w:fill="auto"/>
            <w:noWrap/>
            <w:vAlign w:val="bottom"/>
          </w:tcPr>
          <w:p w14:paraId="67982A3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International Air Transport Association</w:t>
            </w:r>
          </w:p>
        </w:tc>
        <w:tc>
          <w:tcPr>
            <w:tcW w:w="1355" w:type="dxa"/>
            <w:shd w:val="clear" w:color="auto" w:fill="auto"/>
            <w:noWrap/>
            <w:vAlign w:val="bottom"/>
          </w:tcPr>
          <w:p w14:paraId="5397907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788EDA7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RTD</w:t>
            </w:r>
          </w:p>
        </w:tc>
      </w:tr>
      <w:tr w:rsidR="002D3066" w:rsidRPr="002D3066" w14:paraId="6AA2351F" w14:textId="77777777">
        <w:trPr>
          <w:trHeight w:val="294"/>
        </w:trPr>
        <w:tc>
          <w:tcPr>
            <w:tcW w:w="535" w:type="dxa"/>
            <w:shd w:val="clear" w:color="auto" w:fill="auto"/>
            <w:noWrap/>
            <w:vAlign w:val="center"/>
          </w:tcPr>
          <w:p w14:paraId="406B3BD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19</w:t>
            </w:r>
          </w:p>
        </w:tc>
        <w:tc>
          <w:tcPr>
            <w:tcW w:w="6545" w:type="dxa"/>
            <w:shd w:val="clear" w:color="auto" w:fill="auto"/>
            <w:noWrap/>
            <w:vAlign w:val="bottom"/>
          </w:tcPr>
          <w:p w14:paraId="6CE498A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International Association of IT Lawyers (IAITL)</w:t>
            </w:r>
          </w:p>
        </w:tc>
        <w:tc>
          <w:tcPr>
            <w:tcW w:w="1355" w:type="dxa"/>
            <w:shd w:val="clear" w:color="auto" w:fill="auto"/>
            <w:noWrap/>
            <w:vAlign w:val="bottom"/>
          </w:tcPr>
          <w:p w14:paraId="18C112D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41FB8EC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T</w:t>
            </w:r>
          </w:p>
        </w:tc>
      </w:tr>
      <w:tr w:rsidR="002D3066" w:rsidRPr="002D3066" w14:paraId="3DC4B812" w14:textId="77777777">
        <w:trPr>
          <w:trHeight w:val="294"/>
        </w:trPr>
        <w:tc>
          <w:tcPr>
            <w:tcW w:w="535" w:type="dxa"/>
            <w:shd w:val="clear" w:color="auto" w:fill="auto"/>
            <w:noWrap/>
            <w:vAlign w:val="center"/>
          </w:tcPr>
          <w:p w14:paraId="6BDCE09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20</w:t>
            </w:r>
          </w:p>
        </w:tc>
        <w:tc>
          <w:tcPr>
            <w:tcW w:w="6545" w:type="dxa"/>
            <w:shd w:val="clear" w:color="auto" w:fill="auto"/>
            <w:noWrap/>
            <w:vAlign w:val="bottom"/>
          </w:tcPr>
          <w:p w14:paraId="13A1FEF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International Center for Disability Resources on the Internet (ICDRI)</w:t>
            </w:r>
          </w:p>
        </w:tc>
        <w:tc>
          <w:tcPr>
            <w:tcW w:w="1355" w:type="dxa"/>
            <w:shd w:val="clear" w:color="auto" w:fill="auto"/>
            <w:noWrap/>
            <w:vAlign w:val="bottom"/>
          </w:tcPr>
          <w:p w14:paraId="48C017D6"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0C5F441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T</w:t>
            </w:r>
          </w:p>
        </w:tc>
      </w:tr>
      <w:tr w:rsidR="002D3066" w:rsidRPr="002D3066" w14:paraId="543637B3" w14:textId="77777777">
        <w:trPr>
          <w:trHeight w:val="294"/>
        </w:trPr>
        <w:tc>
          <w:tcPr>
            <w:tcW w:w="535" w:type="dxa"/>
            <w:shd w:val="clear" w:color="auto" w:fill="auto"/>
            <w:noWrap/>
            <w:vAlign w:val="center"/>
          </w:tcPr>
          <w:p w14:paraId="3ED6527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21</w:t>
            </w:r>
          </w:p>
        </w:tc>
        <w:tc>
          <w:tcPr>
            <w:tcW w:w="6545" w:type="dxa"/>
            <w:shd w:val="clear" w:color="auto" w:fill="auto"/>
            <w:noWrap/>
            <w:vAlign w:val="bottom"/>
          </w:tcPr>
          <w:p w14:paraId="3F26ADD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International Council on Large Electric Systems</w:t>
            </w:r>
          </w:p>
        </w:tc>
        <w:tc>
          <w:tcPr>
            <w:tcW w:w="1355" w:type="dxa"/>
            <w:shd w:val="clear" w:color="auto" w:fill="auto"/>
            <w:noWrap/>
            <w:vAlign w:val="bottom"/>
          </w:tcPr>
          <w:p w14:paraId="49E71E2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427D190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w:t>
            </w:r>
          </w:p>
        </w:tc>
      </w:tr>
      <w:tr w:rsidR="002D3066" w:rsidRPr="002D3066" w14:paraId="601E0A6A" w14:textId="77777777">
        <w:trPr>
          <w:trHeight w:val="294"/>
        </w:trPr>
        <w:tc>
          <w:tcPr>
            <w:tcW w:w="535" w:type="dxa"/>
            <w:shd w:val="clear" w:color="auto" w:fill="auto"/>
            <w:noWrap/>
            <w:vAlign w:val="center"/>
          </w:tcPr>
          <w:p w14:paraId="3F03A82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22</w:t>
            </w:r>
          </w:p>
        </w:tc>
        <w:tc>
          <w:tcPr>
            <w:tcW w:w="6545" w:type="dxa"/>
            <w:shd w:val="clear" w:color="auto" w:fill="auto"/>
            <w:noWrap/>
            <w:vAlign w:val="bottom"/>
          </w:tcPr>
          <w:p w14:paraId="0A5740C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International Multilateral Partnership Against Cyber Threats (IMPACT)</w:t>
            </w:r>
          </w:p>
        </w:tc>
        <w:tc>
          <w:tcPr>
            <w:tcW w:w="1355" w:type="dxa"/>
            <w:shd w:val="clear" w:color="auto" w:fill="auto"/>
            <w:noWrap/>
            <w:vAlign w:val="bottom"/>
          </w:tcPr>
          <w:p w14:paraId="505DE7B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3D9033B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T</w:t>
            </w:r>
          </w:p>
        </w:tc>
      </w:tr>
      <w:tr w:rsidR="002D3066" w:rsidRPr="002D3066" w14:paraId="2752B7DE" w14:textId="77777777">
        <w:trPr>
          <w:trHeight w:val="294"/>
        </w:trPr>
        <w:tc>
          <w:tcPr>
            <w:tcW w:w="535" w:type="dxa"/>
            <w:shd w:val="clear" w:color="auto" w:fill="auto"/>
            <w:noWrap/>
            <w:vAlign w:val="center"/>
          </w:tcPr>
          <w:p w14:paraId="7B82712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23</w:t>
            </w:r>
          </w:p>
        </w:tc>
        <w:tc>
          <w:tcPr>
            <w:tcW w:w="6545" w:type="dxa"/>
            <w:shd w:val="clear" w:color="auto" w:fill="auto"/>
            <w:noWrap/>
            <w:vAlign w:val="bottom"/>
          </w:tcPr>
          <w:p w14:paraId="563BCD8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International Special Committee on Radio Interference</w:t>
            </w:r>
          </w:p>
        </w:tc>
        <w:tc>
          <w:tcPr>
            <w:tcW w:w="1355" w:type="dxa"/>
            <w:shd w:val="clear" w:color="auto" w:fill="auto"/>
            <w:noWrap/>
            <w:vAlign w:val="bottom"/>
          </w:tcPr>
          <w:p w14:paraId="4F49286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449F1E1A"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w:t>
            </w:r>
          </w:p>
        </w:tc>
      </w:tr>
      <w:tr w:rsidR="002D3066" w:rsidRPr="002D3066" w14:paraId="79EF6661" w14:textId="77777777">
        <w:trPr>
          <w:trHeight w:val="294"/>
        </w:trPr>
        <w:tc>
          <w:tcPr>
            <w:tcW w:w="535" w:type="dxa"/>
            <w:shd w:val="clear" w:color="auto" w:fill="auto"/>
            <w:noWrap/>
            <w:vAlign w:val="center"/>
          </w:tcPr>
          <w:p w14:paraId="2B64931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24</w:t>
            </w:r>
          </w:p>
        </w:tc>
        <w:tc>
          <w:tcPr>
            <w:tcW w:w="6545" w:type="dxa"/>
            <w:shd w:val="clear" w:color="auto" w:fill="auto"/>
            <w:noWrap/>
            <w:vAlign w:val="bottom"/>
          </w:tcPr>
          <w:p w14:paraId="4C6CCD13"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International Telecommunications Users Group</w:t>
            </w:r>
          </w:p>
        </w:tc>
        <w:tc>
          <w:tcPr>
            <w:tcW w:w="1355" w:type="dxa"/>
            <w:shd w:val="clear" w:color="auto" w:fill="auto"/>
            <w:noWrap/>
            <w:vAlign w:val="bottom"/>
          </w:tcPr>
          <w:p w14:paraId="05043051"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0CBE41CF"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TD</w:t>
            </w:r>
          </w:p>
        </w:tc>
      </w:tr>
      <w:tr w:rsidR="002D3066" w:rsidRPr="002D3066" w14:paraId="2E165465" w14:textId="77777777">
        <w:trPr>
          <w:trHeight w:val="294"/>
        </w:trPr>
        <w:tc>
          <w:tcPr>
            <w:tcW w:w="535" w:type="dxa"/>
            <w:shd w:val="clear" w:color="auto" w:fill="auto"/>
            <w:noWrap/>
            <w:vAlign w:val="center"/>
          </w:tcPr>
          <w:p w14:paraId="7037A2A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25</w:t>
            </w:r>
          </w:p>
        </w:tc>
        <w:tc>
          <w:tcPr>
            <w:tcW w:w="6545" w:type="dxa"/>
            <w:shd w:val="clear" w:color="auto" w:fill="auto"/>
            <w:noWrap/>
            <w:vAlign w:val="bottom"/>
          </w:tcPr>
          <w:p w14:paraId="2168C86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Telecentre.org Foundation</w:t>
            </w:r>
          </w:p>
        </w:tc>
        <w:tc>
          <w:tcPr>
            <w:tcW w:w="1355" w:type="dxa"/>
            <w:shd w:val="clear" w:color="auto" w:fill="auto"/>
            <w:noWrap/>
            <w:vAlign w:val="bottom"/>
          </w:tcPr>
          <w:p w14:paraId="4BDCCD2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70B6C0F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D</w:t>
            </w:r>
          </w:p>
        </w:tc>
      </w:tr>
      <w:tr w:rsidR="002D3066" w:rsidRPr="002D3066" w14:paraId="27A37820" w14:textId="77777777">
        <w:trPr>
          <w:trHeight w:val="294"/>
        </w:trPr>
        <w:tc>
          <w:tcPr>
            <w:tcW w:w="535" w:type="dxa"/>
            <w:shd w:val="clear" w:color="auto" w:fill="auto"/>
            <w:noWrap/>
            <w:vAlign w:val="center"/>
          </w:tcPr>
          <w:p w14:paraId="29B0803B"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26</w:t>
            </w:r>
          </w:p>
        </w:tc>
        <w:tc>
          <w:tcPr>
            <w:tcW w:w="6545" w:type="dxa"/>
            <w:shd w:val="clear" w:color="auto" w:fill="auto"/>
            <w:noWrap/>
            <w:vAlign w:val="bottom"/>
          </w:tcPr>
          <w:p w14:paraId="7334339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The Abdus Salam International Centre for Theoretical Physics</w:t>
            </w:r>
          </w:p>
        </w:tc>
        <w:tc>
          <w:tcPr>
            <w:tcW w:w="1355" w:type="dxa"/>
            <w:shd w:val="clear" w:color="auto" w:fill="auto"/>
            <w:noWrap/>
            <w:vAlign w:val="bottom"/>
          </w:tcPr>
          <w:p w14:paraId="34AC381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4DF0BD85"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D</w:t>
            </w:r>
          </w:p>
        </w:tc>
      </w:tr>
      <w:tr w:rsidR="002D3066" w:rsidRPr="002D3066" w14:paraId="751B6555" w14:textId="77777777">
        <w:trPr>
          <w:trHeight w:val="294"/>
        </w:trPr>
        <w:tc>
          <w:tcPr>
            <w:tcW w:w="535" w:type="dxa"/>
            <w:shd w:val="clear" w:color="auto" w:fill="auto"/>
            <w:noWrap/>
            <w:vAlign w:val="center"/>
          </w:tcPr>
          <w:p w14:paraId="4544312D"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27</w:t>
            </w:r>
          </w:p>
        </w:tc>
        <w:tc>
          <w:tcPr>
            <w:tcW w:w="6545" w:type="dxa"/>
            <w:shd w:val="clear" w:color="auto" w:fill="auto"/>
            <w:noWrap/>
            <w:vAlign w:val="bottom"/>
          </w:tcPr>
          <w:p w14:paraId="641F651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United Kingdom Telecommunications Academy (UKTA)</w:t>
            </w:r>
          </w:p>
        </w:tc>
        <w:tc>
          <w:tcPr>
            <w:tcW w:w="1355" w:type="dxa"/>
            <w:shd w:val="clear" w:color="auto" w:fill="auto"/>
            <w:noWrap/>
            <w:vAlign w:val="bottom"/>
          </w:tcPr>
          <w:p w14:paraId="2376D43E"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20B905A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TD</w:t>
            </w:r>
          </w:p>
        </w:tc>
      </w:tr>
      <w:tr w:rsidR="002D3066" w:rsidRPr="002D3066" w14:paraId="487D01D0" w14:textId="77777777">
        <w:trPr>
          <w:trHeight w:val="294"/>
        </w:trPr>
        <w:tc>
          <w:tcPr>
            <w:tcW w:w="535" w:type="dxa"/>
            <w:shd w:val="clear" w:color="auto" w:fill="auto"/>
            <w:noWrap/>
            <w:vAlign w:val="center"/>
          </w:tcPr>
          <w:p w14:paraId="370B638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28</w:t>
            </w:r>
          </w:p>
        </w:tc>
        <w:tc>
          <w:tcPr>
            <w:tcW w:w="6545" w:type="dxa"/>
            <w:shd w:val="clear" w:color="auto" w:fill="auto"/>
            <w:noWrap/>
            <w:vAlign w:val="bottom"/>
          </w:tcPr>
          <w:p w14:paraId="4AF59F89"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WebForce International Federation</w:t>
            </w:r>
          </w:p>
        </w:tc>
        <w:tc>
          <w:tcPr>
            <w:tcW w:w="1355" w:type="dxa"/>
            <w:shd w:val="clear" w:color="auto" w:fill="auto"/>
            <w:noWrap/>
            <w:vAlign w:val="bottom"/>
          </w:tcPr>
          <w:p w14:paraId="4BF629C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3DAD9D6C"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D</w:t>
            </w:r>
          </w:p>
        </w:tc>
      </w:tr>
      <w:tr w:rsidR="002D3066" w:rsidRPr="002D3066" w14:paraId="0FA9CDD9" w14:textId="77777777">
        <w:trPr>
          <w:trHeight w:val="294"/>
        </w:trPr>
        <w:tc>
          <w:tcPr>
            <w:tcW w:w="535" w:type="dxa"/>
            <w:shd w:val="clear" w:color="auto" w:fill="auto"/>
            <w:noWrap/>
            <w:vAlign w:val="center"/>
          </w:tcPr>
          <w:p w14:paraId="7EBB70A2"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eastAsia="en-GB"/>
              </w:rPr>
            </w:pPr>
            <w:r w:rsidRPr="002D3066">
              <w:rPr>
                <w:rFonts w:cs="Calibri"/>
                <w:color w:val="000000" w:themeColor="text1"/>
                <w:sz w:val="20"/>
                <w:lang w:eastAsia="en-GB"/>
              </w:rPr>
              <w:t>29</w:t>
            </w:r>
          </w:p>
        </w:tc>
        <w:tc>
          <w:tcPr>
            <w:tcW w:w="6545" w:type="dxa"/>
            <w:shd w:val="clear" w:color="auto" w:fill="auto"/>
            <w:noWrap/>
            <w:vAlign w:val="bottom"/>
          </w:tcPr>
          <w:p w14:paraId="77DD0284"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World Association of Community Radio Broadcasters</w:t>
            </w:r>
          </w:p>
        </w:tc>
        <w:tc>
          <w:tcPr>
            <w:tcW w:w="1355" w:type="dxa"/>
            <w:shd w:val="clear" w:color="auto" w:fill="auto"/>
            <w:noWrap/>
            <w:vAlign w:val="bottom"/>
          </w:tcPr>
          <w:p w14:paraId="74B671F8"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REGINTORG</w:t>
            </w:r>
          </w:p>
        </w:tc>
        <w:tc>
          <w:tcPr>
            <w:tcW w:w="1032" w:type="dxa"/>
            <w:shd w:val="clear" w:color="auto" w:fill="auto"/>
            <w:noWrap/>
            <w:vAlign w:val="bottom"/>
          </w:tcPr>
          <w:p w14:paraId="163F2637" w14:textId="77777777" w:rsidR="002D3066" w:rsidRPr="002D3066" w:rsidRDefault="002D3066" w:rsidP="002D306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rPr>
            </w:pPr>
            <w:r w:rsidRPr="002D3066">
              <w:rPr>
                <w:rFonts w:cs="Calibri"/>
                <w:color w:val="000000" w:themeColor="text1"/>
                <w:sz w:val="20"/>
              </w:rPr>
              <w:t>RD</w:t>
            </w:r>
          </w:p>
        </w:tc>
      </w:tr>
    </w:tbl>
    <w:p w14:paraId="77513069" w14:textId="75DC5658" w:rsidR="00857897" w:rsidRPr="007635AF" w:rsidRDefault="007635AF" w:rsidP="007635AF">
      <w:pPr>
        <w:tabs>
          <w:tab w:val="clear" w:pos="567"/>
          <w:tab w:val="clear" w:pos="1134"/>
          <w:tab w:val="clear" w:pos="1701"/>
          <w:tab w:val="clear" w:pos="2268"/>
          <w:tab w:val="clear" w:pos="2835"/>
        </w:tabs>
        <w:overflowPunct/>
        <w:autoSpaceDE/>
        <w:autoSpaceDN/>
        <w:adjustRightInd/>
        <w:spacing w:before="840"/>
        <w:jc w:val="center"/>
        <w:textAlignment w:val="auto"/>
      </w:pPr>
      <w:r w:rsidRPr="007635AF">
        <w:t>______________________</w:t>
      </w:r>
    </w:p>
    <w:sectPr w:rsidR="00857897" w:rsidRPr="007635AF"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90EE" w14:textId="77777777" w:rsidR="00B01593" w:rsidRDefault="00B01593">
      <w:r>
        <w:separator/>
      </w:r>
    </w:p>
  </w:endnote>
  <w:endnote w:type="continuationSeparator" w:id="0">
    <w:p w14:paraId="3C81C20C" w14:textId="77777777" w:rsidR="00B01593" w:rsidRDefault="00B01593">
      <w:r>
        <w:continuationSeparator/>
      </w:r>
    </w:p>
  </w:endnote>
  <w:endnote w:type="continuationNotice" w:id="1">
    <w:p w14:paraId="25A2332C" w14:textId="77777777" w:rsidR="00B01593" w:rsidRDefault="00B015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charset w:val="00"/>
    <w:family w:val="swiss"/>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635AF" w14:paraId="07402CB9" w14:textId="77777777">
      <w:trPr>
        <w:jc w:val="center"/>
      </w:trPr>
      <w:tc>
        <w:tcPr>
          <w:tcW w:w="1803" w:type="dxa"/>
          <w:vAlign w:val="center"/>
        </w:tcPr>
        <w:p w14:paraId="727FD637" w14:textId="34B365FB" w:rsidR="00EE49E8" w:rsidRDefault="00EE49E8" w:rsidP="00EE49E8">
          <w:pPr>
            <w:pStyle w:val="Header"/>
            <w:jc w:val="left"/>
            <w:rPr>
              <w:noProof/>
            </w:rPr>
          </w:pPr>
          <w:r>
            <w:rPr>
              <w:noProof/>
            </w:rPr>
            <w:t xml:space="preserve">DPS </w:t>
          </w:r>
          <w:r w:rsidR="007635AF">
            <w:rPr>
              <w:noProof/>
            </w:rPr>
            <w:t>527791</w:t>
          </w:r>
        </w:p>
      </w:tc>
      <w:tc>
        <w:tcPr>
          <w:tcW w:w="8261" w:type="dxa"/>
        </w:tcPr>
        <w:p w14:paraId="2D49E76E" w14:textId="0D8F0F5B" w:rsidR="00EE49E8" w:rsidRPr="007635AF" w:rsidRDefault="00EE49E8" w:rsidP="00A52C84">
          <w:pPr>
            <w:pStyle w:val="Header"/>
            <w:tabs>
              <w:tab w:val="left" w:pos="6028"/>
              <w:tab w:val="right" w:pos="8505"/>
              <w:tab w:val="right" w:pos="9639"/>
            </w:tabs>
            <w:jc w:val="left"/>
            <w:rPr>
              <w:rFonts w:ascii="Arial" w:hAnsi="Arial" w:cs="Arial"/>
              <w:b/>
              <w:bCs/>
              <w:szCs w:val="18"/>
              <w:lang w:val="it-IT"/>
            </w:rPr>
          </w:pPr>
          <w:r w:rsidRPr="007635AF">
            <w:rPr>
              <w:bCs/>
              <w:lang w:val="it-IT"/>
            </w:rPr>
            <w:tab/>
          </w:r>
          <w:r w:rsidR="00A52C84" w:rsidRPr="007635AF">
            <w:rPr>
              <w:bCs/>
              <w:lang w:val="it-IT"/>
            </w:rPr>
            <w:t>CWG-</w:t>
          </w:r>
          <w:r w:rsidR="009F347C" w:rsidRPr="007635AF">
            <w:rPr>
              <w:bCs/>
              <w:lang w:val="it-IT"/>
            </w:rPr>
            <w:t>FHR</w:t>
          </w:r>
          <w:r w:rsidR="00A52C84" w:rsidRPr="007635AF">
            <w:rPr>
              <w:bCs/>
              <w:lang w:val="it-IT"/>
            </w:rPr>
            <w:t>-</w:t>
          </w:r>
          <w:r w:rsidR="007635AF">
            <w:rPr>
              <w:bCs/>
              <w:lang w:val="it-IT"/>
            </w:rPr>
            <w:t>16</w:t>
          </w:r>
          <w:r w:rsidR="00A52C84" w:rsidRPr="007635AF">
            <w:rPr>
              <w:bCs/>
              <w:lang w:val="it-IT"/>
            </w:rPr>
            <w:t>/</w:t>
          </w:r>
          <w:r w:rsidR="007635AF">
            <w:rPr>
              <w:bCs/>
              <w:lang w:val="it-IT"/>
            </w:rPr>
            <w:t>12</w:t>
          </w:r>
          <w:r w:rsidR="00A52C84" w:rsidRPr="007635AF">
            <w:rPr>
              <w:bCs/>
              <w:lang w:val="it-IT"/>
            </w:rPr>
            <w:t>-E</w:t>
          </w:r>
          <w:r w:rsidRPr="007635AF">
            <w:rPr>
              <w:bCs/>
              <w:lang w:val="it-IT"/>
            </w:rPr>
            <w:tab/>
          </w:r>
          <w:r>
            <w:fldChar w:fldCharType="begin"/>
          </w:r>
          <w:r w:rsidRPr="007635AF">
            <w:rPr>
              <w:lang w:val="it-IT"/>
            </w:rPr>
            <w:instrText>PAGE</w:instrText>
          </w:r>
          <w:r>
            <w:fldChar w:fldCharType="separate"/>
          </w:r>
          <w:r w:rsidRPr="007635AF">
            <w:rPr>
              <w:lang w:val="it-IT"/>
            </w:rPr>
            <w:t>1</w:t>
          </w:r>
          <w:r>
            <w:rPr>
              <w:noProof/>
            </w:rPr>
            <w:fldChar w:fldCharType="end"/>
          </w:r>
        </w:p>
      </w:tc>
    </w:tr>
  </w:tbl>
  <w:p w14:paraId="44006CCE" w14:textId="77777777" w:rsidR="00EE49E8" w:rsidRPr="007635AF"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635AF"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7918B654" w:rsidR="00EE49E8" w:rsidRPr="007635AF"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7635AF">
            <w:rPr>
              <w:bCs/>
              <w:lang w:val="it-IT"/>
            </w:rPr>
            <w:t>C</w:t>
          </w:r>
          <w:r w:rsidR="00A52C84" w:rsidRPr="007635AF">
            <w:rPr>
              <w:bCs/>
              <w:lang w:val="it-IT"/>
            </w:rPr>
            <w:t>WG-</w:t>
          </w:r>
          <w:r w:rsidR="009F347C" w:rsidRPr="007635AF">
            <w:rPr>
              <w:bCs/>
              <w:lang w:val="it-IT"/>
            </w:rPr>
            <w:t>FHR</w:t>
          </w:r>
          <w:r w:rsidR="00A52C84" w:rsidRPr="007635AF">
            <w:rPr>
              <w:bCs/>
              <w:lang w:val="it-IT"/>
            </w:rPr>
            <w:t>-</w:t>
          </w:r>
          <w:r w:rsidR="007635AF">
            <w:rPr>
              <w:bCs/>
              <w:lang w:val="it-IT"/>
            </w:rPr>
            <w:t>16</w:t>
          </w:r>
          <w:r w:rsidRPr="007635AF">
            <w:rPr>
              <w:bCs/>
              <w:lang w:val="it-IT"/>
            </w:rPr>
            <w:t>/</w:t>
          </w:r>
          <w:r w:rsidR="007635AF">
            <w:rPr>
              <w:bCs/>
              <w:lang w:val="it-IT"/>
            </w:rPr>
            <w:t>12</w:t>
          </w:r>
          <w:r w:rsidRPr="007635AF">
            <w:rPr>
              <w:bCs/>
              <w:lang w:val="it-IT"/>
            </w:rPr>
            <w:t>-E</w:t>
          </w:r>
          <w:r w:rsidRPr="007635AF">
            <w:rPr>
              <w:bCs/>
              <w:lang w:val="it-IT"/>
            </w:rPr>
            <w:tab/>
          </w:r>
          <w:r>
            <w:fldChar w:fldCharType="begin"/>
          </w:r>
          <w:r w:rsidRPr="007635AF">
            <w:rPr>
              <w:lang w:val="it-IT"/>
            </w:rPr>
            <w:instrText>PAGE</w:instrText>
          </w:r>
          <w:r>
            <w:fldChar w:fldCharType="separate"/>
          </w:r>
          <w:r w:rsidRPr="007635AF">
            <w:rPr>
              <w:lang w:val="it-IT"/>
            </w:rPr>
            <w:t>1</w:t>
          </w:r>
          <w:r>
            <w:rPr>
              <w:noProof/>
            </w:rPr>
            <w:fldChar w:fldCharType="end"/>
          </w:r>
        </w:p>
      </w:tc>
    </w:tr>
  </w:tbl>
  <w:p w14:paraId="12BE588F" w14:textId="77777777" w:rsidR="00A514A4" w:rsidRPr="007635AF"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1A5F" w14:textId="77777777" w:rsidR="00B01593" w:rsidRDefault="00B01593">
      <w:r>
        <w:t>____________________</w:t>
      </w:r>
    </w:p>
  </w:footnote>
  <w:footnote w:type="continuationSeparator" w:id="0">
    <w:p w14:paraId="3BE9D04A" w14:textId="77777777" w:rsidR="00B01593" w:rsidRDefault="00B01593">
      <w:r>
        <w:continuationSeparator/>
      </w:r>
    </w:p>
  </w:footnote>
  <w:footnote w:type="continuationNotice" w:id="1">
    <w:p w14:paraId="5945EEE3" w14:textId="77777777" w:rsidR="00B01593" w:rsidRDefault="00B0159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3D27D11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B358B2">
                            <w:rPr>
                              <w:sz w:val="20"/>
                            </w:rPr>
                            <w:t>xx</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3D27D11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B358B2">
                      <w:rPr>
                        <w:sz w:val="20"/>
                      </w:rPr>
                      <w:t>xx</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3FA723"/>
    <w:multiLevelType w:val="hybridMultilevel"/>
    <w:tmpl w:val="FFFFFFFF"/>
    <w:lvl w:ilvl="0" w:tplc="01F69C1E">
      <w:start w:val="1"/>
      <w:numFmt w:val="decimal"/>
      <w:lvlText w:val="%1)"/>
      <w:lvlJc w:val="left"/>
      <w:pPr>
        <w:ind w:left="720" w:hanging="360"/>
      </w:pPr>
    </w:lvl>
    <w:lvl w:ilvl="1" w:tplc="C2386DD0">
      <w:start w:val="1"/>
      <w:numFmt w:val="lowerLetter"/>
      <w:lvlText w:val="%2."/>
      <w:lvlJc w:val="left"/>
      <w:pPr>
        <w:ind w:left="1440" w:hanging="360"/>
      </w:pPr>
    </w:lvl>
    <w:lvl w:ilvl="2" w:tplc="631CB3E0">
      <w:start w:val="1"/>
      <w:numFmt w:val="lowerRoman"/>
      <w:lvlText w:val="%3."/>
      <w:lvlJc w:val="right"/>
      <w:pPr>
        <w:ind w:left="2160" w:hanging="180"/>
      </w:pPr>
    </w:lvl>
    <w:lvl w:ilvl="3" w:tplc="1B7233B0">
      <w:start w:val="1"/>
      <w:numFmt w:val="decimal"/>
      <w:lvlText w:val="%4."/>
      <w:lvlJc w:val="left"/>
      <w:pPr>
        <w:ind w:left="2880" w:hanging="360"/>
      </w:pPr>
    </w:lvl>
    <w:lvl w:ilvl="4" w:tplc="3CEEE536">
      <w:start w:val="1"/>
      <w:numFmt w:val="lowerLetter"/>
      <w:lvlText w:val="%5."/>
      <w:lvlJc w:val="left"/>
      <w:pPr>
        <w:ind w:left="3600" w:hanging="360"/>
      </w:pPr>
    </w:lvl>
    <w:lvl w:ilvl="5" w:tplc="EDFEDF4C">
      <w:start w:val="1"/>
      <w:numFmt w:val="lowerRoman"/>
      <w:lvlText w:val="%6."/>
      <w:lvlJc w:val="right"/>
      <w:pPr>
        <w:ind w:left="4320" w:hanging="180"/>
      </w:pPr>
    </w:lvl>
    <w:lvl w:ilvl="6" w:tplc="23A4B10C">
      <w:start w:val="1"/>
      <w:numFmt w:val="decimal"/>
      <w:lvlText w:val="%7."/>
      <w:lvlJc w:val="left"/>
      <w:pPr>
        <w:ind w:left="5040" w:hanging="360"/>
      </w:pPr>
    </w:lvl>
    <w:lvl w:ilvl="7" w:tplc="916EAB26">
      <w:start w:val="1"/>
      <w:numFmt w:val="lowerLetter"/>
      <w:lvlText w:val="%8."/>
      <w:lvlJc w:val="left"/>
      <w:pPr>
        <w:ind w:left="5760" w:hanging="360"/>
      </w:pPr>
    </w:lvl>
    <w:lvl w:ilvl="8" w:tplc="3E4691AA">
      <w:start w:val="1"/>
      <w:numFmt w:val="lowerRoman"/>
      <w:lvlText w:val="%9."/>
      <w:lvlJc w:val="right"/>
      <w:pPr>
        <w:ind w:left="6480" w:hanging="180"/>
      </w:pPr>
    </w:lvl>
  </w:abstractNum>
  <w:abstractNum w:abstractNumId="2" w15:restartNumberingAfterBreak="0">
    <w:nsid w:val="48CE4CAB"/>
    <w:multiLevelType w:val="hybridMultilevel"/>
    <w:tmpl w:val="14881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98F2EE3"/>
    <w:multiLevelType w:val="hybridMultilevel"/>
    <w:tmpl w:val="DE46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C2394"/>
    <w:multiLevelType w:val="multilevel"/>
    <w:tmpl w:val="AA8E898E"/>
    <w:lvl w:ilvl="0">
      <w:start w:val="1"/>
      <w:numFmt w:val="decimal"/>
      <w:lvlText w:val="%1"/>
      <w:lvlJc w:val="left"/>
      <w:pPr>
        <w:ind w:left="400" w:hanging="400"/>
      </w:pPr>
      <w:rPr>
        <w:rFonts w:hint="default"/>
      </w:rPr>
    </w:lvl>
    <w:lvl w:ilvl="1">
      <w:start w:val="1"/>
      <w:numFmt w:val="decimal"/>
      <w:lvlText w:val="%2."/>
      <w:lvlJc w:val="left"/>
      <w:pPr>
        <w:ind w:left="360" w:hanging="360"/>
      </w:pPr>
      <w:rPr>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8869574">
    <w:abstractNumId w:val="0"/>
  </w:num>
  <w:num w:numId="2" w16cid:durableId="1925457920">
    <w:abstractNumId w:val="4"/>
  </w:num>
  <w:num w:numId="3" w16cid:durableId="100997753">
    <w:abstractNumId w:val="3"/>
  </w:num>
  <w:num w:numId="4" w16cid:durableId="1279489058">
    <w:abstractNumId w:val="1"/>
  </w:num>
  <w:num w:numId="5" w16cid:durableId="63601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4E01"/>
    <w:rsid w:val="00017BA8"/>
    <w:rsid w:val="000210D4"/>
    <w:rsid w:val="0002241B"/>
    <w:rsid w:val="00025465"/>
    <w:rsid w:val="000330A2"/>
    <w:rsid w:val="00043297"/>
    <w:rsid w:val="000513A0"/>
    <w:rsid w:val="000513F3"/>
    <w:rsid w:val="00051D84"/>
    <w:rsid w:val="0005534D"/>
    <w:rsid w:val="00063016"/>
    <w:rsid w:val="00066795"/>
    <w:rsid w:val="00076AF6"/>
    <w:rsid w:val="0007725D"/>
    <w:rsid w:val="00085CF2"/>
    <w:rsid w:val="00090338"/>
    <w:rsid w:val="000A2C11"/>
    <w:rsid w:val="000B1705"/>
    <w:rsid w:val="000D6147"/>
    <w:rsid w:val="000D75B2"/>
    <w:rsid w:val="000E5CAE"/>
    <w:rsid w:val="00101D69"/>
    <w:rsid w:val="001022A9"/>
    <w:rsid w:val="001121F5"/>
    <w:rsid w:val="001176DE"/>
    <w:rsid w:val="00120427"/>
    <w:rsid w:val="00123E63"/>
    <w:rsid w:val="00124525"/>
    <w:rsid w:val="001302C0"/>
    <w:rsid w:val="00130599"/>
    <w:rsid w:val="001305AB"/>
    <w:rsid w:val="00135958"/>
    <w:rsid w:val="001400DC"/>
    <w:rsid w:val="00140CE1"/>
    <w:rsid w:val="00143F89"/>
    <w:rsid w:val="0014615C"/>
    <w:rsid w:val="00160FAC"/>
    <w:rsid w:val="00163628"/>
    <w:rsid w:val="00165EC0"/>
    <w:rsid w:val="0017539C"/>
    <w:rsid w:val="00175AC2"/>
    <w:rsid w:val="0017609F"/>
    <w:rsid w:val="001947BF"/>
    <w:rsid w:val="001A000C"/>
    <w:rsid w:val="001A16BC"/>
    <w:rsid w:val="001A180B"/>
    <w:rsid w:val="001A7D1D"/>
    <w:rsid w:val="001B51DD"/>
    <w:rsid w:val="001C0A8F"/>
    <w:rsid w:val="001C5EEB"/>
    <w:rsid w:val="001C628E"/>
    <w:rsid w:val="001E0F7B"/>
    <w:rsid w:val="001E1AF8"/>
    <w:rsid w:val="001F46E5"/>
    <w:rsid w:val="00201988"/>
    <w:rsid w:val="00204645"/>
    <w:rsid w:val="002119FD"/>
    <w:rsid w:val="002130E0"/>
    <w:rsid w:val="0021387E"/>
    <w:rsid w:val="00216302"/>
    <w:rsid w:val="00225ED0"/>
    <w:rsid w:val="00232650"/>
    <w:rsid w:val="002352AF"/>
    <w:rsid w:val="00242515"/>
    <w:rsid w:val="00244F7F"/>
    <w:rsid w:val="00247968"/>
    <w:rsid w:val="00250A7E"/>
    <w:rsid w:val="00257D92"/>
    <w:rsid w:val="00264425"/>
    <w:rsid w:val="00265875"/>
    <w:rsid w:val="0027206B"/>
    <w:rsid w:val="0027303B"/>
    <w:rsid w:val="002805C4"/>
    <w:rsid w:val="0028109B"/>
    <w:rsid w:val="00291C11"/>
    <w:rsid w:val="002A2188"/>
    <w:rsid w:val="002A3440"/>
    <w:rsid w:val="002B1722"/>
    <w:rsid w:val="002B1F58"/>
    <w:rsid w:val="002B60BA"/>
    <w:rsid w:val="002B6CFA"/>
    <w:rsid w:val="002B70D9"/>
    <w:rsid w:val="002C1C7A"/>
    <w:rsid w:val="002C54E2"/>
    <w:rsid w:val="002C58DE"/>
    <w:rsid w:val="002D2EB4"/>
    <w:rsid w:val="002D3066"/>
    <w:rsid w:val="002E0421"/>
    <w:rsid w:val="002E31B5"/>
    <w:rsid w:val="002E3F19"/>
    <w:rsid w:val="002E6C9B"/>
    <w:rsid w:val="002F2D5B"/>
    <w:rsid w:val="0030160F"/>
    <w:rsid w:val="00307153"/>
    <w:rsid w:val="00316AE9"/>
    <w:rsid w:val="00320223"/>
    <w:rsid w:val="00322D0D"/>
    <w:rsid w:val="00335CDE"/>
    <w:rsid w:val="00336CD0"/>
    <w:rsid w:val="00357E7A"/>
    <w:rsid w:val="00361465"/>
    <w:rsid w:val="003759FC"/>
    <w:rsid w:val="00380AAA"/>
    <w:rsid w:val="003816A2"/>
    <w:rsid w:val="0038211D"/>
    <w:rsid w:val="00386B55"/>
    <w:rsid w:val="00387313"/>
    <w:rsid w:val="003877F5"/>
    <w:rsid w:val="003927AE"/>
    <w:rsid w:val="003942D4"/>
    <w:rsid w:val="003958A8"/>
    <w:rsid w:val="003A230C"/>
    <w:rsid w:val="003C2533"/>
    <w:rsid w:val="003C3A3E"/>
    <w:rsid w:val="003C69BC"/>
    <w:rsid w:val="003D3833"/>
    <w:rsid w:val="003D5A7F"/>
    <w:rsid w:val="003D7BF0"/>
    <w:rsid w:val="003E1EC6"/>
    <w:rsid w:val="003F6960"/>
    <w:rsid w:val="004016E2"/>
    <w:rsid w:val="0040435A"/>
    <w:rsid w:val="00404872"/>
    <w:rsid w:val="00411ECD"/>
    <w:rsid w:val="00416A24"/>
    <w:rsid w:val="004261AC"/>
    <w:rsid w:val="00426C0C"/>
    <w:rsid w:val="00426DFB"/>
    <w:rsid w:val="00431D9E"/>
    <w:rsid w:val="00433CE8"/>
    <w:rsid w:val="00434A5C"/>
    <w:rsid w:val="00435C55"/>
    <w:rsid w:val="0045001B"/>
    <w:rsid w:val="004544D9"/>
    <w:rsid w:val="0045534A"/>
    <w:rsid w:val="00455D63"/>
    <w:rsid w:val="00455DA6"/>
    <w:rsid w:val="0046132C"/>
    <w:rsid w:val="004629CB"/>
    <w:rsid w:val="004647A7"/>
    <w:rsid w:val="00467C2A"/>
    <w:rsid w:val="00472BAD"/>
    <w:rsid w:val="00473121"/>
    <w:rsid w:val="00484009"/>
    <w:rsid w:val="0048416D"/>
    <w:rsid w:val="004853C1"/>
    <w:rsid w:val="00485E70"/>
    <w:rsid w:val="00490E72"/>
    <w:rsid w:val="00491157"/>
    <w:rsid w:val="004921C8"/>
    <w:rsid w:val="00495B0B"/>
    <w:rsid w:val="00497541"/>
    <w:rsid w:val="004A1B8B"/>
    <w:rsid w:val="004A515D"/>
    <w:rsid w:val="004B68B9"/>
    <w:rsid w:val="004C2964"/>
    <w:rsid w:val="004D1851"/>
    <w:rsid w:val="004D4176"/>
    <w:rsid w:val="004D599D"/>
    <w:rsid w:val="004E2965"/>
    <w:rsid w:val="004E2C82"/>
    <w:rsid w:val="004E2EA5"/>
    <w:rsid w:val="004E3AEB"/>
    <w:rsid w:val="004F12F9"/>
    <w:rsid w:val="0050223C"/>
    <w:rsid w:val="00506C50"/>
    <w:rsid w:val="005243FF"/>
    <w:rsid w:val="00531E36"/>
    <w:rsid w:val="0055175A"/>
    <w:rsid w:val="00554BF8"/>
    <w:rsid w:val="00564BAB"/>
    <w:rsid w:val="00564FBC"/>
    <w:rsid w:val="005656F6"/>
    <w:rsid w:val="00572B3D"/>
    <w:rsid w:val="005800BC"/>
    <w:rsid w:val="0058145A"/>
    <w:rsid w:val="00582442"/>
    <w:rsid w:val="00583BB8"/>
    <w:rsid w:val="00590FBF"/>
    <w:rsid w:val="005A272D"/>
    <w:rsid w:val="005A335D"/>
    <w:rsid w:val="005A757C"/>
    <w:rsid w:val="005B2C7C"/>
    <w:rsid w:val="005B4F89"/>
    <w:rsid w:val="005C13B2"/>
    <w:rsid w:val="005C583B"/>
    <w:rsid w:val="005E2BD5"/>
    <w:rsid w:val="005E5D89"/>
    <w:rsid w:val="005F0B6C"/>
    <w:rsid w:val="005F17FC"/>
    <w:rsid w:val="005F3269"/>
    <w:rsid w:val="00620F82"/>
    <w:rsid w:val="00623AE3"/>
    <w:rsid w:val="006348A9"/>
    <w:rsid w:val="0064224C"/>
    <w:rsid w:val="00646AB3"/>
    <w:rsid w:val="0064737F"/>
    <w:rsid w:val="0065004B"/>
    <w:rsid w:val="00650B0B"/>
    <w:rsid w:val="006535F1"/>
    <w:rsid w:val="0065557D"/>
    <w:rsid w:val="006609C3"/>
    <w:rsid w:val="00660D50"/>
    <w:rsid w:val="00662984"/>
    <w:rsid w:val="00663CB7"/>
    <w:rsid w:val="006716BB"/>
    <w:rsid w:val="00675F39"/>
    <w:rsid w:val="00697CD6"/>
    <w:rsid w:val="006A448E"/>
    <w:rsid w:val="006B1859"/>
    <w:rsid w:val="006B6680"/>
    <w:rsid w:val="006B6DCC"/>
    <w:rsid w:val="006C3387"/>
    <w:rsid w:val="006C72AE"/>
    <w:rsid w:val="006C7E82"/>
    <w:rsid w:val="006D6512"/>
    <w:rsid w:val="006E3875"/>
    <w:rsid w:val="006E634B"/>
    <w:rsid w:val="006F742F"/>
    <w:rsid w:val="00702DEF"/>
    <w:rsid w:val="007059F4"/>
    <w:rsid w:val="0070646F"/>
    <w:rsid w:val="00706861"/>
    <w:rsid w:val="00710DE6"/>
    <w:rsid w:val="00713960"/>
    <w:rsid w:val="00723C3C"/>
    <w:rsid w:val="007244DE"/>
    <w:rsid w:val="007276EF"/>
    <w:rsid w:val="00727BE5"/>
    <w:rsid w:val="00732C28"/>
    <w:rsid w:val="00747BBD"/>
    <w:rsid w:val="00750507"/>
    <w:rsid w:val="0075051B"/>
    <w:rsid w:val="0075409F"/>
    <w:rsid w:val="007635AF"/>
    <w:rsid w:val="00765015"/>
    <w:rsid w:val="00775655"/>
    <w:rsid w:val="00785DF1"/>
    <w:rsid w:val="00793188"/>
    <w:rsid w:val="00794410"/>
    <w:rsid w:val="00794D34"/>
    <w:rsid w:val="007B3DF2"/>
    <w:rsid w:val="007B5D81"/>
    <w:rsid w:val="007C7BBD"/>
    <w:rsid w:val="007D0CE9"/>
    <w:rsid w:val="007D6516"/>
    <w:rsid w:val="007E5819"/>
    <w:rsid w:val="007F2758"/>
    <w:rsid w:val="007F438E"/>
    <w:rsid w:val="00800B12"/>
    <w:rsid w:val="00813E5E"/>
    <w:rsid w:val="00813E9E"/>
    <w:rsid w:val="00817F11"/>
    <w:rsid w:val="00820B8E"/>
    <w:rsid w:val="00820EAA"/>
    <w:rsid w:val="00824A96"/>
    <w:rsid w:val="0082599F"/>
    <w:rsid w:val="00825FB5"/>
    <w:rsid w:val="00833B06"/>
    <w:rsid w:val="0083581B"/>
    <w:rsid w:val="00851703"/>
    <w:rsid w:val="008555B8"/>
    <w:rsid w:val="00857897"/>
    <w:rsid w:val="00857D88"/>
    <w:rsid w:val="00863874"/>
    <w:rsid w:val="00864AFF"/>
    <w:rsid w:val="00865925"/>
    <w:rsid w:val="0087218B"/>
    <w:rsid w:val="008863C1"/>
    <w:rsid w:val="00891503"/>
    <w:rsid w:val="008A1057"/>
    <w:rsid w:val="008A5754"/>
    <w:rsid w:val="008A5E8F"/>
    <w:rsid w:val="008B3893"/>
    <w:rsid w:val="008B4A6A"/>
    <w:rsid w:val="008B5B75"/>
    <w:rsid w:val="008C32F4"/>
    <w:rsid w:val="008C7E27"/>
    <w:rsid w:val="008F7448"/>
    <w:rsid w:val="0090147A"/>
    <w:rsid w:val="00903EDE"/>
    <w:rsid w:val="00904105"/>
    <w:rsid w:val="0091169B"/>
    <w:rsid w:val="009173EF"/>
    <w:rsid w:val="00917C0A"/>
    <w:rsid w:val="00932906"/>
    <w:rsid w:val="009440A4"/>
    <w:rsid w:val="00952844"/>
    <w:rsid w:val="00954180"/>
    <w:rsid w:val="00961B0B"/>
    <w:rsid w:val="00962D33"/>
    <w:rsid w:val="0097382C"/>
    <w:rsid w:val="0098145B"/>
    <w:rsid w:val="009A33FB"/>
    <w:rsid w:val="009A62A7"/>
    <w:rsid w:val="009B38C3"/>
    <w:rsid w:val="009C0277"/>
    <w:rsid w:val="009C253A"/>
    <w:rsid w:val="009D1A39"/>
    <w:rsid w:val="009D4AB5"/>
    <w:rsid w:val="009D7B05"/>
    <w:rsid w:val="009E17BD"/>
    <w:rsid w:val="009E1C91"/>
    <w:rsid w:val="009E312B"/>
    <w:rsid w:val="009E3827"/>
    <w:rsid w:val="009E485A"/>
    <w:rsid w:val="009F13CF"/>
    <w:rsid w:val="009F347C"/>
    <w:rsid w:val="00A04CEC"/>
    <w:rsid w:val="00A07A7F"/>
    <w:rsid w:val="00A10366"/>
    <w:rsid w:val="00A166E2"/>
    <w:rsid w:val="00A22724"/>
    <w:rsid w:val="00A24CB7"/>
    <w:rsid w:val="00A26913"/>
    <w:rsid w:val="00A27F92"/>
    <w:rsid w:val="00A32257"/>
    <w:rsid w:val="00A36D20"/>
    <w:rsid w:val="00A47083"/>
    <w:rsid w:val="00A514A4"/>
    <w:rsid w:val="00A5248A"/>
    <w:rsid w:val="00A52C84"/>
    <w:rsid w:val="00A55622"/>
    <w:rsid w:val="00A61CBC"/>
    <w:rsid w:val="00A64DB4"/>
    <w:rsid w:val="00A718D2"/>
    <w:rsid w:val="00A76EF8"/>
    <w:rsid w:val="00A83502"/>
    <w:rsid w:val="00AB3364"/>
    <w:rsid w:val="00AB3A06"/>
    <w:rsid w:val="00AB6FB4"/>
    <w:rsid w:val="00AD15B3"/>
    <w:rsid w:val="00AD2B18"/>
    <w:rsid w:val="00AD3606"/>
    <w:rsid w:val="00AD4A3D"/>
    <w:rsid w:val="00AD4F1D"/>
    <w:rsid w:val="00AE0778"/>
    <w:rsid w:val="00AF6E49"/>
    <w:rsid w:val="00B01593"/>
    <w:rsid w:val="00B04A67"/>
    <w:rsid w:val="00B0583C"/>
    <w:rsid w:val="00B072E7"/>
    <w:rsid w:val="00B106A0"/>
    <w:rsid w:val="00B11537"/>
    <w:rsid w:val="00B27016"/>
    <w:rsid w:val="00B2762D"/>
    <w:rsid w:val="00B358B2"/>
    <w:rsid w:val="00B3780B"/>
    <w:rsid w:val="00B40A81"/>
    <w:rsid w:val="00B43F84"/>
    <w:rsid w:val="00B44910"/>
    <w:rsid w:val="00B72267"/>
    <w:rsid w:val="00B736D6"/>
    <w:rsid w:val="00B76EB6"/>
    <w:rsid w:val="00B7737B"/>
    <w:rsid w:val="00B77646"/>
    <w:rsid w:val="00B824C8"/>
    <w:rsid w:val="00B84B9D"/>
    <w:rsid w:val="00B866D9"/>
    <w:rsid w:val="00BA51B1"/>
    <w:rsid w:val="00BB0675"/>
    <w:rsid w:val="00BC251A"/>
    <w:rsid w:val="00BC6BED"/>
    <w:rsid w:val="00BD032B"/>
    <w:rsid w:val="00BD0648"/>
    <w:rsid w:val="00BD542D"/>
    <w:rsid w:val="00BE2640"/>
    <w:rsid w:val="00BF63CC"/>
    <w:rsid w:val="00BF6D62"/>
    <w:rsid w:val="00C01189"/>
    <w:rsid w:val="00C077CB"/>
    <w:rsid w:val="00C14057"/>
    <w:rsid w:val="00C22059"/>
    <w:rsid w:val="00C258E3"/>
    <w:rsid w:val="00C374DE"/>
    <w:rsid w:val="00C415D2"/>
    <w:rsid w:val="00C43F09"/>
    <w:rsid w:val="00C47AD4"/>
    <w:rsid w:val="00C52D81"/>
    <w:rsid w:val="00C55198"/>
    <w:rsid w:val="00C5682F"/>
    <w:rsid w:val="00C65067"/>
    <w:rsid w:val="00C82802"/>
    <w:rsid w:val="00C930DC"/>
    <w:rsid w:val="00CA0962"/>
    <w:rsid w:val="00CA6393"/>
    <w:rsid w:val="00CB0B57"/>
    <w:rsid w:val="00CB18FF"/>
    <w:rsid w:val="00CB5A61"/>
    <w:rsid w:val="00CB5C9E"/>
    <w:rsid w:val="00CB775D"/>
    <w:rsid w:val="00CB7E9C"/>
    <w:rsid w:val="00CD0C08"/>
    <w:rsid w:val="00CD2B03"/>
    <w:rsid w:val="00CE03FB"/>
    <w:rsid w:val="00CE433C"/>
    <w:rsid w:val="00CE7881"/>
    <w:rsid w:val="00CF0161"/>
    <w:rsid w:val="00CF2B78"/>
    <w:rsid w:val="00CF33F3"/>
    <w:rsid w:val="00D01BC8"/>
    <w:rsid w:val="00D034DE"/>
    <w:rsid w:val="00D056A4"/>
    <w:rsid w:val="00D05C0E"/>
    <w:rsid w:val="00D06183"/>
    <w:rsid w:val="00D14B9B"/>
    <w:rsid w:val="00D22C42"/>
    <w:rsid w:val="00D232C8"/>
    <w:rsid w:val="00D313AB"/>
    <w:rsid w:val="00D34936"/>
    <w:rsid w:val="00D4157E"/>
    <w:rsid w:val="00D42BC5"/>
    <w:rsid w:val="00D464CC"/>
    <w:rsid w:val="00D471B1"/>
    <w:rsid w:val="00D52168"/>
    <w:rsid w:val="00D55B2D"/>
    <w:rsid w:val="00D57B29"/>
    <w:rsid w:val="00D61A19"/>
    <w:rsid w:val="00D63D4F"/>
    <w:rsid w:val="00D64577"/>
    <w:rsid w:val="00D65041"/>
    <w:rsid w:val="00D72CC7"/>
    <w:rsid w:val="00D750E7"/>
    <w:rsid w:val="00D7754E"/>
    <w:rsid w:val="00D8154C"/>
    <w:rsid w:val="00D8694A"/>
    <w:rsid w:val="00D95D29"/>
    <w:rsid w:val="00DA6014"/>
    <w:rsid w:val="00DB00D5"/>
    <w:rsid w:val="00DB1936"/>
    <w:rsid w:val="00DB384B"/>
    <w:rsid w:val="00DC3E6D"/>
    <w:rsid w:val="00DC5F7C"/>
    <w:rsid w:val="00DC6968"/>
    <w:rsid w:val="00DE3D5A"/>
    <w:rsid w:val="00DE4A1A"/>
    <w:rsid w:val="00DE6D92"/>
    <w:rsid w:val="00DF0189"/>
    <w:rsid w:val="00E06FD5"/>
    <w:rsid w:val="00E10E80"/>
    <w:rsid w:val="00E124F0"/>
    <w:rsid w:val="00E155A8"/>
    <w:rsid w:val="00E227F3"/>
    <w:rsid w:val="00E227FD"/>
    <w:rsid w:val="00E25DB8"/>
    <w:rsid w:val="00E35114"/>
    <w:rsid w:val="00E36A3E"/>
    <w:rsid w:val="00E42668"/>
    <w:rsid w:val="00E435F6"/>
    <w:rsid w:val="00E46A43"/>
    <w:rsid w:val="00E47C5C"/>
    <w:rsid w:val="00E545C6"/>
    <w:rsid w:val="00E55EB4"/>
    <w:rsid w:val="00E60F04"/>
    <w:rsid w:val="00E6145E"/>
    <w:rsid w:val="00E620BE"/>
    <w:rsid w:val="00E62A56"/>
    <w:rsid w:val="00E65B24"/>
    <w:rsid w:val="00E67C77"/>
    <w:rsid w:val="00E74034"/>
    <w:rsid w:val="00E819F2"/>
    <w:rsid w:val="00E81F39"/>
    <w:rsid w:val="00E854E4"/>
    <w:rsid w:val="00E86DBF"/>
    <w:rsid w:val="00E93674"/>
    <w:rsid w:val="00EB0D6F"/>
    <w:rsid w:val="00EB171F"/>
    <w:rsid w:val="00EB2232"/>
    <w:rsid w:val="00EC4E7F"/>
    <w:rsid w:val="00EC5118"/>
    <w:rsid w:val="00EC5337"/>
    <w:rsid w:val="00ED454D"/>
    <w:rsid w:val="00EE24AA"/>
    <w:rsid w:val="00EE49E8"/>
    <w:rsid w:val="00EE6C27"/>
    <w:rsid w:val="00EE6FB4"/>
    <w:rsid w:val="00EF5135"/>
    <w:rsid w:val="00EF77B5"/>
    <w:rsid w:val="00F01B23"/>
    <w:rsid w:val="00F113FA"/>
    <w:rsid w:val="00F16BAB"/>
    <w:rsid w:val="00F2150A"/>
    <w:rsid w:val="00F231D8"/>
    <w:rsid w:val="00F3313D"/>
    <w:rsid w:val="00F347E3"/>
    <w:rsid w:val="00F44C00"/>
    <w:rsid w:val="00F45D2C"/>
    <w:rsid w:val="00F46C5F"/>
    <w:rsid w:val="00F57448"/>
    <w:rsid w:val="00F632C0"/>
    <w:rsid w:val="00F63EB7"/>
    <w:rsid w:val="00F7439B"/>
    <w:rsid w:val="00F74694"/>
    <w:rsid w:val="00F808B2"/>
    <w:rsid w:val="00F9408E"/>
    <w:rsid w:val="00F94A35"/>
    <w:rsid w:val="00F94A63"/>
    <w:rsid w:val="00FA1C28"/>
    <w:rsid w:val="00FB1279"/>
    <w:rsid w:val="00FB6B76"/>
    <w:rsid w:val="00FB7596"/>
    <w:rsid w:val="00FC260B"/>
    <w:rsid w:val="00FD5861"/>
    <w:rsid w:val="00FE0064"/>
    <w:rsid w:val="00FE4077"/>
    <w:rsid w:val="00FE500D"/>
    <w:rsid w:val="00FE56A9"/>
    <w:rsid w:val="00FE77D2"/>
    <w:rsid w:val="00FF0D4D"/>
    <w:rsid w:val="00FF3D87"/>
    <w:rsid w:val="07B36BDE"/>
    <w:rsid w:val="0AEAA7F9"/>
    <w:rsid w:val="0FA704D7"/>
    <w:rsid w:val="18F20AD2"/>
    <w:rsid w:val="1C29AB94"/>
    <w:rsid w:val="1CE056E9"/>
    <w:rsid w:val="1DC57BF5"/>
    <w:rsid w:val="2115C46F"/>
    <w:rsid w:val="250AACA4"/>
    <w:rsid w:val="26C91E5A"/>
    <w:rsid w:val="408DE24D"/>
    <w:rsid w:val="43637BC9"/>
    <w:rsid w:val="45F05FF4"/>
    <w:rsid w:val="478C3055"/>
    <w:rsid w:val="49D7FBAA"/>
    <w:rsid w:val="5E198329"/>
    <w:rsid w:val="5F219FBA"/>
    <w:rsid w:val="5FB5538A"/>
    <w:rsid w:val="6A69667A"/>
    <w:rsid w:val="6CA0887A"/>
    <w:rsid w:val="7241E24B"/>
    <w:rsid w:val="796896BD"/>
    <w:rsid w:val="7E0B0155"/>
    <w:rsid w:val="7FCF2D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9F13CF"/>
  </w:style>
  <w:style w:type="character" w:customStyle="1" w:styleId="eop">
    <w:name w:val="eop"/>
    <w:basedOn w:val="DefaultParagraphFont"/>
    <w:rsid w:val="0002241B"/>
  </w:style>
  <w:style w:type="paragraph" w:customStyle="1" w:styleId="paragraph">
    <w:name w:val="paragraph"/>
    <w:basedOn w:val="Normal"/>
    <w:rsid w:val="0002241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uiPriority w:val="34"/>
    <w:qFormat/>
    <w:rsid w:val="006C7E82"/>
    <w:pPr>
      <w:ind w:left="720"/>
      <w:contextualSpacing/>
    </w:pPr>
  </w:style>
  <w:style w:type="paragraph" w:customStyle="1" w:styleId="Reasons">
    <w:name w:val="Reasons"/>
    <w:basedOn w:val="Normal"/>
    <w:qFormat/>
    <w:rsid w:val="002D3066"/>
  </w:style>
  <w:style w:type="paragraph" w:styleId="CommentText">
    <w:name w:val="annotation text"/>
    <w:basedOn w:val="Normal"/>
    <w:link w:val="CommentTextChar"/>
    <w:semiHidden/>
    <w:unhideWhenUsed/>
    <w:rsid w:val="00813E9E"/>
    <w:rPr>
      <w:sz w:val="20"/>
    </w:rPr>
  </w:style>
  <w:style w:type="character" w:customStyle="1" w:styleId="CommentTextChar">
    <w:name w:val="Comment Text Char"/>
    <w:basedOn w:val="DefaultParagraphFont"/>
    <w:link w:val="CommentText"/>
    <w:semiHidden/>
    <w:rsid w:val="00813E9E"/>
    <w:rPr>
      <w:rFonts w:ascii="Calibri" w:hAnsi="Calibri"/>
      <w:lang w:val="en-GB" w:eastAsia="en-US"/>
    </w:rPr>
  </w:style>
  <w:style w:type="character" w:styleId="CommentReference">
    <w:name w:val="annotation reference"/>
    <w:basedOn w:val="DefaultParagraphFont"/>
    <w:semiHidden/>
    <w:unhideWhenUsed/>
    <w:rsid w:val="00813E9E"/>
    <w:rPr>
      <w:sz w:val="16"/>
      <w:szCs w:val="16"/>
    </w:rPr>
  </w:style>
  <w:style w:type="paragraph" w:styleId="CommentSubject">
    <w:name w:val="annotation subject"/>
    <w:basedOn w:val="CommentText"/>
    <w:next w:val="CommentText"/>
    <w:link w:val="CommentSubjectChar"/>
    <w:semiHidden/>
    <w:unhideWhenUsed/>
    <w:rsid w:val="0048416D"/>
    <w:rPr>
      <w:b/>
      <w:bCs/>
    </w:rPr>
  </w:style>
  <w:style w:type="character" w:customStyle="1" w:styleId="CommentSubjectChar">
    <w:name w:val="Comment Subject Char"/>
    <w:basedOn w:val="CommentTextChar"/>
    <w:link w:val="CommentSubject"/>
    <w:semiHidden/>
    <w:rsid w:val="0048416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751958">
      <w:bodyDiv w:val="1"/>
      <w:marLeft w:val="0"/>
      <w:marRight w:val="0"/>
      <w:marTop w:val="0"/>
      <w:marBottom w:val="0"/>
      <w:divBdr>
        <w:top w:val="none" w:sz="0" w:space="0" w:color="auto"/>
        <w:left w:val="none" w:sz="0" w:space="0" w:color="auto"/>
        <w:bottom w:val="none" w:sz="0" w:space="0" w:color="auto"/>
        <w:right w:val="none" w:sz="0" w:space="0" w:color="auto"/>
      </w:divBdr>
    </w:div>
    <w:div w:id="13288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100/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L-C-0100/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hub/membership/our-members/exempted-entities/exemption-criter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9-CL-C-0141/en" TargetMode="External"/><Relationship Id="rId4" Type="http://schemas.openxmlformats.org/officeDocument/2006/relationships/settings" Target="settings.xml"/><Relationship Id="rId9" Type="http://schemas.openxmlformats.org/officeDocument/2006/relationships/hyperlink" Target="http://www.itu.int/itudoc/gs/council/c00/docs/28rev1.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6D502-CA3E-4916-BE34-AA33C10148B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1974</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list of exempted entities</dc:title>
  <dc:subject>Council Working Group on Financial and Human Resources</dc:subject>
  <dc:creator/>
  <cp:keywords>CWG-FHR, C23, Council-23, C23-ADD</cp:keywords>
  <dc:description/>
  <cp:lastModifiedBy/>
  <cp:revision>1</cp:revision>
  <dcterms:created xsi:type="dcterms:W3CDTF">2023-09-11T12:02:00Z</dcterms:created>
  <dcterms:modified xsi:type="dcterms:W3CDTF">2023-09-11T16:32:00Z</dcterms:modified>
  <cp:category>Conference document</cp:category>
</cp:coreProperties>
</file>