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679" w:tblpY="2317"/>
        <w:tblW w:w="9356" w:type="dxa"/>
        <w:tblLayout w:type="fixed"/>
        <w:tblLook w:val="0000" w:firstRow="0" w:lastRow="0" w:firstColumn="0" w:lastColumn="0" w:noHBand="0" w:noVBand="0"/>
      </w:tblPr>
      <w:tblGrid>
        <w:gridCol w:w="4111"/>
        <w:gridCol w:w="5245"/>
      </w:tblGrid>
      <w:tr w:rsidR="00AD3606" w:rsidRPr="00E23904" w14:paraId="0043AC80" w14:textId="77777777" w:rsidTr="7593FF4E">
        <w:trPr>
          <w:cantSplit/>
          <w:trHeight w:val="23"/>
        </w:trPr>
        <w:tc>
          <w:tcPr>
            <w:tcW w:w="4111" w:type="dxa"/>
            <w:vMerge w:val="restart"/>
            <w:tcMar>
              <w:left w:w="0" w:type="dxa"/>
            </w:tcMar>
          </w:tcPr>
          <w:p w14:paraId="60A806D3" w14:textId="6316C87D" w:rsidR="00AD3606" w:rsidRPr="00E85629" w:rsidRDefault="00AD3606" w:rsidP="00E959D0">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5EB710F" w:rsidR="00AD3606" w:rsidRPr="00E23904" w:rsidRDefault="00AD3606" w:rsidP="00E959D0">
            <w:pPr>
              <w:tabs>
                <w:tab w:val="left" w:pos="851"/>
              </w:tabs>
              <w:spacing w:before="0" w:line="240" w:lineRule="atLeast"/>
              <w:jc w:val="right"/>
              <w:rPr>
                <w:b/>
                <w:lang w:val="it-IT"/>
              </w:rPr>
            </w:pPr>
            <w:r w:rsidRPr="00E23904">
              <w:rPr>
                <w:b/>
                <w:lang w:val="it-IT"/>
              </w:rPr>
              <w:t>Document C</w:t>
            </w:r>
            <w:r w:rsidR="00A52C84" w:rsidRPr="00E23904">
              <w:rPr>
                <w:b/>
                <w:lang w:val="it-IT"/>
              </w:rPr>
              <w:t>WG-</w:t>
            </w:r>
            <w:r w:rsidR="009F347C" w:rsidRPr="00E23904">
              <w:rPr>
                <w:b/>
                <w:lang w:val="it-IT"/>
              </w:rPr>
              <w:t>FHR</w:t>
            </w:r>
            <w:r w:rsidR="00A52C84" w:rsidRPr="00E23904">
              <w:rPr>
                <w:b/>
                <w:lang w:val="it-IT"/>
              </w:rPr>
              <w:t>-</w:t>
            </w:r>
            <w:r w:rsidR="002E0504">
              <w:rPr>
                <w:b/>
                <w:lang w:val="it-IT"/>
              </w:rPr>
              <w:t>16</w:t>
            </w:r>
            <w:r w:rsidRPr="00E23904">
              <w:rPr>
                <w:b/>
                <w:lang w:val="it-IT"/>
              </w:rPr>
              <w:t>/</w:t>
            </w:r>
            <w:r w:rsidR="008D5D8A">
              <w:rPr>
                <w:b/>
                <w:lang w:val="it-IT"/>
              </w:rPr>
              <w:t>11</w:t>
            </w:r>
          </w:p>
        </w:tc>
      </w:tr>
      <w:tr w:rsidR="00AD3606" w:rsidRPr="00813E5E" w14:paraId="789B45BA" w14:textId="77777777" w:rsidTr="7593FF4E">
        <w:trPr>
          <w:cantSplit/>
        </w:trPr>
        <w:tc>
          <w:tcPr>
            <w:tcW w:w="4111" w:type="dxa"/>
            <w:vMerge/>
          </w:tcPr>
          <w:p w14:paraId="3F3D4E17" w14:textId="77777777" w:rsidR="00AD3606" w:rsidRPr="00E23904" w:rsidRDefault="00AD3606" w:rsidP="00E959D0">
            <w:pPr>
              <w:tabs>
                <w:tab w:val="left" w:pos="851"/>
              </w:tabs>
              <w:spacing w:line="240" w:lineRule="atLeast"/>
              <w:rPr>
                <w:b/>
                <w:lang w:val="it-IT"/>
              </w:rPr>
            </w:pPr>
            <w:bookmarkStart w:id="6" w:name="ddate" w:colFirst="1" w:colLast="1"/>
            <w:bookmarkEnd w:id="0"/>
            <w:bookmarkEnd w:id="1"/>
          </w:p>
        </w:tc>
        <w:tc>
          <w:tcPr>
            <w:tcW w:w="5245" w:type="dxa"/>
          </w:tcPr>
          <w:p w14:paraId="2DE9ACEA" w14:textId="250E05B9" w:rsidR="00AD3606" w:rsidRPr="00E85629" w:rsidRDefault="00183757" w:rsidP="00E959D0">
            <w:pPr>
              <w:tabs>
                <w:tab w:val="left" w:pos="851"/>
              </w:tabs>
              <w:spacing w:before="0"/>
              <w:jc w:val="right"/>
              <w:rPr>
                <w:b/>
              </w:rPr>
            </w:pPr>
            <w:r>
              <w:rPr>
                <w:b/>
              </w:rPr>
              <w:t>11</w:t>
            </w:r>
            <w:r w:rsidR="00AD3606">
              <w:rPr>
                <w:b/>
              </w:rPr>
              <w:t xml:space="preserve"> </w:t>
            </w:r>
            <w:r w:rsidR="005A335D">
              <w:rPr>
                <w:b/>
              </w:rPr>
              <w:t>September</w:t>
            </w:r>
            <w:r w:rsidR="00AD3606">
              <w:rPr>
                <w:b/>
              </w:rPr>
              <w:t xml:space="preserve"> 2023</w:t>
            </w:r>
          </w:p>
        </w:tc>
      </w:tr>
      <w:tr w:rsidR="00AD3606" w:rsidRPr="00813E5E" w14:paraId="58A84C4A" w14:textId="77777777" w:rsidTr="7593FF4E">
        <w:trPr>
          <w:cantSplit/>
          <w:trHeight w:val="23"/>
        </w:trPr>
        <w:tc>
          <w:tcPr>
            <w:tcW w:w="4111" w:type="dxa"/>
            <w:vMerge/>
          </w:tcPr>
          <w:p w14:paraId="77CEDDAA" w14:textId="77777777" w:rsidR="00AD3606" w:rsidRPr="00813E5E" w:rsidRDefault="00AD3606" w:rsidP="00E959D0">
            <w:pPr>
              <w:tabs>
                <w:tab w:val="left" w:pos="851"/>
              </w:tabs>
              <w:spacing w:line="240" w:lineRule="atLeast"/>
              <w:rPr>
                <w:b/>
              </w:rPr>
            </w:pPr>
            <w:bookmarkStart w:id="7" w:name="dorlang" w:colFirst="1" w:colLast="1"/>
            <w:bookmarkEnd w:id="6"/>
          </w:p>
        </w:tc>
        <w:tc>
          <w:tcPr>
            <w:tcW w:w="5245" w:type="dxa"/>
          </w:tcPr>
          <w:p w14:paraId="561AAE94" w14:textId="500B5EAD" w:rsidR="00AD3606" w:rsidRPr="00E85629" w:rsidRDefault="00891503" w:rsidP="00E959D0">
            <w:pPr>
              <w:tabs>
                <w:tab w:val="left" w:pos="851"/>
              </w:tabs>
              <w:spacing w:before="0" w:line="240" w:lineRule="atLeast"/>
              <w:jc w:val="right"/>
              <w:rPr>
                <w:b/>
              </w:rPr>
            </w:pPr>
            <w:r>
              <w:rPr>
                <w:b/>
              </w:rPr>
              <w:t>English</w:t>
            </w:r>
            <w:r w:rsidR="002E0504">
              <w:rPr>
                <w:b/>
              </w:rPr>
              <w:t xml:space="preserve"> only</w:t>
            </w:r>
          </w:p>
        </w:tc>
      </w:tr>
      <w:tr w:rsidR="00472BAD" w:rsidRPr="00813E5E" w14:paraId="12C5EF5F" w14:textId="77777777" w:rsidTr="7593FF4E">
        <w:trPr>
          <w:cantSplit/>
          <w:trHeight w:val="23"/>
        </w:trPr>
        <w:tc>
          <w:tcPr>
            <w:tcW w:w="4111" w:type="dxa"/>
          </w:tcPr>
          <w:p w14:paraId="4B839BA2" w14:textId="77777777" w:rsidR="00472BAD" w:rsidRPr="00813E5E" w:rsidRDefault="00472BAD" w:rsidP="00E959D0">
            <w:pPr>
              <w:tabs>
                <w:tab w:val="left" w:pos="851"/>
              </w:tabs>
              <w:spacing w:line="240" w:lineRule="atLeast"/>
              <w:rPr>
                <w:b/>
              </w:rPr>
            </w:pPr>
          </w:p>
        </w:tc>
        <w:tc>
          <w:tcPr>
            <w:tcW w:w="5245" w:type="dxa"/>
          </w:tcPr>
          <w:p w14:paraId="12F66D25" w14:textId="77777777" w:rsidR="00472BAD" w:rsidRDefault="00472BAD" w:rsidP="00E959D0">
            <w:pPr>
              <w:tabs>
                <w:tab w:val="left" w:pos="851"/>
              </w:tabs>
              <w:spacing w:before="0" w:line="240" w:lineRule="atLeast"/>
              <w:jc w:val="right"/>
              <w:rPr>
                <w:b/>
              </w:rPr>
            </w:pPr>
          </w:p>
        </w:tc>
      </w:tr>
      <w:tr w:rsidR="00AD3606" w:rsidRPr="00813E5E" w14:paraId="27000B2A" w14:textId="77777777" w:rsidTr="7593FF4E">
        <w:trPr>
          <w:cantSplit/>
        </w:trPr>
        <w:tc>
          <w:tcPr>
            <w:tcW w:w="9356" w:type="dxa"/>
            <w:gridSpan w:val="2"/>
            <w:tcMar>
              <w:left w:w="0" w:type="dxa"/>
            </w:tcMar>
          </w:tcPr>
          <w:p w14:paraId="4E7CDB90" w14:textId="1C6B6182" w:rsidR="00AD3606" w:rsidRPr="00813E5E" w:rsidRDefault="00244F7F" w:rsidP="00E959D0">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B23235">
              <w:t>S</w:t>
            </w:r>
            <w:r w:rsidR="00A52C84">
              <w:t>ecretariat</w:t>
            </w:r>
          </w:p>
        </w:tc>
      </w:tr>
      <w:tr w:rsidR="00AD3606" w:rsidRPr="00813E5E" w14:paraId="2340750D" w14:textId="77777777" w:rsidTr="7593FF4E">
        <w:trPr>
          <w:cantSplit/>
        </w:trPr>
        <w:tc>
          <w:tcPr>
            <w:tcW w:w="9356" w:type="dxa"/>
            <w:gridSpan w:val="2"/>
            <w:tcMar>
              <w:left w:w="0" w:type="dxa"/>
            </w:tcMar>
          </w:tcPr>
          <w:p w14:paraId="47B91AA8" w14:textId="5A585E7E" w:rsidR="00AD3606" w:rsidRPr="00813E5E" w:rsidRDefault="008D5D8A" w:rsidP="7593FF4E">
            <w:pPr>
              <w:pStyle w:val="Subtitle1"/>
              <w:framePr w:hSpace="0" w:wrap="auto" w:hAnchor="text" w:xAlign="left" w:yAlign="inline"/>
              <w:rPr>
                <w:sz w:val="28"/>
                <w:szCs w:val="28"/>
              </w:rPr>
            </w:pPr>
            <w:bookmarkStart w:id="9" w:name="dtitle1"/>
            <w:bookmarkEnd w:id="8"/>
            <w:r>
              <w:rPr>
                <w:sz w:val="28"/>
                <w:szCs w:val="28"/>
              </w:rPr>
              <w:t>TOWARDS A RESOURCE MOBILIZATION STRATEGY: OUTCOMES OF THE ITU WORLD CAFÉ ON REVENUE GENERATION</w:t>
            </w:r>
          </w:p>
        </w:tc>
      </w:tr>
      <w:tr w:rsidR="00AD3606" w:rsidRPr="00813E5E" w14:paraId="1F564D2D" w14:textId="77777777" w:rsidTr="7593FF4E">
        <w:trPr>
          <w:cantSplit/>
        </w:trPr>
        <w:tc>
          <w:tcPr>
            <w:tcW w:w="9356" w:type="dxa"/>
            <w:gridSpan w:val="2"/>
            <w:tcBorders>
              <w:top w:val="single" w:sz="4" w:space="0" w:color="auto"/>
              <w:bottom w:val="single" w:sz="4" w:space="0" w:color="auto"/>
            </w:tcBorders>
            <w:tcMar>
              <w:left w:w="0" w:type="dxa"/>
            </w:tcMar>
          </w:tcPr>
          <w:p w14:paraId="4265D3C1" w14:textId="77777777" w:rsidR="00E959D0" w:rsidRPr="00F16BAB" w:rsidRDefault="00E959D0" w:rsidP="00E959D0">
            <w:pPr>
              <w:spacing w:before="160"/>
              <w:rPr>
                <w:b/>
                <w:bCs/>
                <w:sz w:val="26"/>
                <w:szCs w:val="26"/>
              </w:rPr>
            </w:pPr>
            <w:r w:rsidRPr="70ECFE09">
              <w:rPr>
                <w:b/>
                <w:bCs/>
                <w:sz w:val="26"/>
                <w:szCs w:val="26"/>
              </w:rPr>
              <w:t>Purpose</w:t>
            </w:r>
          </w:p>
          <w:p w14:paraId="05130935" w14:textId="102CE489" w:rsidR="00C22602" w:rsidRDefault="00E959D0" w:rsidP="00E959D0">
            <w:pPr>
              <w:spacing w:before="160" w:after="120"/>
              <w:jc w:val="both"/>
            </w:pPr>
            <w:r>
              <w:t xml:space="preserve">The Plenipotentiary Conference (Bucharest, 2022) instructed the Secretary-General in Decision 5 (Rev. Bucharest, 2022) to develop an ITU-wide resource mobilisation strategy and present it to the ITU Council. The secretariat presented document </w:t>
            </w:r>
            <w:hyperlink r:id="rId11">
              <w:r w:rsidRPr="7593FF4E">
                <w:rPr>
                  <w:rStyle w:val="Hyperlink"/>
                </w:rPr>
                <w:t>C23/62 Rev1</w:t>
              </w:r>
            </w:hyperlink>
            <w:r>
              <w:t xml:space="preserve">, which provided initial </w:t>
            </w:r>
            <w:r w:rsidR="009B5B8E">
              <w:t xml:space="preserve">analysis and recommendations regarding resource </w:t>
            </w:r>
            <w:r w:rsidR="008D5D8A">
              <w:t>mobilization</w:t>
            </w:r>
            <w:r>
              <w:t>. Council n</w:t>
            </w:r>
            <w:r w:rsidRPr="7593FF4E">
              <w:rPr>
                <w:rStyle w:val="normaltextrun"/>
                <w:rFonts w:cs="Calibri"/>
                <w:color w:val="000000" w:themeColor="text1"/>
              </w:rPr>
              <w:t>oted Document C23/62(Rev.1) and invited the Secretary-General to report to CWG-FHR and to the Council on the refinement of the draft ITU-wide resource mobilization strategy and its implementation, as well as how ITU could leverage the outcomes of the ITU World Café (</w:t>
            </w:r>
            <w:hyperlink r:id="rId12">
              <w:r>
                <w:t>C22/INF/13</w:t>
              </w:r>
            </w:hyperlink>
            <w:r>
              <w:t>) held in 20</w:t>
            </w:r>
            <w:r w:rsidR="0A2A2B5C">
              <w:t>2</w:t>
            </w:r>
            <w:r>
              <w:t xml:space="preserve">2. </w:t>
            </w:r>
          </w:p>
          <w:p w14:paraId="4C5BEE33" w14:textId="2D449D69" w:rsidR="00A54894" w:rsidRPr="00AC150B" w:rsidRDefault="00360EA0" w:rsidP="00E959D0">
            <w:pPr>
              <w:spacing w:before="160" w:after="120"/>
              <w:jc w:val="both"/>
              <w:rPr>
                <w:lang w:val="en-US"/>
              </w:rPr>
            </w:pPr>
            <w:r w:rsidRPr="7593FF4E">
              <w:rPr>
                <w:rFonts w:eastAsiaTheme="minorEastAsia"/>
                <w:color w:val="000000" w:themeColor="text1"/>
              </w:rPr>
              <w:t>The secretariat will prepare further information for the CWG-FHR to assist with the refinement of the overall strategy for its meeting in early 2024. In the meantime, this document focuses on the outcomes of the ITU World Café on revenue generation</w:t>
            </w:r>
            <w:r w:rsidR="00945F30">
              <w:rPr>
                <w:rFonts w:eastAsiaTheme="minorEastAsia"/>
                <w:color w:val="000000" w:themeColor="text1"/>
              </w:rPr>
              <w:t xml:space="preserve"> and ideas from that process which might be considered </w:t>
            </w:r>
            <w:r w:rsidR="00210ABE">
              <w:rPr>
                <w:rFonts w:eastAsiaTheme="minorEastAsia"/>
                <w:color w:val="000000" w:themeColor="text1"/>
              </w:rPr>
              <w:t>as part of</w:t>
            </w:r>
            <w:r w:rsidR="00945F30">
              <w:rPr>
                <w:rFonts w:eastAsiaTheme="minorEastAsia"/>
                <w:color w:val="000000" w:themeColor="text1"/>
              </w:rPr>
              <w:t xml:space="preserve"> the further refinement of the overall strategy</w:t>
            </w:r>
            <w:r w:rsidR="008C2B24">
              <w:rPr>
                <w:lang w:val="en-US"/>
              </w:rPr>
              <w:t>.</w:t>
            </w:r>
          </w:p>
          <w:p w14:paraId="6AD98157" w14:textId="77777777" w:rsidR="00E959D0" w:rsidRPr="00F16BAB" w:rsidRDefault="00E959D0" w:rsidP="00E959D0">
            <w:pPr>
              <w:spacing w:before="160"/>
              <w:jc w:val="both"/>
              <w:rPr>
                <w:b/>
                <w:bCs/>
                <w:sz w:val="26"/>
                <w:szCs w:val="26"/>
              </w:rPr>
            </w:pPr>
            <w:r w:rsidRPr="70ECFE09">
              <w:rPr>
                <w:b/>
                <w:bCs/>
                <w:sz w:val="26"/>
                <w:szCs w:val="26"/>
              </w:rPr>
              <w:t xml:space="preserve">Action </w:t>
            </w:r>
            <w:proofErr w:type="gramStart"/>
            <w:r w:rsidRPr="70ECFE09">
              <w:rPr>
                <w:b/>
                <w:bCs/>
                <w:sz w:val="26"/>
                <w:szCs w:val="26"/>
              </w:rPr>
              <w:t>required</w:t>
            </w:r>
            <w:proofErr w:type="gramEnd"/>
            <w:r w:rsidRPr="70ECFE09">
              <w:rPr>
                <w:b/>
                <w:bCs/>
                <w:sz w:val="26"/>
                <w:szCs w:val="26"/>
              </w:rPr>
              <w:t xml:space="preserve"> </w:t>
            </w:r>
          </w:p>
          <w:p w14:paraId="3543E3F6" w14:textId="77777777" w:rsidR="00E959D0" w:rsidRDefault="00E959D0" w:rsidP="00E959D0">
            <w:pPr>
              <w:spacing w:after="120"/>
              <w:jc w:val="both"/>
            </w:pPr>
            <w:r>
              <w:t xml:space="preserve">The CWG-FHR is invited </w:t>
            </w:r>
            <w:r w:rsidRPr="70ECFE09">
              <w:rPr>
                <w:b/>
                <w:bCs/>
              </w:rPr>
              <w:t>to note</w:t>
            </w:r>
            <w:r>
              <w:t xml:space="preserve"> this document and provide further guidance to the secretariat.</w:t>
            </w:r>
          </w:p>
          <w:p w14:paraId="16F61B24" w14:textId="1AC2B586" w:rsidR="009B5B8E" w:rsidRDefault="009B5B8E" w:rsidP="00E959D0">
            <w:pPr>
              <w:spacing w:after="120"/>
              <w:jc w:val="both"/>
            </w:pPr>
            <w:r w:rsidRPr="009B5B8E">
              <w:rPr>
                <w:b/>
                <w:bCs/>
                <w:sz w:val="26"/>
                <w:szCs w:val="26"/>
              </w:rPr>
              <w:t>Financial implications</w:t>
            </w:r>
          </w:p>
          <w:p w14:paraId="24CFEB4E" w14:textId="240D8289" w:rsidR="009B5B8E" w:rsidRPr="00EE3906" w:rsidRDefault="009B5B8E" w:rsidP="00E959D0">
            <w:pPr>
              <w:spacing w:after="120"/>
              <w:jc w:val="both"/>
            </w:pPr>
            <w:r>
              <w:t>The overall resource mobilisation strategy currently being developed, including inputs from the World Café on revenue generation, have the potential to contribute to increase regular budget and extra-budgetary revenues.</w:t>
            </w:r>
          </w:p>
          <w:p w14:paraId="41DD8F91" w14:textId="77777777" w:rsidR="00E959D0" w:rsidRPr="00813E5E" w:rsidRDefault="00E959D0" w:rsidP="00E959D0">
            <w:pPr>
              <w:keepNext/>
              <w:keepLines/>
              <w:rPr>
                <w:caps/>
                <w:sz w:val="22"/>
                <w:szCs w:val="22"/>
              </w:rPr>
            </w:pPr>
            <w:r w:rsidRPr="70ECFE09">
              <w:rPr>
                <w:sz w:val="22"/>
                <w:szCs w:val="22"/>
              </w:rPr>
              <w:t>__________________</w:t>
            </w:r>
          </w:p>
          <w:p w14:paraId="6BD97F7F" w14:textId="77777777" w:rsidR="00E959D0" w:rsidRDefault="00E959D0" w:rsidP="00E959D0">
            <w:pPr>
              <w:keepNext/>
              <w:keepLines/>
              <w:spacing w:before="160"/>
              <w:rPr>
                <w:b/>
                <w:bCs/>
                <w:sz w:val="26"/>
                <w:szCs w:val="26"/>
              </w:rPr>
            </w:pPr>
            <w:r w:rsidRPr="70ECFE09">
              <w:rPr>
                <w:b/>
                <w:bCs/>
                <w:sz w:val="26"/>
                <w:szCs w:val="26"/>
              </w:rPr>
              <w:t>References</w:t>
            </w:r>
          </w:p>
          <w:p w14:paraId="11FD1277" w14:textId="77777777" w:rsidR="00E959D0" w:rsidRPr="00DD72FF" w:rsidRDefault="004A78F9" w:rsidP="00E959D0">
            <w:pPr>
              <w:keepNext/>
              <w:keepLines/>
              <w:spacing w:before="160"/>
              <w:jc w:val="both"/>
              <w:rPr>
                <w:i/>
                <w:iCs/>
              </w:rPr>
            </w:pPr>
            <w:hyperlink r:id="rId13">
              <w:r w:rsidR="00E959D0" w:rsidRPr="009B5B8E">
                <w:rPr>
                  <w:rStyle w:val="Hyperlink"/>
                  <w:i/>
                  <w:iCs/>
                </w:rPr>
                <w:t>C23/62 Rev1</w:t>
              </w:r>
            </w:hyperlink>
            <w:r w:rsidR="00E959D0" w:rsidRPr="009B5B8E">
              <w:rPr>
                <w:i/>
                <w:iCs/>
              </w:rPr>
              <w:t xml:space="preserve">, </w:t>
            </w:r>
            <w:hyperlink r:id="rId14">
              <w:r w:rsidR="00E959D0" w:rsidRPr="009B5B8E">
                <w:rPr>
                  <w:rStyle w:val="Hyperlink"/>
                  <w:i/>
                  <w:iCs/>
                </w:rPr>
                <w:t>Decision 5</w:t>
              </w:r>
            </w:hyperlink>
            <w:r w:rsidR="00E959D0" w:rsidRPr="00FD7E21">
              <w:rPr>
                <w:i/>
                <w:iCs/>
              </w:rPr>
              <w:t xml:space="preserve"> (Rev. Bucharest, 2022) of the Plenipotentiary Conference; Council documents </w:t>
            </w:r>
            <w:hyperlink r:id="rId15">
              <w:r w:rsidR="00E959D0" w:rsidRPr="009B5B8E">
                <w:rPr>
                  <w:rStyle w:val="Hyperlink"/>
                  <w:i/>
                  <w:iCs/>
                </w:rPr>
                <w:t>C17/67</w:t>
              </w:r>
            </w:hyperlink>
            <w:r w:rsidR="00E959D0" w:rsidRPr="00FD7E21">
              <w:rPr>
                <w:i/>
                <w:iCs/>
              </w:rPr>
              <w:t xml:space="preserve">, and </w:t>
            </w:r>
            <w:hyperlink r:id="rId16">
              <w:r w:rsidR="00E959D0" w:rsidRPr="009B5B8E">
                <w:rPr>
                  <w:rStyle w:val="Hyperlink"/>
                  <w:i/>
                  <w:iCs/>
                </w:rPr>
                <w:t>C23/INF/12</w:t>
              </w:r>
            </w:hyperlink>
            <w:r w:rsidR="00E959D0" w:rsidRPr="00FD7E21">
              <w:rPr>
                <w:i/>
                <w:iCs/>
              </w:rPr>
              <w:t xml:space="preserve">; </w:t>
            </w:r>
            <w:hyperlink r:id="rId17">
              <w:r w:rsidR="00E959D0" w:rsidRPr="009B5B8E">
                <w:rPr>
                  <w:rStyle w:val="Hyperlink"/>
                  <w:i/>
                  <w:iCs/>
                </w:rPr>
                <w:t>C22/INF/13</w:t>
              </w:r>
            </w:hyperlink>
            <w:r w:rsidR="00E959D0" w:rsidRPr="00FD7E21">
              <w:rPr>
                <w:i/>
                <w:iCs/>
              </w:rPr>
              <w:t xml:space="preserve">, </w:t>
            </w:r>
            <w:hyperlink r:id="rId18">
              <w:r w:rsidR="00E959D0" w:rsidRPr="009B5B8E">
                <w:rPr>
                  <w:rStyle w:val="Hyperlink"/>
                  <w:i/>
                  <w:iCs/>
                </w:rPr>
                <w:t>Kigali Action Plan</w:t>
              </w:r>
            </w:hyperlink>
            <w:r w:rsidR="00E959D0" w:rsidRPr="00FD7E21">
              <w:rPr>
                <w:i/>
                <w:iCs/>
              </w:rPr>
              <w:t>.</w:t>
            </w:r>
          </w:p>
          <w:p w14:paraId="0175CD6C" w14:textId="77777777" w:rsidR="00AD3606" w:rsidRDefault="00AD3606" w:rsidP="00E959D0">
            <w:pPr>
              <w:spacing w:after="160"/>
            </w:pPr>
          </w:p>
        </w:tc>
      </w:tr>
    </w:tbl>
    <w:p w14:paraId="1D7ED322" w14:textId="74615B16" w:rsidR="0090147A" w:rsidRPr="00E959D0"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9"/>
      <w:bookmarkEnd w:id="3"/>
      <w:bookmarkEnd w:id="4"/>
    </w:p>
    <w:bookmarkEnd w:id="5"/>
    <w:bookmarkEnd w:id="10"/>
    <w:p w14:paraId="1921DF81" w14:textId="1EC4B74E" w:rsidR="00E959D0" w:rsidRPr="00EE58F2" w:rsidRDefault="00E959D0" w:rsidP="00177A75">
      <w:pPr>
        <w:tabs>
          <w:tab w:val="clear" w:pos="567"/>
          <w:tab w:val="clear" w:pos="1134"/>
          <w:tab w:val="clear" w:pos="1701"/>
          <w:tab w:val="clear" w:pos="2268"/>
          <w:tab w:val="clear" w:pos="2835"/>
        </w:tabs>
        <w:overflowPunct/>
        <w:autoSpaceDE/>
        <w:autoSpaceDN/>
        <w:adjustRightInd/>
        <w:spacing w:before="240" w:after="120"/>
        <w:jc w:val="both"/>
        <w:textAlignment w:val="auto"/>
        <w:rPr>
          <w:b/>
          <w:bCs/>
          <w:sz w:val="26"/>
          <w:szCs w:val="26"/>
        </w:rPr>
      </w:pPr>
      <w:r w:rsidRPr="70ECFE09">
        <w:rPr>
          <w:b/>
          <w:bCs/>
          <w:sz w:val="26"/>
          <w:szCs w:val="26"/>
        </w:rPr>
        <w:lastRenderedPageBreak/>
        <w:t>1.</w:t>
      </w:r>
      <w:r>
        <w:tab/>
      </w:r>
      <w:r w:rsidRPr="70ECFE09">
        <w:rPr>
          <w:b/>
          <w:bCs/>
          <w:sz w:val="26"/>
          <w:szCs w:val="26"/>
        </w:rPr>
        <w:t>Background</w:t>
      </w:r>
    </w:p>
    <w:p w14:paraId="43880C3D" w14:textId="573F25DD" w:rsidR="00E959D0" w:rsidRDefault="00E959D0" w:rsidP="00E959D0">
      <w:pPr>
        <w:tabs>
          <w:tab w:val="clear" w:pos="567"/>
          <w:tab w:val="clear" w:pos="1134"/>
          <w:tab w:val="clear" w:pos="1701"/>
          <w:tab w:val="clear" w:pos="2268"/>
          <w:tab w:val="clear" w:pos="2835"/>
        </w:tabs>
        <w:overflowPunct/>
        <w:autoSpaceDE/>
        <w:autoSpaceDN/>
        <w:adjustRightInd/>
        <w:spacing w:after="120"/>
        <w:jc w:val="both"/>
        <w:textAlignment w:val="auto"/>
      </w:pPr>
      <w:r>
        <w:t>1.1</w:t>
      </w:r>
      <w:r>
        <w:tab/>
        <w:t>The Plenipotentiary Conference (Bucharest, 2022) (PP-22) instructed the Secretary-General in Decision 5 (Rev. Bucharest, 2022) to develop an ITU-wide resource mobilization strategy to address the need for additional funding to meet organisational priorities and present it to the ITU Council for review and guidance on its implementation.</w:t>
      </w:r>
    </w:p>
    <w:p w14:paraId="554A58B9" w14:textId="6F3F3177" w:rsidR="00E959D0" w:rsidRPr="000300D8" w:rsidRDefault="00E959D0" w:rsidP="00E959D0">
      <w:pPr>
        <w:tabs>
          <w:tab w:val="clear" w:pos="567"/>
          <w:tab w:val="clear" w:pos="1134"/>
          <w:tab w:val="clear" w:pos="1701"/>
          <w:tab w:val="clear" w:pos="2268"/>
          <w:tab w:val="clear" w:pos="2835"/>
        </w:tabs>
        <w:overflowPunct/>
        <w:autoSpaceDE/>
        <w:autoSpaceDN/>
        <w:adjustRightInd/>
        <w:spacing w:before="160" w:after="120"/>
        <w:jc w:val="both"/>
        <w:textAlignment w:val="auto"/>
        <w:rPr>
          <w:rFonts w:eastAsiaTheme="minorEastAsia"/>
          <w:color w:val="000000"/>
          <w:szCs w:val="24"/>
          <w:lang w:val="en-CA"/>
        </w:rPr>
      </w:pPr>
      <w:r w:rsidRPr="000300D8">
        <w:rPr>
          <w:rFonts w:eastAsiaTheme="minorEastAsia"/>
          <w:color w:val="000000"/>
          <w:szCs w:val="24"/>
        </w:rPr>
        <w:t>1.2</w:t>
      </w:r>
      <w:r w:rsidR="002B3827">
        <w:rPr>
          <w:rFonts w:eastAsiaTheme="minorEastAsia"/>
          <w:color w:val="000000"/>
          <w:szCs w:val="24"/>
        </w:rPr>
        <w:tab/>
      </w:r>
      <w:r w:rsidRPr="000300D8">
        <w:rPr>
          <w:rFonts w:eastAsiaTheme="minorEastAsia"/>
          <w:color w:val="000000"/>
          <w:szCs w:val="24"/>
        </w:rPr>
        <w:t>Following this instruction, the secretariat presented document </w:t>
      </w:r>
      <w:hyperlink r:id="rId19" w:history="1">
        <w:r w:rsidRPr="000300D8">
          <w:rPr>
            <w:rFonts w:eastAsiaTheme="minorEastAsia"/>
            <w:color w:val="800080"/>
            <w:szCs w:val="24"/>
            <w:u w:val="single"/>
          </w:rPr>
          <w:t>C23/62 Rev1</w:t>
        </w:r>
      </w:hyperlink>
      <w:r w:rsidR="00364EC9">
        <w:rPr>
          <w:rFonts w:eastAsiaTheme="minorEastAsia"/>
          <w:color w:val="000000"/>
          <w:szCs w:val="24"/>
        </w:rPr>
        <w:t xml:space="preserve"> to the July 2023 session of Council, </w:t>
      </w:r>
      <w:r w:rsidRPr="000300D8">
        <w:rPr>
          <w:rFonts w:eastAsiaTheme="minorEastAsia"/>
          <w:color w:val="000000"/>
          <w:szCs w:val="24"/>
        </w:rPr>
        <w:t>which provided</w:t>
      </w:r>
      <w:r w:rsidR="00364EC9">
        <w:rPr>
          <w:rFonts w:eastAsiaTheme="minorEastAsia"/>
          <w:color w:val="000000"/>
          <w:szCs w:val="24"/>
        </w:rPr>
        <w:t xml:space="preserve"> </w:t>
      </w:r>
      <w:r w:rsidRPr="000300D8">
        <w:rPr>
          <w:rFonts w:eastAsiaTheme="minorEastAsia"/>
          <w:color w:val="000000"/>
          <w:szCs w:val="24"/>
        </w:rPr>
        <w:t xml:space="preserve">initial </w:t>
      </w:r>
      <w:r w:rsidR="00364EC9">
        <w:rPr>
          <w:rFonts w:eastAsiaTheme="minorEastAsia"/>
          <w:color w:val="000000"/>
          <w:szCs w:val="24"/>
        </w:rPr>
        <w:t>analysis and recommendations regarding resource mobilization.</w:t>
      </w:r>
    </w:p>
    <w:p w14:paraId="203AA5DF" w14:textId="29C22CD8" w:rsidR="00E959D0" w:rsidRDefault="00E959D0" w:rsidP="00E959D0">
      <w:pPr>
        <w:tabs>
          <w:tab w:val="clear" w:pos="567"/>
          <w:tab w:val="clear" w:pos="1134"/>
          <w:tab w:val="clear" w:pos="1701"/>
          <w:tab w:val="clear" w:pos="2268"/>
          <w:tab w:val="clear" w:pos="2835"/>
        </w:tabs>
        <w:overflowPunct/>
        <w:autoSpaceDE/>
        <w:autoSpaceDN/>
        <w:adjustRightInd/>
        <w:spacing w:before="160" w:after="120"/>
        <w:jc w:val="both"/>
        <w:textAlignment w:val="auto"/>
        <w:rPr>
          <w:rFonts w:eastAsiaTheme="minorEastAsia"/>
          <w:color w:val="000000"/>
          <w:szCs w:val="24"/>
        </w:rPr>
      </w:pPr>
      <w:r w:rsidRPr="000300D8">
        <w:rPr>
          <w:rFonts w:eastAsiaTheme="minorEastAsia"/>
          <w:color w:val="000000"/>
          <w:szCs w:val="24"/>
        </w:rPr>
        <w:t>1.3</w:t>
      </w:r>
      <w:r w:rsidR="002B3827">
        <w:rPr>
          <w:rFonts w:eastAsiaTheme="minorEastAsia"/>
          <w:color w:val="000000"/>
          <w:szCs w:val="24"/>
        </w:rPr>
        <w:tab/>
      </w:r>
      <w:r w:rsidRPr="000300D8">
        <w:rPr>
          <w:rFonts w:eastAsiaTheme="minorEastAsia"/>
          <w:color w:val="000000"/>
          <w:szCs w:val="24"/>
        </w:rPr>
        <w:t>Council noted Document C23/62(Rev.1) and invited the Secretary-General to report to CWG-FHR and to the Council on the refinement of the draft ITU-wide resource mobilization strategy and its implementation and to leverage the outcomes of the ITU World Café on revenue generation (Document C22/INF/13), including studying new measures to generate supplementary revenue for ITU and review these matters at the next meetings of CWG-FHR and the next session of the Council. </w:t>
      </w:r>
    </w:p>
    <w:p w14:paraId="04FA2EBD" w14:textId="18B7D058" w:rsidR="00E959D0" w:rsidRPr="000300D8" w:rsidRDefault="00F34705" w:rsidP="7593FF4E">
      <w:pPr>
        <w:tabs>
          <w:tab w:val="clear" w:pos="567"/>
          <w:tab w:val="clear" w:pos="1134"/>
          <w:tab w:val="clear" w:pos="1701"/>
          <w:tab w:val="clear" w:pos="2268"/>
          <w:tab w:val="clear" w:pos="2835"/>
        </w:tabs>
        <w:overflowPunct/>
        <w:autoSpaceDE/>
        <w:autoSpaceDN/>
        <w:adjustRightInd/>
        <w:spacing w:before="160" w:after="120"/>
        <w:jc w:val="both"/>
        <w:textAlignment w:val="auto"/>
        <w:rPr>
          <w:rFonts w:eastAsiaTheme="minorEastAsia"/>
          <w:color w:val="000000"/>
          <w:lang w:val="en-CA"/>
        </w:rPr>
      </w:pPr>
      <w:r>
        <w:rPr>
          <w:rFonts w:eastAsiaTheme="minorEastAsia"/>
          <w:color w:val="000000" w:themeColor="text1"/>
        </w:rPr>
        <w:t xml:space="preserve">1.4 </w:t>
      </w:r>
      <w:r w:rsidR="00F22A46" w:rsidRPr="7593FF4E">
        <w:rPr>
          <w:rFonts w:eastAsiaTheme="minorEastAsia"/>
          <w:color w:val="000000" w:themeColor="text1"/>
        </w:rPr>
        <w:t>T</w:t>
      </w:r>
      <w:r w:rsidR="00534460" w:rsidRPr="7593FF4E">
        <w:rPr>
          <w:rFonts w:eastAsiaTheme="minorEastAsia"/>
          <w:color w:val="000000" w:themeColor="text1"/>
        </w:rPr>
        <w:t xml:space="preserve">he secretariat will </w:t>
      </w:r>
      <w:r w:rsidR="00CD37C3" w:rsidRPr="7593FF4E">
        <w:rPr>
          <w:rFonts w:eastAsiaTheme="minorEastAsia"/>
          <w:color w:val="000000" w:themeColor="text1"/>
        </w:rPr>
        <w:t xml:space="preserve">prepare further information for the </w:t>
      </w:r>
      <w:r w:rsidR="00D942C4" w:rsidRPr="7593FF4E">
        <w:rPr>
          <w:rFonts w:eastAsiaTheme="minorEastAsia"/>
          <w:color w:val="000000" w:themeColor="text1"/>
        </w:rPr>
        <w:t xml:space="preserve">CWG-FHR </w:t>
      </w:r>
      <w:r w:rsidR="006C1CB8" w:rsidRPr="7593FF4E">
        <w:rPr>
          <w:rFonts w:eastAsiaTheme="minorEastAsia"/>
          <w:color w:val="000000" w:themeColor="text1"/>
        </w:rPr>
        <w:t>to assist with the refinement of</w:t>
      </w:r>
      <w:r w:rsidR="00D942C4" w:rsidRPr="7593FF4E">
        <w:rPr>
          <w:rFonts w:eastAsiaTheme="minorEastAsia"/>
          <w:color w:val="000000" w:themeColor="text1"/>
        </w:rPr>
        <w:t xml:space="preserve"> the overall strategy for its meeting in early 2024. In the meantime, this </w:t>
      </w:r>
      <w:r w:rsidR="00260EA6" w:rsidRPr="7593FF4E">
        <w:rPr>
          <w:rFonts w:eastAsiaTheme="minorEastAsia"/>
          <w:color w:val="000000" w:themeColor="text1"/>
        </w:rPr>
        <w:t xml:space="preserve">document focuses on the outcomes of the ITU World Café </w:t>
      </w:r>
      <w:r w:rsidR="00DB1630" w:rsidRPr="7593FF4E">
        <w:rPr>
          <w:rFonts w:eastAsiaTheme="minorEastAsia"/>
          <w:color w:val="000000" w:themeColor="text1"/>
        </w:rPr>
        <w:t>on revenue generation</w:t>
      </w:r>
      <w:r w:rsidR="00660EC4">
        <w:rPr>
          <w:rFonts w:eastAsiaTheme="minorEastAsia"/>
          <w:color w:val="000000" w:themeColor="text1"/>
        </w:rPr>
        <w:t xml:space="preserve"> </w:t>
      </w:r>
      <w:r w:rsidR="003A24EC">
        <w:rPr>
          <w:rFonts w:eastAsiaTheme="minorEastAsia"/>
          <w:color w:val="000000" w:themeColor="text1"/>
        </w:rPr>
        <w:t>and ideas from that process which might be considered as part of the further refinement of the overall strategy</w:t>
      </w:r>
      <w:r w:rsidR="002A014F" w:rsidRPr="7593FF4E">
        <w:rPr>
          <w:rFonts w:eastAsiaTheme="minorEastAsia"/>
          <w:color w:val="000000" w:themeColor="text1"/>
        </w:rPr>
        <w:t>.</w:t>
      </w:r>
    </w:p>
    <w:p w14:paraId="0CDFAA28" w14:textId="35941A23" w:rsidR="00E959D0" w:rsidRPr="000300D8" w:rsidRDefault="00E959D0" w:rsidP="00177A75">
      <w:pPr>
        <w:overflowPunct/>
        <w:autoSpaceDE/>
        <w:autoSpaceDN/>
        <w:adjustRightInd/>
        <w:spacing w:before="240" w:after="120"/>
        <w:jc w:val="both"/>
        <w:textAlignment w:val="auto"/>
        <w:rPr>
          <w:rFonts w:eastAsiaTheme="minorEastAsia"/>
          <w:color w:val="000000"/>
          <w:lang w:val="en-CA"/>
        </w:rPr>
      </w:pPr>
      <w:r w:rsidRPr="008D5D8A">
        <w:rPr>
          <w:b/>
          <w:bCs/>
          <w:sz w:val="26"/>
          <w:szCs w:val="26"/>
        </w:rPr>
        <w:t>2.</w:t>
      </w:r>
      <w:r w:rsidR="002B3827" w:rsidRPr="008D5D8A">
        <w:rPr>
          <w:b/>
          <w:bCs/>
          <w:sz w:val="26"/>
          <w:szCs w:val="26"/>
        </w:rPr>
        <w:tab/>
      </w:r>
      <w:r w:rsidRPr="008D5D8A">
        <w:rPr>
          <w:b/>
          <w:bCs/>
          <w:sz w:val="26"/>
          <w:szCs w:val="26"/>
        </w:rPr>
        <w:t>ITU World Café on Revenue Generation</w:t>
      </w:r>
    </w:p>
    <w:p w14:paraId="7ED50FB1" w14:textId="069925C1" w:rsidR="00E959D0" w:rsidRPr="002B3827" w:rsidRDefault="00E959D0" w:rsidP="00E959D0">
      <w:pPr>
        <w:tabs>
          <w:tab w:val="clear" w:pos="567"/>
          <w:tab w:val="clear" w:pos="1134"/>
          <w:tab w:val="clear" w:pos="1701"/>
          <w:tab w:val="clear" w:pos="2268"/>
          <w:tab w:val="clear" w:pos="2835"/>
        </w:tabs>
        <w:overflowPunct/>
        <w:autoSpaceDE/>
        <w:autoSpaceDN/>
        <w:adjustRightInd/>
        <w:spacing w:before="0" w:after="120"/>
        <w:jc w:val="both"/>
        <w:textAlignment w:val="auto"/>
        <w:rPr>
          <w:b/>
          <w:bCs/>
        </w:rPr>
      </w:pPr>
      <w:r w:rsidRPr="000300D8">
        <w:rPr>
          <w:rFonts w:eastAsiaTheme="minorEastAsia"/>
          <w:color w:val="000000"/>
          <w:szCs w:val="24"/>
        </w:rPr>
        <w:t>The ITU World Café on revenue generation was part of a broader internal brainstorming session held among more than 70 ITU staff from the general secretariat and bureaux on 2 February 2022. Together with a complementary session on reducing expenditures, the World Café aimed to generate ideas that would help towards balancing the ITU regular budget.</w:t>
      </w:r>
      <w:r w:rsidR="00067A8F">
        <w:rPr>
          <w:rFonts w:eastAsiaTheme="minorEastAsia"/>
          <w:color w:val="000000"/>
          <w:szCs w:val="24"/>
        </w:rPr>
        <w:t xml:space="preserve"> O</w:t>
      </w:r>
      <w:r w:rsidRPr="000300D8">
        <w:rPr>
          <w:rFonts w:eastAsiaTheme="minorEastAsia"/>
          <w:color w:val="000000"/>
          <w:szCs w:val="24"/>
        </w:rPr>
        <w:t>utcomes of this session were communicated to Council in document </w:t>
      </w:r>
      <w:hyperlink r:id="rId20" w:history="1">
        <w:r w:rsidRPr="000300D8">
          <w:rPr>
            <w:rFonts w:eastAsiaTheme="minorEastAsia"/>
            <w:color w:val="800080"/>
            <w:szCs w:val="24"/>
            <w:u w:val="single"/>
          </w:rPr>
          <w:t>C22/INF/13</w:t>
        </w:r>
      </w:hyperlink>
      <w:r w:rsidRPr="000300D8">
        <w:rPr>
          <w:rFonts w:eastAsiaTheme="minorEastAsia"/>
          <w:color w:val="000000"/>
          <w:szCs w:val="24"/>
        </w:rPr>
        <w:t>. The main categories are further elaborated below, with some background information and potential areas to be further explored for each.</w:t>
      </w:r>
    </w:p>
    <w:p w14:paraId="4EC7F395" w14:textId="77777777" w:rsidR="00E959D0" w:rsidRPr="000300D8" w:rsidRDefault="00E959D0" w:rsidP="00E959D0">
      <w:pPr>
        <w:tabs>
          <w:tab w:val="clear" w:pos="567"/>
          <w:tab w:val="clear" w:pos="1134"/>
          <w:tab w:val="clear" w:pos="1701"/>
          <w:tab w:val="clear" w:pos="2268"/>
          <w:tab w:val="clear" w:pos="2835"/>
        </w:tabs>
        <w:overflowPunct/>
        <w:autoSpaceDE/>
        <w:autoSpaceDN/>
        <w:adjustRightInd/>
        <w:spacing w:before="0" w:after="120"/>
        <w:jc w:val="both"/>
        <w:textAlignment w:val="auto"/>
        <w:rPr>
          <w:rFonts w:eastAsiaTheme="minorEastAsia"/>
          <w:color w:val="000000"/>
          <w:szCs w:val="24"/>
          <w:lang w:val="en-CA"/>
        </w:rPr>
      </w:pPr>
      <w:r w:rsidRPr="000300D8">
        <w:rPr>
          <w:rFonts w:eastAsiaTheme="minorEastAsia"/>
          <w:b/>
          <w:color w:val="000000"/>
          <w:szCs w:val="24"/>
        </w:rPr>
        <w:t>2.1. Member State Contributions</w:t>
      </w:r>
    </w:p>
    <w:p w14:paraId="67D885C0" w14:textId="4C2E46CD" w:rsidR="00E959D0" w:rsidRDefault="00E959D0" w:rsidP="00E959D0">
      <w:pPr>
        <w:rPr>
          <w:rFonts w:eastAsia="Calibri" w:cs="Calibri"/>
          <w:color w:val="000000" w:themeColor="text1"/>
          <w:lang w:val="en-AU"/>
        </w:rPr>
      </w:pPr>
      <w:r w:rsidRPr="70ECFE09">
        <w:rPr>
          <w:rFonts w:eastAsia="Calibri" w:cs="Calibri"/>
          <w:b/>
          <w:bCs/>
          <w:color w:val="000000" w:themeColor="text1"/>
          <w:lang w:val="en-AU"/>
        </w:rPr>
        <w:t>Recommendation:</w:t>
      </w:r>
      <w:r w:rsidRPr="70ECFE09">
        <w:rPr>
          <w:rFonts w:eastAsia="Calibri" w:cs="Calibri"/>
          <w:color w:val="000000" w:themeColor="text1"/>
          <w:lang w:val="en-AU"/>
        </w:rPr>
        <w:t xml:space="preserve"> The World Café recommended several actions aimed at strengthening Member State unit contributions in the lead up to PP22, including an outreach campaign to Member States</w:t>
      </w:r>
      <w:r w:rsidR="00FD7E21">
        <w:rPr>
          <w:rFonts w:eastAsia="Calibri" w:cs="Calibri"/>
          <w:color w:val="000000" w:themeColor="text1"/>
          <w:lang w:val="en-AU"/>
        </w:rPr>
        <w:t xml:space="preserve"> as well as considering possible changes to the annual contributory unit</w:t>
      </w:r>
      <w:r w:rsidRPr="70ECFE09">
        <w:rPr>
          <w:rFonts w:eastAsia="Calibri" w:cs="Calibri"/>
          <w:color w:val="000000" w:themeColor="text1"/>
          <w:lang w:val="en-AU"/>
        </w:rPr>
        <w:t>.</w:t>
      </w:r>
    </w:p>
    <w:p w14:paraId="789002CB" w14:textId="77777777" w:rsidR="00E959D0" w:rsidRDefault="00E959D0" w:rsidP="00E959D0">
      <w:pPr>
        <w:rPr>
          <w:rFonts w:eastAsia="Calibri" w:cs="Calibri"/>
          <w:color w:val="000000" w:themeColor="text1"/>
          <w:lang w:val="en-AU"/>
        </w:rPr>
      </w:pPr>
      <w:r w:rsidRPr="70ECFE09">
        <w:rPr>
          <w:rFonts w:eastAsia="Calibri" w:cs="Calibri"/>
          <w:b/>
          <w:bCs/>
          <w:color w:val="000000" w:themeColor="text1"/>
          <w:lang w:val="en-AU"/>
        </w:rPr>
        <w:t>Status:</w:t>
      </w:r>
      <w:r w:rsidRPr="70ECFE09">
        <w:rPr>
          <w:rFonts w:eastAsia="Calibri" w:cs="Calibri"/>
          <w:color w:val="000000" w:themeColor="text1"/>
          <w:lang w:val="en-AU"/>
        </w:rPr>
        <w:t xml:space="preserve"> The secretariat implemented an outreach campaign in the lead up to PP22, as recommended. Based on commitments announced at PP22, due to several Members increasing their units, revenues from Member State unit contributions for the 2024-27 period PP22 are projected to increase by 3.6% over the previous four-year period. PP22 confirmed that the annual contributory unit amount of CHF 318,000 remains unchanged, which represents zero nominal growth since 2006. Council noted document C23/43 on choice of class of contribution for defraying the Union’s expenses. </w:t>
      </w:r>
    </w:p>
    <w:p w14:paraId="47C8231A" w14:textId="77777777" w:rsidR="00E959D0" w:rsidRDefault="00E959D0" w:rsidP="00E959D0">
      <w:pPr>
        <w:rPr>
          <w:rFonts w:eastAsia="Calibri" w:cs="Calibri"/>
          <w:color w:val="000000" w:themeColor="text1"/>
          <w:szCs w:val="24"/>
          <w:lang w:val="en-AU"/>
        </w:rPr>
      </w:pPr>
      <w:r>
        <w:rPr>
          <w:rFonts w:eastAsia="Calibri" w:cs="Calibri"/>
          <w:color w:val="000000" w:themeColor="text1"/>
          <w:szCs w:val="24"/>
          <w:lang w:val="en-AU"/>
        </w:rPr>
        <w:t xml:space="preserve">In developing a resource mobilisation strategy, the secretariat has been doing research and country-level consultations to identify risks and opportunities based on changing economic circumstances which could affect Member State unit contributions. The secretariat is also </w:t>
      </w:r>
      <w:r>
        <w:rPr>
          <w:rFonts w:eastAsia="Calibri" w:cs="Calibri"/>
          <w:color w:val="000000" w:themeColor="text1"/>
          <w:szCs w:val="24"/>
          <w:lang w:val="en-AU"/>
        </w:rPr>
        <w:lastRenderedPageBreak/>
        <w:t>working closely with Member States regarding the payment of unit contributions and any outstanding debts.</w:t>
      </w:r>
    </w:p>
    <w:p w14:paraId="66365700" w14:textId="124D314A" w:rsidR="00D82A4C" w:rsidRPr="008D5D8A" w:rsidRDefault="00D82A4C" w:rsidP="7593FF4E">
      <w:pPr>
        <w:rPr>
          <w:rFonts w:eastAsia="Calibri" w:cs="Calibri"/>
        </w:rPr>
      </w:pPr>
      <w:r w:rsidRPr="7593FF4E">
        <w:rPr>
          <w:rFonts w:eastAsia="Calibri" w:cs="Calibri"/>
          <w:b/>
          <w:bCs/>
          <w:color w:val="000000" w:themeColor="text1"/>
          <w:lang w:val="en-AU"/>
        </w:rPr>
        <w:t>Opportunity to Explore</w:t>
      </w:r>
      <w:r w:rsidRPr="7593FF4E">
        <w:rPr>
          <w:rFonts w:eastAsia="Calibri" w:cs="Calibri"/>
          <w:color w:val="000000" w:themeColor="text1"/>
          <w:lang w:val="en-AU"/>
        </w:rPr>
        <w:t>: Member States are encouraged to consider maintaining</w:t>
      </w:r>
      <w:r w:rsidR="00AF304D" w:rsidRPr="7593FF4E">
        <w:rPr>
          <w:rFonts w:eastAsia="Calibri" w:cs="Calibri"/>
          <w:color w:val="000000" w:themeColor="text1"/>
          <w:lang w:val="en-AU"/>
        </w:rPr>
        <w:t>,</w:t>
      </w:r>
      <w:r w:rsidRPr="7593FF4E">
        <w:rPr>
          <w:rFonts w:eastAsia="Calibri" w:cs="Calibri"/>
          <w:color w:val="000000" w:themeColor="text1"/>
          <w:lang w:val="en-AU"/>
        </w:rPr>
        <w:t xml:space="preserve"> and if possible</w:t>
      </w:r>
      <w:r w:rsidR="00AF304D" w:rsidRPr="7593FF4E">
        <w:rPr>
          <w:rFonts w:eastAsia="Calibri" w:cs="Calibri"/>
          <w:color w:val="000000" w:themeColor="text1"/>
          <w:lang w:val="en-AU"/>
        </w:rPr>
        <w:t>,</w:t>
      </w:r>
      <w:r w:rsidRPr="7593FF4E">
        <w:rPr>
          <w:rFonts w:eastAsia="Calibri" w:cs="Calibri"/>
          <w:color w:val="000000" w:themeColor="text1"/>
          <w:lang w:val="en-AU"/>
        </w:rPr>
        <w:t xml:space="preserve"> increasing their unit contributions.</w:t>
      </w:r>
      <w:r w:rsidR="00446111" w:rsidRPr="7593FF4E">
        <w:rPr>
          <w:rFonts w:eastAsia="Calibri" w:cs="Calibri"/>
          <w:color w:val="000000" w:themeColor="text1"/>
          <w:lang w:val="en-AU"/>
        </w:rPr>
        <w:t xml:space="preserve"> </w:t>
      </w:r>
      <w:r w:rsidR="009B5B8E">
        <w:rPr>
          <w:rFonts w:eastAsia="Calibri" w:cs="Calibri"/>
          <w:color w:val="000000" w:themeColor="text1"/>
          <w:lang w:val="en-AU"/>
        </w:rPr>
        <w:t xml:space="preserve">Member States may also wish to review the annual contributory unit of 318,000 in the lead up to the next Plenipotentiary Conference. </w:t>
      </w:r>
      <w:r w:rsidR="00446111" w:rsidRPr="7593FF4E">
        <w:rPr>
          <w:rFonts w:eastAsia="Calibri" w:cs="Calibri"/>
          <w:color w:val="000000" w:themeColor="text1"/>
          <w:lang w:val="en-AU"/>
        </w:rPr>
        <w:t xml:space="preserve">The Secretariat will continue to engage and assist Member States </w:t>
      </w:r>
      <w:r w:rsidR="00A36017" w:rsidRPr="7593FF4E">
        <w:rPr>
          <w:rFonts w:eastAsia="Calibri" w:cs="Calibri"/>
          <w:color w:val="000000" w:themeColor="text1"/>
          <w:lang w:val="en-AU"/>
        </w:rPr>
        <w:t>regarding payment of outstanding debts</w:t>
      </w:r>
      <w:r w:rsidR="00A36017" w:rsidRPr="008D5D8A">
        <w:rPr>
          <w:rFonts w:eastAsia="Calibri" w:cs="Calibri"/>
          <w:lang w:val="en-AU"/>
        </w:rPr>
        <w:t>.</w:t>
      </w:r>
      <w:r w:rsidR="00183AC7" w:rsidRPr="008D5D8A">
        <w:rPr>
          <w:rFonts w:eastAsia="Calibri" w:cs="Calibri"/>
          <w:lang w:val="en-AU"/>
        </w:rPr>
        <w:t xml:space="preserve"> </w:t>
      </w:r>
    </w:p>
    <w:p w14:paraId="26DAE7B2" w14:textId="108C39CD" w:rsidR="00E959D0" w:rsidRPr="000300D8" w:rsidRDefault="00E959D0" w:rsidP="00E959D0">
      <w:pPr>
        <w:rPr>
          <w:rFonts w:eastAsiaTheme="minorEastAsia"/>
          <w:color w:val="000000"/>
          <w:szCs w:val="24"/>
          <w:lang w:val="en-CA"/>
        </w:rPr>
      </w:pPr>
      <w:r w:rsidRPr="000300D8">
        <w:rPr>
          <w:rFonts w:eastAsiaTheme="minorEastAsia"/>
          <w:b/>
          <w:color w:val="000000"/>
          <w:szCs w:val="24"/>
        </w:rPr>
        <w:t>2.2. Cost Recovery</w:t>
      </w:r>
      <w:r w:rsidR="00C71925">
        <w:rPr>
          <w:rFonts w:eastAsiaTheme="minorEastAsia"/>
          <w:b/>
          <w:color w:val="000000"/>
          <w:szCs w:val="24"/>
        </w:rPr>
        <w:t xml:space="preserve"> and Revenue Generation</w:t>
      </w:r>
    </w:p>
    <w:p w14:paraId="494C6744" w14:textId="5E6526E9" w:rsidR="00E959D0" w:rsidRPr="00BC090D" w:rsidRDefault="00E959D0" w:rsidP="005D4971">
      <w:r w:rsidRPr="7593FF4E">
        <w:rPr>
          <w:b/>
          <w:bCs/>
        </w:rPr>
        <w:t>Recommendation:</w:t>
      </w:r>
      <w:r w:rsidRPr="7593FF4E">
        <w:rPr>
          <w:rFonts w:eastAsiaTheme="minorEastAsia"/>
          <w:b/>
          <w:bCs/>
          <w:color w:val="000000" w:themeColor="text1"/>
        </w:rPr>
        <w:t> </w:t>
      </w:r>
      <w:r w:rsidRPr="7593FF4E">
        <w:rPr>
          <w:b/>
          <w:bCs/>
        </w:rPr>
        <w:t xml:space="preserve"> </w:t>
      </w:r>
      <w:r>
        <w:t xml:space="preserve">The World Café recommended that sources of cost recovery be reviewed to ensure that ITU is covering its costs as the market evolves. The main sources are satellite filings and publications. </w:t>
      </w:r>
    </w:p>
    <w:p w14:paraId="132273E6" w14:textId="77777777" w:rsidR="00E959D0" w:rsidRPr="000300D8" w:rsidRDefault="00E959D0" w:rsidP="7593FF4E">
      <w:pPr>
        <w:tabs>
          <w:tab w:val="clear" w:pos="567"/>
          <w:tab w:val="clear" w:pos="1134"/>
          <w:tab w:val="clear" w:pos="1701"/>
          <w:tab w:val="clear" w:pos="2268"/>
          <w:tab w:val="clear" w:pos="2835"/>
        </w:tabs>
        <w:overflowPunct/>
        <w:autoSpaceDE/>
        <w:autoSpaceDN/>
        <w:adjustRightInd/>
        <w:textAlignment w:val="auto"/>
        <w:rPr>
          <w:rFonts w:eastAsiaTheme="minorEastAsia"/>
          <w:color w:val="000000"/>
          <w:lang w:val="en-CA"/>
        </w:rPr>
      </w:pPr>
      <w:r w:rsidRPr="7593FF4E">
        <w:rPr>
          <w:rFonts w:eastAsiaTheme="minorEastAsia"/>
          <w:b/>
          <w:bCs/>
          <w:i/>
          <w:iCs/>
          <w:color w:val="000000" w:themeColor="text1"/>
          <w:lang w:val="en-AU"/>
        </w:rPr>
        <w:t>Satellite Filings:</w:t>
      </w:r>
      <w:r w:rsidRPr="7593FF4E">
        <w:rPr>
          <w:rFonts w:eastAsiaTheme="minorEastAsia"/>
          <w:color w:val="000000" w:themeColor="text1"/>
          <w:lang w:val="en-AU"/>
        </w:rPr>
        <w:t> Council 23 established an Expert Group on Decision 482 (see Decision 632) to review this Decision on several items. An interim report containing recommendations for the possible revision of Decision 482 will be submitted to the 2024 session of the ITU Council and the final report to the 2025 session of the ITU Council. The first meeting of this group is planned during the January-February 2024 cluster of meetings of Council groups. </w:t>
      </w:r>
    </w:p>
    <w:p w14:paraId="0E4645C3" w14:textId="12D2C918" w:rsidR="00F44907" w:rsidRDefault="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themeColor="text1"/>
          <w:lang w:val="en-AU"/>
        </w:rPr>
      </w:pPr>
      <w:r w:rsidRPr="70ECFE09">
        <w:rPr>
          <w:rFonts w:eastAsiaTheme="minorEastAsia"/>
          <w:b/>
          <w:bCs/>
          <w:i/>
          <w:iCs/>
          <w:color w:val="000000" w:themeColor="text1"/>
        </w:rPr>
        <w:t>Publications: </w:t>
      </w:r>
      <w:r w:rsidR="00356E02">
        <w:rPr>
          <w:rFonts w:eastAsiaTheme="minorEastAsia"/>
          <w:color w:val="000000" w:themeColor="text1"/>
        </w:rPr>
        <w:t xml:space="preserve">PP </w:t>
      </w:r>
      <w:r w:rsidRPr="70ECFE09">
        <w:rPr>
          <w:rFonts w:eastAsiaTheme="minorEastAsia"/>
          <w:color w:val="000000" w:themeColor="text1"/>
          <w:lang w:val="en-AU"/>
        </w:rPr>
        <w:t>Resolution 91 (Rev. Guadalajara, 2010) calls for cost recovery for publications. The resolution also states that</w:t>
      </w:r>
      <w:r w:rsidRPr="70ECFE09">
        <w:rPr>
          <w:rFonts w:eastAsiaTheme="minorEastAsia"/>
          <w:color w:val="000000" w:themeColor="text1"/>
          <w:sz w:val="22"/>
          <w:szCs w:val="22"/>
          <w:lang w:val="en-AU"/>
        </w:rPr>
        <w:t> </w:t>
      </w:r>
      <w:r w:rsidRPr="70ECFE09">
        <w:rPr>
          <w:rFonts w:eastAsiaTheme="minorEastAsia"/>
          <w:color w:val="000000" w:themeColor="text1"/>
          <w:lang w:val="en-AU"/>
        </w:rPr>
        <w:t>“cost-recovery </w:t>
      </w:r>
      <w:r w:rsidRPr="70ECFE09">
        <w:rPr>
          <w:rFonts w:eastAsiaTheme="minorEastAsia"/>
          <w:b/>
          <w:bCs/>
          <w:i/>
          <w:iCs/>
          <w:color w:val="000000" w:themeColor="text1"/>
        </w:rPr>
        <w:t>...</w:t>
      </w:r>
      <w:r w:rsidRPr="70ECFE09">
        <w:rPr>
          <w:rFonts w:eastAsiaTheme="minorEastAsia"/>
          <w:color w:val="000000" w:themeColor="text1"/>
          <w:lang w:val="en-AU"/>
        </w:rPr>
        <w:t xml:space="preserve">should not be considered as generating profit from members”. PP Resolution 66 </w:t>
      </w:r>
      <w:r w:rsidR="00DD72FF" w:rsidRPr="70ECFE09">
        <w:rPr>
          <w:rFonts w:eastAsiaTheme="minorEastAsia"/>
          <w:color w:val="000000" w:themeColor="text1"/>
          <w:lang w:val="en-AU"/>
        </w:rPr>
        <w:t>(Rev. Guadalajara, 2010)</w:t>
      </w:r>
      <w:r w:rsidR="00DD72FF">
        <w:rPr>
          <w:rFonts w:eastAsiaTheme="minorEastAsia"/>
          <w:color w:val="000000" w:themeColor="text1"/>
          <w:lang w:val="en-AU"/>
        </w:rPr>
        <w:t xml:space="preserve"> </w:t>
      </w:r>
      <w:r w:rsidRPr="70ECFE09">
        <w:rPr>
          <w:rFonts w:eastAsiaTheme="minorEastAsia"/>
          <w:color w:val="000000" w:themeColor="text1"/>
          <w:lang w:val="en-AU"/>
        </w:rPr>
        <w:t xml:space="preserve">cites “the need to maintain a coherent financing and pricing policy which reflects the costs of production, marketing and distribution”. PP Resolution 66 adds “that a two-tier pricing policy be established whereby Member States, Sector Members and Associates pay a price based on cost recovery, whereas all others, </w:t>
      </w:r>
      <w:proofErr w:type="gramStart"/>
      <w:r w:rsidRPr="70ECFE09">
        <w:rPr>
          <w:rFonts w:eastAsiaTheme="minorEastAsia"/>
          <w:color w:val="000000" w:themeColor="text1"/>
          <w:lang w:val="en-AU"/>
        </w:rPr>
        <w:t>i.e.</w:t>
      </w:r>
      <w:proofErr w:type="gramEnd"/>
      <w:r w:rsidRPr="70ECFE09">
        <w:rPr>
          <w:rFonts w:eastAsiaTheme="minorEastAsia"/>
          <w:color w:val="000000" w:themeColor="text1"/>
          <w:lang w:val="en-AU"/>
        </w:rPr>
        <w:t xml:space="preserve"> non-members, should pay a market price”.</w:t>
      </w:r>
      <w:r w:rsidR="00177A75">
        <w:rPr>
          <w:rFonts w:eastAsiaTheme="minorEastAsia"/>
          <w:color w:val="000000" w:themeColor="text1"/>
          <w:lang w:val="en-AU"/>
        </w:rPr>
        <w:t xml:space="preserve"> </w:t>
      </w:r>
      <w:r w:rsidRPr="70ECFE09">
        <w:rPr>
          <w:rFonts w:eastAsiaTheme="minorEastAsia"/>
          <w:color w:val="000000" w:themeColor="text1"/>
          <w:lang w:val="en-AU"/>
        </w:rPr>
        <w:t>On the other hand, PP Decision 12 (Rev. Busan, 2014) instructs the secretariat to offer free online access to many ITU publications. ITU produces an average of 180 publications a year, more than 90% of </w:t>
      </w:r>
      <w:r w:rsidRPr="70ECFE09">
        <w:rPr>
          <w:rFonts w:eastAsiaTheme="minorEastAsia"/>
          <w:color w:val="000000" w:themeColor="text1"/>
        </w:rPr>
        <w:t>which</w:t>
      </w:r>
      <w:r w:rsidRPr="70ECFE09">
        <w:rPr>
          <w:rFonts w:eastAsiaTheme="minorEastAsia"/>
          <w:b/>
          <w:bCs/>
          <w:i/>
          <w:iCs/>
          <w:color w:val="000000" w:themeColor="text1"/>
        </w:rPr>
        <w:t> </w:t>
      </w:r>
      <w:r w:rsidRPr="70ECFE09">
        <w:rPr>
          <w:rFonts w:eastAsiaTheme="minorEastAsia"/>
          <w:color w:val="000000" w:themeColor="text1"/>
          <w:lang w:val="en-AU"/>
        </w:rPr>
        <w:t xml:space="preserve">are available for free in digital formats. </w:t>
      </w:r>
    </w:p>
    <w:p w14:paraId="3C525C6B" w14:textId="35A0B4AC" w:rsidR="00E959D0" w:rsidRPr="000300D8" w:rsidRDefault="00E959D0" w:rsidP="7593FF4E">
      <w:pPr>
        <w:tabs>
          <w:tab w:val="clear" w:pos="567"/>
          <w:tab w:val="clear" w:pos="1134"/>
          <w:tab w:val="clear" w:pos="1701"/>
          <w:tab w:val="clear" w:pos="2268"/>
          <w:tab w:val="clear" w:pos="2835"/>
        </w:tabs>
        <w:overflowPunct/>
        <w:autoSpaceDE/>
        <w:autoSpaceDN/>
        <w:adjustRightInd/>
        <w:textAlignment w:val="auto"/>
        <w:rPr>
          <w:rFonts w:eastAsiaTheme="minorEastAsia"/>
          <w:color w:val="000000"/>
          <w:lang w:val="en-CA"/>
        </w:rPr>
      </w:pPr>
      <w:r w:rsidRPr="7593FF4E">
        <w:rPr>
          <w:rFonts w:eastAsiaTheme="minorEastAsia"/>
          <w:b/>
          <w:bCs/>
          <w:color w:val="000000" w:themeColor="text1"/>
          <w:lang w:val="en-AU"/>
        </w:rPr>
        <w:t>Opportunity to Explore:</w:t>
      </w:r>
      <w:r w:rsidRPr="7593FF4E">
        <w:rPr>
          <w:rFonts w:eastAsiaTheme="minorEastAsia"/>
          <w:color w:val="000000" w:themeColor="text1"/>
          <w:lang w:val="en-AU"/>
        </w:rPr>
        <w:t xml:space="preserve"> CWG-FHR </w:t>
      </w:r>
      <w:r w:rsidR="001D5192">
        <w:rPr>
          <w:rFonts w:eastAsiaTheme="minorEastAsia"/>
          <w:color w:val="000000" w:themeColor="text1"/>
          <w:lang w:val="en-AU"/>
        </w:rPr>
        <w:t>may wish to</w:t>
      </w:r>
      <w:r w:rsidRPr="7593FF4E">
        <w:rPr>
          <w:rFonts w:eastAsiaTheme="minorEastAsia"/>
          <w:color w:val="000000" w:themeColor="text1"/>
          <w:lang w:val="en-AU"/>
        </w:rPr>
        <w:t xml:space="preserve"> </w:t>
      </w:r>
      <w:r w:rsidR="001D5192">
        <w:rPr>
          <w:rFonts w:eastAsiaTheme="minorEastAsia"/>
          <w:color w:val="000000" w:themeColor="text1"/>
          <w:lang w:val="en-AU"/>
        </w:rPr>
        <w:t xml:space="preserve">consider </w:t>
      </w:r>
      <w:r w:rsidRPr="7593FF4E">
        <w:rPr>
          <w:rFonts w:eastAsiaTheme="minorEastAsia"/>
          <w:color w:val="000000" w:themeColor="text1"/>
          <w:lang w:val="en-AU"/>
        </w:rPr>
        <w:t xml:space="preserve">how </w:t>
      </w:r>
      <w:r w:rsidR="001D5192">
        <w:rPr>
          <w:rFonts w:eastAsiaTheme="minorEastAsia"/>
          <w:color w:val="000000" w:themeColor="text1"/>
          <w:lang w:val="en-AU"/>
        </w:rPr>
        <w:t xml:space="preserve">the </w:t>
      </w:r>
      <w:r w:rsidRPr="7593FF4E">
        <w:rPr>
          <w:rFonts w:eastAsiaTheme="minorEastAsia"/>
          <w:color w:val="000000" w:themeColor="text1"/>
          <w:lang w:val="en-AU"/>
        </w:rPr>
        <w:t>guidance in PP Resolutions 91 and 66 vis-a-vis PP Decision 12</w:t>
      </w:r>
      <w:r w:rsidR="001D5192">
        <w:rPr>
          <w:rFonts w:eastAsiaTheme="minorEastAsia"/>
          <w:color w:val="000000" w:themeColor="text1"/>
          <w:lang w:val="en-AU"/>
        </w:rPr>
        <w:t xml:space="preserve"> might be updated</w:t>
      </w:r>
      <w:r w:rsidR="00DD0029" w:rsidRPr="7593FF4E">
        <w:rPr>
          <w:rFonts w:eastAsiaTheme="minorEastAsia"/>
          <w:color w:val="000000" w:themeColor="text1"/>
          <w:lang w:val="en-AU"/>
        </w:rPr>
        <w:t xml:space="preserve">, </w:t>
      </w:r>
      <w:r w:rsidR="001D5192">
        <w:rPr>
          <w:rFonts w:eastAsiaTheme="minorEastAsia"/>
          <w:color w:val="000000" w:themeColor="text1"/>
          <w:lang w:val="en-AU"/>
        </w:rPr>
        <w:t xml:space="preserve">taking into consideration the </w:t>
      </w:r>
      <w:r w:rsidR="00DD0029" w:rsidRPr="7593FF4E">
        <w:rPr>
          <w:rFonts w:eastAsiaTheme="minorEastAsia"/>
          <w:color w:val="000000" w:themeColor="text1"/>
          <w:lang w:val="en-AU"/>
        </w:rPr>
        <w:t>shift from physical to digital formats</w:t>
      </w:r>
      <w:r w:rsidRPr="7593FF4E">
        <w:rPr>
          <w:rFonts w:eastAsiaTheme="minorEastAsia"/>
          <w:color w:val="000000" w:themeColor="text1"/>
          <w:lang w:val="en-AU"/>
        </w:rPr>
        <w:t xml:space="preserve">. </w:t>
      </w:r>
    </w:p>
    <w:p w14:paraId="3EB03ADB" w14:textId="77777777" w:rsidR="00E959D0" w:rsidRPr="000300D8" w:rsidRDefault="00E959D0" w:rsidP="00177A75">
      <w:pPr>
        <w:tabs>
          <w:tab w:val="clear" w:pos="567"/>
          <w:tab w:val="clear" w:pos="1134"/>
          <w:tab w:val="clear" w:pos="1701"/>
          <w:tab w:val="clear" w:pos="2268"/>
          <w:tab w:val="clear" w:pos="2835"/>
        </w:tabs>
        <w:overflowPunct/>
        <w:autoSpaceDE/>
        <w:autoSpaceDN/>
        <w:adjustRightInd/>
        <w:spacing w:before="240" w:after="120"/>
        <w:textAlignment w:val="auto"/>
        <w:rPr>
          <w:rFonts w:eastAsiaTheme="minorEastAsia"/>
          <w:color w:val="000000"/>
          <w:szCs w:val="24"/>
          <w:lang w:val="en-CA"/>
        </w:rPr>
      </w:pPr>
      <w:r w:rsidRPr="000300D8">
        <w:rPr>
          <w:rFonts w:eastAsiaTheme="minorEastAsia"/>
          <w:b/>
          <w:color w:val="000000"/>
          <w:szCs w:val="24"/>
        </w:rPr>
        <w:t>2.3. Sector Membership</w:t>
      </w:r>
    </w:p>
    <w:p w14:paraId="09CEB010" w14:textId="77777777" w:rsidR="00E959D0" w:rsidRPr="000300D8" w:rsidRDefault="00E959D0" w:rsidP="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szCs w:val="24"/>
          <w:lang w:val="en-CA"/>
        </w:rPr>
      </w:pPr>
      <w:r w:rsidRPr="000300D8">
        <w:rPr>
          <w:rFonts w:eastAsiaTheme="minorEastAsia"/>
          <w:b/>
          <w:bCs/>
          <w:color w:val="000000"/>
          <w:szCs w:val="24"/>
          <w:lang w:val="en-AU"/>
        </w:rPr>
        <w:t>Recommendation:</w:t>
      </w:r>
      <w:r w:rsidRPr="000300D8">
        <w:rPr>
          <w:rFonts w:eastAsiaTheme="minorEastAsia"/>
          <w:color w:val="000000"/>
          <w:szCs w:val="24"/>
          <w:lang w:val="en-AU"/>
        </w:rPr>
        <w:t> The World Café recommended that various ecosystems be analysed to identify potential new industry members. This work is underway and being used to inform and focus outreach efforts. More details will be provided to the next CWG-FHR.</w:t>
      </w:r>
    </w:p>
    <w:p w14:paraId="59451ABF" w14:textId="639DD140" w:rsidR="00E959D0" w:rsidRPr="000300D8" w:rsidRDefault="00E959D0" w:rsidP="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lang w:val="en-AU"/>
        </w:rPr>
      </w:pPr>
      <w:r w:rsidRPr="72E734BC">
        <w:rPr>
          <w:rFonts w:eastAsiaTheme="minorEastAsia"/>
          <w:b/>
          <w:bCs/>
          <w:color w:val="000000" w:themeColor="text1"/>
          <w:lang w:val="en-AU"/>
        </w:rPr>
        <w:t>Status:</w:t>
      </w:r>
      <w:r w:rsidRPr="72E734BC">
        <w:rPr>
          <w:rFonts w:eastAsiaTheme="minorEastAsia"/>
          <w:color w:val="000000" w:themeColor="text1"/>
          <w:lang w:val="en-AU"/>
        </w:rPr>
        <w:t xml:space="preserve"> Total ITU membership continues to grow year over year and is now approaching 1,000 entities and some 1,300 memberships across the 3 sectors. This is the highest level of ITU membership ever. Despite this continued growth in numbers, revenues from ITU sector membership have been stable. This is because a significant portion of the growth has been among lower fee categories of participation. </w:t>
      </w:r>
    </w:p>
    <w:p w14:paraId="4B1FEF6C" w14:textId="74F30EDF" w:rsidR="00E959D0" w:rsidRDefault="00E959D0" w:rsidP="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themeColor="text1"/>
          <w:lang w:val="en-AU"/>
        </w:rPr>
      </w:pPr>
      <w:r w:rsidRPr="70ECFE09">
        <w:rPr>
          <w:rFonts w:eastAsiaTheme="minorEastAsia"/>
          <w:b/>
          <w:bCs/>
          <w:color w:val="000000" w:themeColor="text1"/>
          <w:lang w:val="en-AU"/>
        </w:rPr>
        <w:t>Opportunities to explore:</w:t>
      </w:r>
      <w:r w:rsidRPr="70ECFE09">
        <w:rPr>
          <w:rFonts w:eastAsiaTheme="minorEastAsia"/>
          <w:color w:val="000000" w:themeColor="text1"/>
          <w:lang w:val="en-AU"/>
        </w:rPr>
        <w:t xml:space="preserve"> CWG-FHR could review </w:t>
      </w:r>
      <w:r w:rsidR="008804F4">
        <w:rPr>
          <w:rFonts w:eastAsiaTheme="minorEastAsia"/>
          <w:color w:val="000000" w:themeColor="text1"/>
          <w:lang w:val="en-AU"/>
        </w:rPr>
        <w:t xml:space="preserve">potential </w:t>
      </w:r>
      <w:r w:rsidRPr="70ECFE09">
        <w:rPr>
          <w:rFonts w:eastAsiaTheme="minorEastAsia"/>
          <w:color w:val="000000" w:themeColor="text1"/>
          <w:lang w:val="en-AU"/>
        </w:rPr>
        <w:t>Sector Membership</w:t>
      </w:r>
      <w:r w:rsidR="008804F4">
        <w:rPr>
          <w:rFonts w:eastAsiaTheme="minorEastAsia"/>
          <w:color w:val="000000" w:themeColor="text1"/>
          <w:lang w:val="en-AU"/>
        </w:rPr>
        <w:t xml:space="preserve"> add-on</w:t>
      </w:r>
      <w:r w:rsidRPr="70ECFE09">
        <w:rPr>
          <w:rFonts w:eastAsiaTheme="minorEastAsia"/>
          <w:color w:val="000000" w:themeColor="text1"/>
          <w:lang w:val="en-AU"/>
        </w:rPr>
        <w:t xml:space="preserve"> benefits </w:t>
      </w:r>
      <w:r w:rsidR="00E14A0E">
        <w:rPr>
          <w:rFonts w:eastAsiaTheme="minorEastAsia"/>
          <w:color w:val="000000" w:themeColor="text1"/>
          <w:lang w:val="en-AU"/>
        </w:rPr>
        <w:t xml:space="preserve">to </w:t>
      </w:r>
      <w:r w:rsidRPr="70ECFE09">
        <w:rPr>
          <w:rFonts w:eastAsiaTheme="minorEastAsia"/>
          <w:color w:val="000000" w:themeColor="text1"/>
          <w:lang w:val="en-AU"/>
        </w:rPr>
        <w:t>enhanc</w:t>
      </w:r>
      <w:r w:rsidR="00E14A0E">
        <w:rPr>
          <w:rFonts w:eastAsiaTheme="minorEastAsia"/>
          <w:color w:val="000000" w:themeColor="text1"/>
          <w:lang w:val="en-AU"/>
        </w:rPr>
        <w:t>e</w:t>
      </w:r>
      <w:r w:rsidRPr="70ECFE09">
        <w:rPr>
          <w:rFonts w:eastAsiaTheme="minorEastAsia"/>
          <w:color w:val="000000" w:themeColor="text1"/>
          <w:lang w:val="en-AU"/>
        </w:rPr>
        <w:t xml:space="preserve"> the value of membership and the potential for increasing revenues. </w:t>
      </w:r>
    </w:p>
    <w:p w14:paraId="2330DA81" w14:textId="1D17ABF8" w:rsidR="00E959D0" w:rsidRPr="000300D8" w:rsidRDefault="00E959D0" w:rsidP="008D5D8A">
      <w:pPr>
        <w:keepNext/>
        <w:tabs>
          <w:tab w:val="clear" w:pos="567"/>
          <w:tab w:val="clear" w:pos="1134"/>
          <w:tab w:val="clear" w:pos="1701"/>
          <w:tab w:val="clear" w:pos="2268"/>
          <w:tab w:val="clear" w:pos="2835"/>
        </w:tabs>
        <w:overflowPunct/>
        <w:autoSpaceDE/>
        <w:autoSpaceDN/>
        <w:adjustRightInd/>
        <w:spacing w:before="240" w:after="120"/>
        <w:textAlignment w:val="auto"/>
        <w:rPr>
          <w:rFonts w:eastAsiaTheme="minorEastAsia"/>
          <w:color w:val="000000"/>
          <w:szCs w:val="24"/>
          <w:lang w:val="en-CA"/>
        </w:rPr>
      </w:pPr>
      <w:r w:rsidRPr="000300D8">
        <w:rPr>
          <w:rFonts w:eastAsiaTheme="minorEastAsia"/>
          <w:b/>
          <w:color w:val="000000"/>
          <w:szCs w:val="24"/>
        </w:rPr>
        <w:lastRenderedPageBreak/>
        <w:t>2.4</w:t>
      </w:r>
      <w:r w:rsidR="00541EAA">
        <w:rPr>
          <w:rFonts w:eastAsiaTheme="minorEastAsia"/>
          <w:b/>
          <w:color w:val="000000"/>
          <w:szCs w:val="24"/>
        </w:rPr>
        <w:t>.</w:t>
      </w:r>
      <w:r w:rsidRPr="000300D8">
        <w:rPr>
          <w:rFonts w:eastAsiaTheme="minorEastAsia"/>
          <w:b/>
          <w:color w:val="000000"/>
          <w:szCs w:val="24"/>
        </w:rPr>
        <w:t xml:space="preserve"> Voluntary Contributions</w:t>
      </w:r>
    </w:p>
    <w:p w14:paraId="243B394B" w14:textId="77777777" w:rsidR="00E959D0" w:rsidRDefault="00E959D0" w:rsidP="00E959D0">
      <w:pPr>
        <w:rPr>
          <w:rFonts w:eastAsia="Calibri" w:cs="Calibri"/>
          <w:color w:val="000000" w:themeColor="text1"/>
          <w:lang w:val="en-AU"/>
        </w:rPr>
      </w:pPr>
      <w:r w:rsidRPr="00BC090D">
        <w:rPr>
          <w:rFonts w:eastAsia="Calibri" w:cs="Calibri"/>
          <w:b/>
          <w:bCs/>
          <w:color w:val="000000" w:themeColor="text1"/>
          <w:lang w:val="en-AU"/>
        </w:rPr>
        <w:t>Recommendation</w:t>
      </w:r>
      <w:r>
        <w:rPr>
          <w:rFonts w:eastAsia="Calibri" w:cs="Calibri"/>
          <w:b/>
          <w:bCs/>
          <w:color w:val="000000" w:themeColor="text1"/>
          <w:lang w:val="en-AU"/>
        </w:rPr>
        <w:t>s</w:t>
      </w:r>
      <w:r w:rsidRPr="00BC090D">
        <w:rPr>
          <w:rFonts w:eastAsia="Calibri" w:cs="Calibri"/>
          <w:b/>
          <w:bCs/>
          <w:color w:val="000000" w:themeColor="text1"/>
          <w:lang w:val="en-AU"/>
        </w:rPr>
        <w:t xml:space="preserve">: </w:t>
      </w:r>
      <w:r>
        <w:rPr>
          <w:rFonts w:eastAsia="Calibri" w:cs="Calibri"/>
          <w:color w:val="000000" w:themeColor="text1"/>
          <w:lang w:val="en-AU"/>
        </w:rPr>
        <w:t xml:space="preserve">The World Café recommended that ITU seek more voluntary contributions and target donors with compelling projects relevant to their priorities. </w:t>
      </w:r>
    </w:p>
    <w:p w14:paraId="0F11AF17" w14:textId="77777777" w:rsidR="00E959D0" w:rsidRPr="00BC090D" w:rsidRDefault="00E959D0" w:rsidP="00E959D0">
      <w:pPr>
        <w:rPr>
          <w:rFonts w:eastAsia="Calibri" w:cs="Calibri"/>
          <w:color w:val="000000" w:themeColor="text1"/>
          <w:lang w:val="en-AU"/>
        </w:rPr>
      </w:pPr>
      <w:r w:rsidRPr="70ECFE09">
        <w:rPr>
          <w:rFonts w:eastAsia="Calibri" w:cs="Calibri"/>
          <w:b/>
          <w:bCs/>
          <w:color w:val="000000" w:themeColor="text1"/>
          <w:lang w:val="en-AU"/>
        </w:rPr>
        <w:t>Status:</w:t>
      </w:r>
      <w:r w:rsidRPr="70ECFE09">
        <w:rPr>
          <w:rFonts w:eastAsia="Calibri" w:cs="Calibri"/>
          <w:color w:val="000000" w:themeColor="text1"/>
          <w:lang w:val="en-AU"/>
        </w:rPr>
        <w:t xml:space="preserve"> Since then, Member States gave the secretariat further guidance through PP22 Dec 5, which instructed the Secretary-General “to develop an ITU-wide financial resource mobilization strategy to address the need for additional funding to meet</w:t>
      </w:r>
      <w:r w:rsidRPr="70ECFE09">
        <w:rPr>
          <w:rFonts w:eastAsia="Calibri" w:cs="Calibri"/>
          <w:b/>
          <w:bCs/>
          <w:i/>
          <w:iCs/>
          <w:color w:val="000000" w:themeColor="text1"/>
          <w:lang w:val="en-AU"/>
        </w:rPr>
        <w:t xml:space="preserve"> </w:t>
      </w:r>
      <w:r w:rsidRPr="70ECFE09">
        <w:rPr>
          <w:rFonts w:eastAsia="Calibri" w:cs="Calibri"/>
          <w:i/>
          <w:iCs/>
          <w:color w:val="000000" w:themeColor="text1"/>
          <w:lang w:val="en-AU"/>
        </w:rPr>
        <w:t>organisational priorities</w:t>
      </w:r>
      <w:r w:rsidRPr="70ECFE09">
        <w:rPr>
          <w:rFonts w:eastAsia="Calibri" w:cs="Calibri"/>
          <w:color w:val="000000" w:themeColor="text1"/>
          <w:lang w:val="en-AU"/>
        </w:rPr>
        <w:t xml:space="preserve"> and present it to the Council for review and guidance on its implementation.”</w:t>
      </w:r>
    </w:p>
    <w:p w14:paraId="3476CBB7" w14:textId="77777777" w:rsidR="00E959D0" w:rsidRDefault="00E959D0" w:rsidP="00E959D0">
      <w:pPr>
        <w:rPr>
          <w:rFonts w:eastAsia="Calibri" w:cs="Calibri"/>
          <w:color w:val="000000" w:themeColor="text1"/>
          <w:lang w:val="en-AU"/>
        </w:rPr>
      </w:pPr>
      <w:r w:rsidRPr="70ECFE09">
        <w:rPr>
          <w:rFonts w:eastAsia="Calibri" w:cs="Calibri"/>
          <w:color w:val="000000" w:themeColor="text1"/>
          <w:lang w:val="en-AU"/>
        </w:rPr>
        <w:t xml:space="preserve">Currently, ITU is at the initial stage of setting up a framework for resource mobilization. Pre-requisites include establishing robust and modern ITU-wide processes, IT systems and policy for partner outreach and coordination, as well as building capacity not only to attract and secure funds, but also for implementation and donor reporting. </w:t>
      </w:r>
    </w:p>
    <w:p w14:paraId="4C71F476" w14:textId="67D56359" w:rsidR="00E959D0" w:rsidRDefault="00E959D0" w:rsidP="7593FF4E">
      <w:pPr>
        <w:rPr>
          <w:rFonts w:eastAsia="Calibri" w:cs="Calibri"/>
          <w:color w:val="000000" w:themeColor="text1"/>
          <w:lang w:val="en-AU"/>
        </w:rPr>
      </w:pPr>
      <w:r w:rsidRPr="7593FF4E">
        <w:rPr>
          <w:rFonts w:eastAsia="Calibri" w:cs="Calibri"/>
          <w:color w:val="000000" w:themeColor="text1"/>
          <w:lang w:val="en-AU"/>
        </w:rPr>
        <w:t xml:space="preserve">As per document C23/62, as part of the initial efforts towards a new cross-ITU resource mobilisation strategy, the secretariat is currently developing a </w:t>
      </w:r>
      <w:r w:rsidR="00E3225B" w:rsidRPr="7593FF4E">
        <w:rPr>
          <w:rFonts w:eastAsia="Calibri" w:cs="Calibri"/>
          <w:color w:val="000000" w:themeColor="text1"/>
          <w:lang w:val="en-AU"/>
        </w:rPr>
        <w:t xml:space="preserve">pilot </w:t>
      </w:r>
      <w:r w:rsidRPr="7593FF4E">
        <w:rPr>
          <w:rFonts w:eastAsia="Calibri" w:cs="Calibri"/>
          <w:color w:val="000000" w:themeColor="text1"/>
          <w:lang w:val="en-AU"/>
        </w:rPr>
        <w:t xml:space="preserve">cross-ITU thematic initiative on green </w:t>
      </w:r>
      <w:r w:rsidR="2A6B3695" w:rsidRPr="7593FF4E">
        <w:rPr>
          <w:rFonts w:eastAsia="Calibri" w:cs="Calibri"/>
          <w:color w:val="000000" w:themeColor="text1"/>
          <w:lang w:val="en-AU"/>
        </w:rPr>
        <w:t xml:space="preserve">digital </w:t>
      </w:r>
      <w:r w:rsidR="78809ABA" w:rsidRPr="7593FF4E">
        <w:rPr>
          <w:rFonts w:eastAsia="Calibri" w:cs="Calibri"/>
          <w:color w:val="000000" w:themeColor="text1"/>
          <w:lang w:val="en-AU"/>
        </w:rPr>
        <w:t>action</w:t>
      </w:r>
      <w:r w:rsidRPr="7593FF4E">
        <w:rPr>
          <w:rFonts w:eastAsia="Calibri" w:cs="Calibri"/>
          <w:color w:val="000000" w:themeColor="text1"/>
          <w:lang w:val="en-AU"/>
        </w:rPr>
        <w:t xml:space="preserve"> as a means of bringing together various </w:t>
      </w:r>
      <w:r w:rsidR="3A3CD5D7" w:rsidRPr="7593FF4E">
        <w:rPr>
          <w:rFonts w:eastAsia="Calibri" w:cs="Calibri"/>
          <w:color w:val="000000" w:themeColor="text1"/>
          <w:lang w:val="en-AU"/>
        </w:rPr>
        <w:t>sustainability-</w:t>
      </w:r>
      <w:r w:rsidRPr="7593FF4E">
        <w:rPr>
          <w:rFonts w:eastAsia="Calibri" w:cs="Calibri"/>
          <w:color w:val="000000" w:themeColor="text1"/>
          <w:lang w:val="en-AU"/>
        </w:rPr>
        <w:t xml:space="preserve">related ITU activities into a coherent package that could be presented to potential donors for support. </w:t>
      </w:r>
    </w:p>
    <w:p w14:paraId="4ABC298F" w14:textId="77777777" w:rsidR="00E959D0" w:rsidRDefault="00E959D0" w:rsidP="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szCs w:val="24"/>
          <w:lang w:val="en-AU"/>
        </w:rPr>
      </w:pPr>
      <w:r w:rsidRPr="000300D8">
        <w:rPr>
          <w:rFonts w:eastAsiaTheme="minorEastAsia"/>
          <w:b/>
          <w:color w:val="000000"/>
          <w:szCs w:val="24"/>
          <w:lang w:val="en-AU"/>
        </w:rPr>
        <w:t>Opportunities to Explore</w:t>
      </w:r>
      <w:r>
        <w:rPr>
          <w:rFonts w:eastAsia="Calibri" w:cs="Calibri"/>
          <w:color w:val="000000" w:themeColor="text1"/>
          <w:lang w:val="en-AU"/>
        </w:rPr>
        <w:t>: As above, the secre</w:t>
      </w:r>
      <w:r w:rsidRPr="000300D8">
        <w:rPr>
          <w:rFonts w:eastAsiaTheme="minorEastAsia"/>
          <w:color w:val="000000"/>
          <w:szCs w:val="24"/>
          <w:lang w:val="en-AU"/>
        </w:rPr>
        <w:t xml:space="preserve">tariat is </w:t>
      </w:r>
      <w:r>
        <w:rPr>
          <w:rFonts w:eastAsia="Calibri" w:cs="Calibri"/>
          <w:color w:val="000000" w:themeColor="text1"/>
          <w:lang w:val="en-AU"/>
        </w:rPr>
        <w:t>working to address</w:t>
      </w:r>
      <w:r w:rsidRPr="000300D8">
        <w:rPr>
          <w:rFonts w:eastAsiaTheme="minorEastAsia"/>
          <w:color w:val="000000"/>
          <w:szCs w:val="24"/>
          <w:lang w:val="en-AU"/>
        </w:rPr>
        <w:t xml:space="preserve"> the various prerequisites required for a successful strategy to increase voluntary contributions. If any changes </w:t>
      </w:r>
      <w:r>
        <w:rPr>
          <w:rFonts w:eastAsia="Calibri" w:cs="Calibri"/>
          <w:color w:val="000000" w:themeColor="text1"/>
          <w:lang w:val="en-AU"/>
        </w:rPr>
        <w:t xml:space="preserve">identified </w:t>
      </w:r>
      <w:r w:rsidRPr="000300D8">
        <w:rPr>
          <w:rFonts w:eastAsiaTheme="minorEastAsia"/>
          <w:color w:val="000000"/>
          <w:szCs w:val="24"/>
          <w:lang w:val="en-AU"/>
        </w:rPr>
        <w:t>require governing body approval, they will be flagged for the CWG-FRH for consideration.</w:t>
      </w:r>
    </w:p>
    <w:p w14:paraId="7A0D534A" w14:textId="4CFE44D6" w:rsidR="00386774" w:rsidRPr="008D5D8A" w:rsidRDefault="00386774" w:rsidP="00E959D0">
      <w:pPr>
        <w:tabs>
          <w:tab w:val="clear" w:pos="567"/>
          <w:tab w:val="clear" w:pos="1134"/>
          <w:tab w:val="clear" w:pos="1701"/>
          <w:tab w:val="clear" w:pos="2268"/>
          <w:tab w:val="clear" w:pos="2835"/>
        </w:tabs>
        <w:overflowPunct/>
        <w:autoSpaceDE/>
        <w:autoSpaceDN/>
        <w:adjustRightInd/>
        <w:textAlignment w:val="auto"/>
        <w:rPr>
          <w:b/>
          <w:bCs/>
          <w:sz w:val="26"/>
          <w:szCs w:val="26"/>
        </w:rPr>
      </w:pPr>
      <w:r w:rsidRPr="008D5D8A">
        <w:rPr>
          <w:b/>
          <w:bCs/>
          <w:sz w:val="26"/>
          <w:szCs w:val="26"/>
        </w:rPr>
        <w:t>3.</w:t>
      </w:r>
      <w:r w:rsidR="008D5D8A">
        <w:rPr>
          <w:b/>
          <w:bCs/>
          <w:sz w:val="26"/>
          <w:szCs w:val="26"/>
        </w:rPr>
        <w:tab/>
      </w:r>
      <w:r w:rsidRPr="008D5D8A">
        <w:rPr>
          <w:b/>
          <w:bCs/>
          <w:sz w:val="26"/>
          <w:szCs w:val="26"/>
        </w:rPr>
        <w:t>Next steps:</w:t>
      </w:r>
    </w:p>
    <w:p w14:paraId="5040651C" w14:textId="1B5BB3F7" w:rsidR="003D0184" w:rsidRPr="00603F34" w:rsidRDefault="00B31ACD" w:rsidP="00E959D0">
      <w:pPr>
        <w:tabs>
          <w:tab w:val="clear" w:pos="567"/>
          <w:tab w:val="clear" w:pos="1134"/>
          <w:tab w:val="clear" w:pos="1701"/>
          <w:tab w:val="clear" w:pos="2268"/>
          <w:tab w:val="clear" w:pos="2835"/>
        </w:tabs>
        <w:overflowPunct/>
        <w:autoSpaceDE/>
        <w:autoSpaceDN/>
        <w:adjustRightInd/>
        <w:textAlignment w:val="auto"/>
        <w:rPr>
          <w:rFonts w:eastAsiaTheme="minorEastAsia"/>
          <w:color w:val="000000"/>
          <w:szCs w:val="24"/>
          <w:lang w:val="en-CA"/>
        </w:rPr>
      </w:pPr>
      <w:r>
        <w:rPr>
          <w:rFonts w:eastAsiaTheme="minorEastAsia"/>
          <w:color w:val="000000"/>
          <w:szCs w:val="24"/>
          <w:lang w:val="en-AU"/>
        </w:rPr>
        <w:t>In line with the outcomes of</w:t>
      </w:r>
      <w:r w:rsidR="00AE7787">
        <w:rPr>
          <w:rFonts w:eastAsiaTheme="minorEastAsia"/>
          <w:color w:val="000000"/>
          <w:szCs w:val="24"/>
          <w:lang w:val="en-AU"/>
        </w:rPr>
        <w:t xml:space="preserve"> the July 2023 session of </w:t>
      </w:r>
      <w:r w:rsidR="00CC3F38">
        <w:rPr>
          <w:rFonts w:eastAsiaTheme="minorEastAsia"/>
          <w:color w:val="000000"/>
          <w:szCs w:val="24"/>
          <w:lang w:val="en-AU"/>
        </w:rPr>
        <w:t>Council</w:t>
      </w:r>
      <w:r w:rsidR="00D848C6">
        <w:rPr>
          <w:rFonts w:eastAsiaTheme="minorEastAsia"/>
          <w:color w:val="000000"/>
          <w:szCs w:val="24"/>
          <w:lang w:val="en-AU"/>
        </w:rPr>
        <w:t xml:space="preserve"> and</w:t>
      </w:r>
      <w:r w:rsidR="00CC3F38">
        <w:rPr>
          <w:rFonts w:eastAsiaTheme="minorEastAsia"/>
          <w:color w:val="000000"/>
          <w:szCs w:val="24"/>
          <w:lang w:val="en-AU"/>
        </w:rPr>
        <w:t xml:space="preserve"> </w:t>
      </w:r>
      <w:proofErr w:type="gramStart"/>
      <w:r w:rsidR="006A19F5">
        <w:rPr>
          <w:rFonts w:eastAsiaTheme="minorEastAsia"/>
          <w:color w:val="000000"/>
          <w:szCs w:val="24"/>
          <w:lang w:val="en-AU"/>
        </w:rPr>
        <w:t>taking into account</w:t>
      </w:r>
      <w:proofErr w:type="gramEnd"/>
      <w:r w:rsidR="006A19F5">
        <w:rPr>
          <w:rFonts w:eastAsiaTheme="minorEastAsia"/>
          <w:color w:val="000000"/>
          <w:szCs w:val="24"/>
          <w:lang w:val="en-AU"/>
        </w:rPr>
        <w:t xml:space="preserve"> feedback from this session of the CWG-FHR, </w:t>
      </w:r>
      <w:r w:rsidR="003E5908">
        <w:rPr>
          <w:rFonts w:eastAsiaTheme="minorEastAsia"/>
          <w:color w:val="000000"/>
          <w:szCs w:val="24"/>
          <w:lang w:val="en-AU"/>
        </w:rPr>
        <w:t xml:space="preserve">the </w:t>
      </w:r>
      <w:r w:rsidR="00603F34">
        <w:rPr>
          <w:rFonts w:eastAsiaTheme="minorEastAsia"/>
          <w:color w:val="000000"/>
          <w:szCs w:val="24"/>
          <w:lang w:val="en-AU"/>
        </w:rPr>
        <w:t>secretariat will</w:t>
      </w:r>
      <w:r w:rsidR="00545597">
        <w:rPr>
          <w:rFonts w:eastAsiaTheme="minorEastAsia"/>
          <w:color w:val="000000"/>
          <w:szCs w:val="24"/>
          <w:lang w:val="en-AU"/>
        </w:rPr>
        <w:t xml:space="preserve"> continue to refine the resource </w:t>
      </w:r>
      <w:r w:rsidR="00743FEA">
        <w:rPr>
          <w:rFonts w:eastAsiaTheme="minorEastAsia"/>
          <w:color w:val="000000"/>
          <w:szCs w:val="24"/>
          <w:lang w:val="en-AU"/>
        </w:rPr>
        <w:t>mobilisation</w:t>
      </w:r>
      <w:r w:rsidR="00545597">
        <w:rPr>
          <w:rFonts w:eastAsiaTheme="minorEastAsia"/>
          <w:color w:val="000000"/>
          <w:szCs w:val="24"/>
          <w:lang w:val="en-AU"/>
        </w:rPr>
        <w:t xml:space="preserve"> strategy as outlined in document C23/</w:t>
      </w:r>
      <w:r w:rsidR="00F43059">
        <w:rPr>
          <w:rFonts w:eastAsiaTheme="minorEastAsia"/>
          <w:color w:val="000000"/>
          <w:szCs w:val="24"/>
          <w:lang w:val="en-AU"/>
        </w:rPr>
        <w:t>62</w:t>
      </w:r>
      <w:r w:rsidR="00D40CF2">
        <w:rPr>
          <w:rFonts w:eastAsiaTheme="minorEastAsia"/>
          <w:color w:val="000000"/>
          <w:szCs w:val="24"/>
          <w:lang w:val="en-AU"/>
        </w:rPr>
        <w:t xml:space="preserve"> </w:t>
      </w:r>
      <w:r w:rsidR="00F43059">
        <w:rPr>
          <w:rFonts w:eastAsiaTheme="minorEastAsia"/>
          <w:color w:val="000000"/>
          <w:szCs w:val="24"/>
          <w:lang w:val="en-AU"/>
        </w:rPr>
        <w:t xml:space="preserve">for consideration of the </w:t>
      </w:r>
      <w:r w:rsidR="00EF403D">
        <w:rPr>
          <w:rFonts w:eastAsiaTheme="minorEastAsia"/>
          <w:color w:val="000000"/>
          <w:szCs w:val="24"/>
          <w:lang w:val="en-AU"/>
        </w:rPr>
        <w:t xml:space="preserve">2024 sessions of the </w:t>
      </w:r>
      <w:r w:rsidR="00F43059">
        <w:rPr>
          <w:rFonts w:eastAsiaTheme="minorEastAsia"/>
          <w:color w:val="000000"/>
          <w:szCs w:val="24"/>
          <w:lang w:val="en-AU"/>
        </w:rPr>
        <w:t xml:space="preserve">CWG-FHR </w:t>
      </w:r>
      <w:r w:rsidR="00785A5B">
        <w:rPr>
          <w:rFonts w:eastAsiaTheme="minorEastAsia"/>
          <w:color w:val="000000"/>
          <w:szCs w:val="24"/>
          <w:lang w:val="en-AU"/>
        </w:rPr>
        <w:t>and Council.</w:t>
      </w:r>
      <w:r w:rsidR="00F43059">
        <w:rPr>
          <w:rFonts w:eastAsiaTheme="minorEastAsia"/>
          <w:color w:val="000000"/>
          <w:szCs w:val="24"/>
          <w:lang w:val="en-AU"/>
        </w:rPr>
        <w:t xml:space="preserve"> </w:t>
      </w:r>
    </w:p>
    <w:p w14:paraId="2F9332DC" w14:textId="6EFF299F" w:rsidR="00E959D0" w:rsidRDefault="002B3827" w:rsidP="002B3827">
      <w:pPr>
        <w:spacing w:before="840"/>
        <w:jc w:val="center"/>
        <w:rPr>
          <w:rFonts w:eastAsia="Calibri"/>
          <w:szCs w:val="24"/>
          <w:lang w:val="en-AU"/>
        </w:rPr>
      </w:pPr>
      <w:r>
        <w:rPr>
          <w:rFonts w:eastAsia="Calibri"/>
          <w:szCs w:val="24"/>
          <w:lang w:val="en-AU"/>
        </w:rPr>
        <w:t>___________________</w:t>
      </w:r>
    </w:p>
    <w:sectPr w:rsidR="00E959D0"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5067" w14:textId="77777777" w:rsidR="00FE20A1" w:rsidRDefault="00FE20A1">
      <w:r>
        <w:separator/>
      </w:r>
    </w:p>
  </w:endnote>
  <w:endnote w:type="continuationSeparator" w:id="0">
    <w:p w14:paraId="3A640132" w14:textId="77777777" w:rsidR="00FE20A1" w:rsidRDefault="00FE20A1">
      <w:r>
        <w:continuationSeparator/>
      </w:r>
    </w:p>
  </w:endnote>
  <w:endnote w:type="continuationNotice" w:id="1">
    <w:p w14:paraId="63441337" w14:textId="77777777" w:rsidR="00FE20A1" w:rsidRDefault="00FE20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E23904" w14:paraId="07402CB9" w14:textId="77777777">
      <w:trPr>
        <w:jc w:val="center"/>
      </w:trPr>
      <w:tc>
        <w:tcPr>
          <w:tcW w:w="1803" w:type="dxa"/>
          <w:vAlign w:val="center"/>
        </w:tcPr>
        <w:p w14:paraId="727FD637" w14:textId="50B59F76" w:rsidR="00EE49E8" w:rsidRDefault="00EE49E8" w:rsidP="00EE49E8">
          <w:pPr>
            <w:pStyle w:val="Header"/>
            <w:jc w:val="left"/>
            <w:rPr>
              <w:noProof/>
            </w:rPr>
          </w:pPr>
          <w:r>
            <w:rPr>
              <w:noProof/>
            </w:rPr>
            <w:t xml:space="preserve">DPS </w:t>
          </w:r>
          <w:r w:rsidR="002B3827">
            <w:rPr>
              <w:noProof/>
            </w:rPr>
            <w:t>527775</w:t>
          </w:r>
        </w:p>
      </w:tc>
      <w:tc>
        <w:tcPr>
          <w:tcW w:w="8261" w:type="dxa"/>
        </w:tcPr>
        <w:p w14:paraId="2D49E76E" w14:textId="52D4C7AC" w:rsidR="00EE49E8" w:rsidRPr="00E23904" w:rsidRDefault="00EE49E8" w:rsidP="00A52C84">
          <w:pPr>
            <w:pStyle w:val="Header"/>
            <w:tabs>
              <w:tab w:val="left" w:pos="6028"/>
              <w:tab w:val="right" w:pos="8505"/>
              <w:tab w:val="right" w:pos="9639"/>
            </w:tabs>
            <w:jc w:val="left"/>
            <w:rPr>
              <w:rFonts w:ascii="Arial" w:hAnsi="Arial" w:cs="Arial"/>
              <w:b/>
              <w:bCs/>
              <w:szCs w:val="18"/>
              <w:lang w:val="it-IT"/>
            </w:rPr>
          </w:pPr>
          <w:r w:rsidRPr="00E23904">
            <w:rPr>
              <w:bCs/>
              <w:lang w:val="it-IT"/>
            </w:rPr>
            <w:tab/>
          </w:r>
          <w:r w:rsidR="00A52C84" w:rsidRPr="00E23904">
            <w:rPr>
              <w:bCs/>
              <w:lang w:val="it-IT"/>
            </w:rPr>
            <w:t>CWG-</w:t>
          </w:r>
          <w:r w:rsidR="009F347C" w:rsidRPr="00E23904">
            <w:rPr>
              <w:bCs/>
              <w:lang w:val="it-IT"/>
            </w:rPr>
            <w:t>FHR</w:t>
          </w:r>
          <w:r w:rsidR="00A52C84" w:rsidRPr="00E23904">
            <w:rPr>
              <w:bCs/>
              <w:lang w:val="it-IT"/>
            </w:rPr>
            <w:t>-</w:t>
          </w:r>
          <w:r w:rsidR="002B3827">
            <w:rPr>
              <w:bCs/>
              <w:lang w:val="it-IT"/>
            </w:rPr>
            <w:t>16</w:t>
          </w:r>
          <w:r w:rsidR="00A52C84" w:rsidRPr="00E23904">
            <w:rPr>
              <w:bCs/>
              <w:lang w:val="it-IT"/>
            </w:rPr>
            <w:t>/</w:t>
          </w:r>
          <w:r w:rsidR="002B3827">
            <w:rPr>
              <w:bCs/>
              <w:lang w:val="it-IT"/>
            </w:rPr>
            <w:t>11</w:t>
          </w:r>
          <w:r w:rsidR="00A52C84"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44006CCE" w14:textId="77777777" w:rsidR="00EE49E8" w:rsidRPr="00E23904"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E239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E941D59" w:rsidR="00EE49E8" w:rsidRPr="00E23904"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E23904">
            <w:rPr>
              <w:bCs/>
              <w:lang w:val="it-IT"/>
            </w:rPr>
            <w:t>C</w:t>
          </w:r>
          <w:r w:rsidR="00A52C84" w:rsidRPr="00E23904">
            <w:rPr>
              <w:bCs/>
              <w:lang w:val="it-IT"/>
            </w:rPr>
            <w:t>WG-</w:t>
          </w:r>
          <w:r w:rsidR="009F347C" w:rsidRPr="00E23904">
            <w:rPr>
              <w:bCs/>
              <w:lang w:val="it-IT"/>
            </w:rPr>
            <w:t>FHR</w:t>
          </w:r>
          <w:r w:rsidR="00A52C84" w:rsidRPr="00E23904">
            <w:rPr>
              <w:bCs/>
              <w:lang w:val="it-IT"/>
            </w:rPr>
            <w:t>-</w:t>
          </w:r>
          <w:r w:rsidR="00C67961">
            <w:rPr>
              <w:bCs/>
              <w:lang w:val="it-IT"/>
            </w:rPr>
            <w:t>16</w:t>
          </w:r>
          <w:r w:rsidRPr="00E23904">
            <w:rPr>
              <w:bCs/>
              <w:lang w:val="it-IT"/>
            </w:rPr>
            <w:t>/</w:t>
          </w:r>
          <w:r w:rsidR="00C67961">
            <w:rPr>
              <w:bCs/>
              <w:lang w:val="it-IT"/>
            </w:rPr>
            <w:t>11</w:t>
          </w:r>
          <w:r w:rsidRPr="00E23904">
            <w:rPr>
              <w:bCs/>
              <w:lang w:val="it-IT"/>
            </w:rPr>
            <w:t>-E</w:t>
          </w:r>
          <w:r w:rsidRPr="00E23904">
            <w:rPr>
              <w:bCs/>
              <w:lang w:val="it-IT"/>
            </w:rPr>
            <w:tab/>
          </w:r>
          <w:r>
            <w:fldChar w:fldCharType="begin"/>
          </w:r>
          <w:r w:rsidRPr="00E23904">
            <w:rPr>
              <w:lang w:val="it-IT"/>
            </w:rPr>
            <w:instrText>PAGE</w:instrText>
          </w:r>
          <w:r>
            <w:fldChar w:fldCharType="separate"/>
          </w:r>
          <w:r w:rsidRPr="00E23904">
            <w:rPr>
              <w:lang w:val="it-IT"/>
            </w:rPr>
            <w:t>1</w:t>
          </w:r>
          <w:r>
            <w:rPr>
              <w:noProof/>
            </w:rPr>
            <w:fldChar w:fldCharType="end"/>
          </w:r>
        </w:p>
      </w:tc>
    </w:tr>
  </w:tbl>
  <w:p w14:paraId="12BE588F" w14:textId="77777777" w:rsidR="00A514A4" w:rsidRPr="00E23904"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C0EA" w14:textId="77777777" w:rsidR="00FE20A1" w:rsidRDefault="00FE20A1">
      <w:r>
        <w:t>____________________</w:t>
      </w:r>
    </w:p>
  </w:footnote>
  <w:footnote w:type="continuationSeparator" w:id="0">
    <w:p w14:paraId="013C5F25" w14:textId="77777777" w:rsidR="00FE20A1" w:rsidRDefault="00FE20A1">
      <w:r>
        <w:continuationSeparator/>
      </w:r>
    </w:p>
  </w:footnote>
  <w:footnote w:type="continuationNotice" w:id="1">
    <w:p w14:paraId="102C95F4" w14:textId="77777777" w:rsidR="00FE20A1" w:rsidRDefault="00FE20A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F97C819">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FF9CEF7">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8CFEF0A"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A78F9">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8CFEF0A"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4A78F9">
                      <w:rPr>
                        <w:sz w:val="20"/>
                      </w:rPr>
                      <w:t>Sixteenth</w:t>
                    </w:r>
                    <w:r w:rsidRPr="00130599">
                      <w:rPr>
                        <w:sz w:val="20"/>
                      </w:rPr>
                      <w:t xml:space="preserve"> meeting </w:t>
                    </w:r>
                    <w:r w:rsidR="00B358B2">
                      <w:rPr>
                        <w:sz w:val="20"/>
                      </w:rPr>
                      <w:t xml:space="preserve">- </w:t>
                    </w:r>
                    <w:r w:rsidR="009F347C">
                      <w:rPr>
                        <w:sz w:val="20"/>
                      </w:rPr>
                      <w:t>Wednesday 11 to Friday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39081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B57"/>
    <w:rsid w:val="00042CA0"/>
    <w:rsid w:val="000509FF"/>
    <w:rsid w:val="00054355"/>
    <w:rsid w:val="00056CE4"/>
    <w:rsid w:val="00063016"/>
    <w:rsid w:val="00066795"/>
    <w:rsid w:val="00067A8F"/>
    <w:rsid w:val="00076AF6"/>
    <w:rsid w:val="00085CF2"/>
    <w:rsid w:val="000A071A"/>
    <w:rsid w:val="000A2AB9"/>
    <w:rsid w:val="000B1705"/>
    <w:rsid w:val="000B55EA"/>
    <w:rsid w:val="000B6C08"/>
    <w:rsid w:val="000D200F"/>
    <w:rsid w:val="000D75B2"/>
    <w:rsid w:val="000F0A7E"/>
    <w:rsid w:val="000F600C"/>
    <w:rsid w:val="001029D5"/>
    <w:rsid w:val="00105777"/>
    <w:rsid w:val="001121F5"/>
    <w:rsid w:val="00120965"/>
    <w:rsid w:val="00130599"/>
    <w:rsid w:val="001400DC"/>
    <w:rsid w:val="00140CE1"/>
    <w:rsid w:val="001457EB"/>
    <w:rsid w:val="00150FAF"/>
    <w:rsid w:val="0017539C"/>
    <w:rsid w:val="00175AC2"/>
    <w:rsid w:val="0017609F"/>
    <w:rsid w:val="00177A75"/>
    <w:rsid w:val="00183757"/>
    <w:rsid w:val="00183AC7"/>
    <w:rsid w:val="001A7275"/>
    <w:rsid w:val="001A7D1D"/>
    <w:rsid w:val="001B51DD"/>
    <w:rsid w:val="001C2C0B"/>
    <w:rsid w:val="001C628E"/>
    <w:rsid w:val="001D5192"/>
    <w:rsid w:val="001D6DC3"/>
    <w:rsid w:val="001E0F7B"/>
    <w:rsid w:val="001E2F24"/>
    <w:rsid w:val="001F3380"/>
    <w:rsid w:val="001F3539"/>
    <w:rsid w:val="0020289B"/>
    <w:rsid w:val="00210ABE"/>
    <w:rsid w:val="002119FD"/>
    <w:rsid w:val="002130E0"/>
    <w:rsid w:val="002132C5"/>
    <w:rsid w:val="00221089"/>
    <w:rsid w:val="00222E35"/>
    <w:rsid w:val="002273BD"/>
    <w:rsid w:val="0023174D"/>
    <w:rsid w:val="00232106"/>
    <w:rsid w:val="002413A4"/>
    <w:rsid w:val="00244F7F"/>
    <w:rsid w:val="00251244"/>
    <w:rsid w:val="00260EA6"/>
    <w:rsid w:val="00264425"/>
    <w:rsid w:val="00265875"/>
    <w:rsid w:val="002726EA"/>
    <w:rsid w:val="0027303B"/>
    <w:rsid w:val="00273D3B"/>
    <w:rsid w:val="0027405B"/>
    <w:rsid w:val="0028109B"/>
    <w:rsid w:val="002952EF"/>
    <w:rsid w:val="002A014F"/>
    <w:rsid w:val="002A2188"/>
    <w:rsid w:val="002B1F58"/>
    <w:rsid w:val="002B3827"/>
    <w:rsid w:val="002C192D"/>
    <w:rsid w:val="002C1C7A"/>
    <w:rsid w:val="002C54E2"/>
    <w:rsid w:val="002E0504"/>
    <w:rsid w:val="002F3275"/>
    <w:rsid w:val="0030160F"/>
    <w:rsid w:val="003123D9"/>
    <w:rsid w:val="0031660E"/>
    <w:rsid w:val="00320223"/>
    <w:rsid w:val="00322D0D"/>
    <w:rsid w:val="003529AB"/>
    <w:rsid w:val="00353A51"/>
    <w:rsid w:val="00356E02"/>
    <w:rsid w:val="00360EA0"/>
    <w:rsid w:val="00361465"/>
    <w:rsid w:val="00364EC9"/>
    <w:rsid w:val="00374CA1"/>
    <w:rsid w:val="00386774"/>
    <w:rsid w:val="003877F5"/>
    <w:rsid w:val="003942D4"/>
    <w:rsid w:val="003958A8"/>
    <w:rsid w:val="003A24EC"/>
    <w:rsid w:val="003A548A"/>
    <w:rsid w:val="003C2533"/>
    <w:rsid w:val="003D0184"/>
    <w:rsid w:val="003D5A7F"/>
    <w:rsid w:val="003E5908"/>
    <w:rsid w:val="003E7F86"/>
    <w:rsid w:val="004016E2"/>
    <w:rsid w:val="0040435A"/>
    <w:rsid w:val="00416A24"/>
    <w:rsid w:val="00425DF7"/>
    <w:rsid w:val="00431D9E"/>
    <w:rsid w:val="00433CE8"/>
    <w:rsid w:val="00434A5C"/>
    <w:rsid w:val="00435493"/>
    <w:rsid w:val="004435FF"/>
    <w:rsid w:val="00446111"/>
    <w:rsid w:val="00446D6F"/>
    <w:rsid w:val="00451E6E"/>
    <w:rsid w:val="004544D9"/>
    <w:rsid w:val="00454E42"/>
    <w:rsid w:val="00457B5B"/>
    <w:rsid w:val="00463791"/>
    <w:rsid w:val="00470ACC"/>
    <w:rsid w:val="00472BAD"/>
    <w:rsid w:val="00484009"/>
    <w:rsid w:val="00490E72"/>
    <w:rsid w:val="00491157"/>
    <w:rsid w:val="004921C8"/>
    <w:rsid w:val="0049406F"/>
    <w:rsid w:val="00495B0B"/>
    <w:rsid w:val="004A1B8B"/>
    <w:rsid w:val="004A78F9"/>
    <w:rsid w:val="004B7F6D"/>
    <w:rsid w:val="004D1851"/>
    <w:rsid w:val="004D599D"/>
    <w:rsid w:val="004E2EA5"/>
    <w:rsid w:val="004E3AEB"/>
    <w:rsid w:val="004F352F"/>
    <w:rsid w:val="004F3FF5"/>
    <w:rsid w:val="00501069"/>
    <w:rsid w:val="0050223C"/>
    <w:rsid w:val="005243FF"/>
    <w:rsid w:val="00534460"/>
    <w:rsid w:val="00541EAA"/>
    <w:rsid w:val="00545597"/>
    <w:rsid w:val="00554B3A"/>
    <w:rsid w:val="005648DA"/>
    <w:rsid w:val="00564FBC"/>
    <w:rsid w:val="005655DA"/>
    <w:rsid w:val="005800BC"/>
    <w:rsid w:val="00581342"/>
    <w:rsid w:val="00582442"/>
    <w:rsid w:val="00591115"/>
    <w:rsid w:val="005A335D"/>
    <w:rsid w:val="005D4971"/>
    <w:rsid w:val="005E2BD5"/>
    <w:rsid w:val="005F3269"/>
    <w:rsid w:val="00600354"/>
    <w:rsid w:val="00603F34"/>
    <w:rsid w:val="006135C0"/>
    <w:rsid w:val="00623AE3"/>
    <w:rsid w:val="006252DE"/>
    <w:rsid w:val="006266E6"/>
    <w:rsid w:val="0063134B"/>
    <w:rsid w:val="00645063"/>
    <w:rsid w:val="00646424"/>
    <w:rsid w:val="0064737F"/>
    <w:rsid w:val="006535F1"/>
    <w:rsid w:val="00653F93"/>
    <w:rsid w:val="006552BA"/>
    <w:rsid w:val="0065557D"/>
    <w:rsid w:val="00660D50"/>
    <w:rsid w:val="00660EC4"/>
    <w:rsid w:val="00662984"/>
    <w:rsid w:val="006631DE"/>
    <w:rsid w:val="00670B32"/>
    <w:rsid w:val="006716BB"/>
    <w:rsid w:val="00672B1A"/>
    <w:rsid w:val="006835E0"/>
    <w:rsid w:val="006A19F5"/>
    <w:rsid w:val="006B1859"/>
    <w:rsid w:val="006B41C1"/>
    <w:rsid w:val="006B6680"/>
    <w:rsid w:val="006B6DCC"/>
    <w:rsid w:val="006C1CB8"/>
    <w:rsid w:val="006C524F"/>
    <w:rsid w:val="006E6AF5"/>
    <w:rsid w:val="006E7865"/>
    <w:rsid w:val="00702DEF"/>
    <w:rsid w:val="00706861"/>
    <w:rsid w:val="00712B09"/>
    <w:rsid w:val="00743F9C"/>
    <w:rsid w:val="00743FEA"/>
    <w:rsid w:val="0075051B"/>
    <w:rsid w:val="00775655"/>
    <w:rsid w:val="00785A5B"/>
    <w:rsid w:val="00793188"/>
    <w:rsid w:val="00794D34"/>
    <w:rsid w:val="007A5C1D"/>
    <w:rsid w:val="007D0B54"/>
    <w:rsid w:val="007D7640"/>
    <w:rsid w:val="007E0E85"/>
    <w:rsid w:val="007F5438"/>
    <w:rsid w:val="00813E5E"/>
    <w:rsid w:val="00833AF8"/>
    <w:rsid w:val="008356F2"/>
    <w:rsid w:val="0083581B"/>
    <w:rsid w:val="00863874"/>
    <w:rsid w:val="00864AFF"/>
    <w:rsid w:val="00865925"/>
    <w:rsid w:val="008804F4"/>
    <w:rsid w:val="0088458A"/>
    <w:rsid w:val="00891503"/>
    <w:rsid w:val="008965BF"/>
    <w:rsid w:val="008A2E48"/>
    <w:rsid w:val="008B4A6A"/>
    <w:rsid w:val="008B72BB"/>
    <w:rsid w:val="008C2B24"/>
    <w:rsid w:val="008C3910"/>
    <w:rsid w:val="008C7E27"/>
    <w:rsid w:val="008D5D8A"/>
    <w:rsid w:val="008E217F"/>
    <w:rsid w:val="008F1A06"/>
    <w:rsid w:val="008F5CC8"/>
    <w:rsid w:val="008F7448"/>
    <w:rsid w:val="00900A1C"/>
    <w:rsid w:val="0090147A"/>
    <w:rsid w:val="009173EF"/>
    <w:rsid w:val="00927887"/>
    <w:rsid w:val="00932906"/>
    <w:rsid w:val="00943443"/>
    <w:rsid w:val="00945F30"/>
    <w:rsid w:val="00961B0B"/>
    <w:rsid w:val="00962D33"/>
    <w:rsid w:val="00964EAB"/>
    <w:rsid w:val="009750F7"/>
    <w:rsid w:val="00986F3E"/>
    <w:rsid w:val="00987DAD"/>
    <w:rsid w:val="00987F8B"/>
    <w:rsid w:val="00992A40"/>
    <w:rsid w:val="009A207E"/>
    <w:rsid w:val="009A6B8C"/>
    <w:rsid w:val="009B38C3"/>
    <w:rsid w:val="009B5B8E"/>
    <w:rsid w:val="009C253A"/>
    <w:rsid w:val="009E17BD"/>
    <w:rsid w:val="009E485A"/>
    <w:rsid w:val="009F1454"/>
    <w:rsid w:val="009F347C"/>
    <w:rsid w:val="00A03190"/>
    <w:rsid w:val="00A04CEC"/>
    <w:rsid w:val="00A05274"/>
    <w:rsid w:val="00A05A50"/>
    <w:rsid w:val="00A1668F"/>
    <w:rsid w:val="00A2077C"/>
    <w:rsid w:val="00A23346"/>
    <w:rsid w:val="00A27F92"/>
    <w:rsid w:val="00A32257"/>
    <w:rsid w:val="00A36017"/>
    <w:rsid w:val="00A36345"/>
    <w:rsid w:val="00A36D20"/>
    <w:rsid w:val="00A50DCB"/>
    <w:rsid w:val="00A514A4"/>
    <w:rsid w:val="00A52C84"/>
    <w:rsid w:val="00A54894"/>
    <w:rsid w:val="00A55622"/>
    <w:rsid w:val="00A562B9"/>
    <w:rsid w:val="00A667BC"/>
    <w:rsid w:val="00A82AC5"/>
    <w:rsid w:val="00A83502"/>
    <w:rsid w:val="00A92D25"/>
    <w:rsid w:val="00A9656E"/>
    <w:rsid w:val="00AA5F66"/>
    <w:rsid w:val="00AB16F6"/>
    <w:rsid w:val="00AD15B3"/>
    <w:rsid w:val="00AD2AD3"/>
    <w:rsid w:val="00AD3606"/>
    <w:rsid w:val="00AD4A3D"/>
    <w:rsid w:val="00AD7437"/>
    <w:rsid w:val="00AE7787"/>
    <w:rsid w:val="00AF304D"/>
    <w:rsid w:val="00AF6E49"/>
    <w:rsid w:val="00B04A67"/>
    <w:rsid w:val="00B0583C"/>
    <w:rsid w:val="00B23051"/>
    <w:rsid w:val="00B23235"/>
    <w:rsid w:val="00B238FF"/>
    <w:rsid w:val="00B31ACD"/>
    <w:rsid w:val="00B358B2"/>
    <w:rsid w:val="00B36523"/>
    <w:rsid w:val="00B40A81"/>
    <w:rsid w:val="00B44910"/>
    <w:rsid w:val="00B66927"/>
    <w:rsid w:val="00B703A9"/>
    <w:rsid w:val="00B717EF"/>
    <w:rsid w:val="00B72267"/>
    <w:rsid w:val="00B76EB6"/>
    <w:rsid w:val="00B7737B"/>
    <w:rsid w:val="00B824C8"/>
    <w:rsid w:val="00B84B9D"/>
    <w:rsid w:val="00B925E9"/>
    <w:rsid w:val="00BC251A"/>
    <w:rsid w:val="00BD032B"/>
    <w:rsid w:val="00BE2640"/>
    <w:rsid w:val="00BE3398"/>
    <w:rsid w:val="00BE356F"/>
    <w:rsid w:val="00C01189"/>
    <w:rsid w:val="00C02ACB"/>
    <w:rsid w:val="00C22602"/>
    <w:rsid w:val="00C2653C"/>
    <w:rsid w:val="00C34A4E"/>
    <w:rsid w:val="00C374DE"/>
    <w:rsid w:val="00C43619"/>
    <w:rsid w:val="00C4528F"/>
    <w:rsid w:val="00C47AD4"/>
    <w:rsid w:val="00C52D81"/>
    <w:rsid w:val="00C55198"/>
    <w:rsid w:val="00C67961"/>
    <w:rsid w:val="00C71925"/>
    <w:rsid w:val="00C76D07"/>
    <w:rsid w:val="00C805C3"/>
    <w:rsid w:val="00CA0DE7"/>
    <w:rsid w:val="00CA6393"/>
    <w:rsid w:val="00CB18FF"/>
    <w:rsid w:val="00CB4253"/>
    <w:rsid w:val="00CC3F38"/>
    <w:rsid w:val="00CD0C08"/>
    <w:rsid w:val="00CD37C3"/>
    <w:rsid w:val="00CD3967"/>
    <w:rsid w:val="00CD7D08"/>
    <w:rsid w:val="00CE03FB"/>
    <w:rsid w:val="00CE30AD"/>
    <w:rsid w:val="00CE433C"/>
    <w:rsid w:val="00CF0161"/>
    <w:rsid w:val="00CF33F3"/>
    <w:rsid w:val="00D0166E"/>
    <w:rsid w:val="00D02EF0"/>
    <w:rsid w:val="00D06183"/>
    <w:rsid w:val="00D073F4"/>
    <w:rsid w:val="00D216B4"/>
    <w:rsid w:val="00D21A33"/>
    <w:rsid w:val="00D22C42"/>
    <w:rsid w:val="00D40CF2"/>
    <w:rsid w:val="00D464CC"/>
    <w:rsid w:val="00D600F5"/>
    <w:rsid w:val="00D65041"/>
    <w:rsid w:val="00D73F15"/>
    <w:rsid w:val="00D80E90"/>
    <w:rsid w:val="00D82A4C"/>
    <w:rsid w:val="00D848C6"/>
    <w:rsid w:val="00D942C4"/>
    <w:rsid w:val="00D94D94"/>
    <w:rsid w:val="00DA2514"/>
    <w:rsid w:val="00DA5259"/>
    <w:rsid w:val="00DB00D5"/>
    <w:rsid w:val="00DB1630"/>
    <w:rsid w:val="00DB1936"/>
    <w:rsid w:val="00DB384B"/>
    <w:rsid w:val="00DB7552"/>
    <w:rsid w:val="00DD0029"/>
    <w:rsid w:val="00DD3D25"/>
    <w:rsid w:val="00DD72FF"/>
    <w:rsid w:val="00DE14B9"/>
    <w:rsid w:val="00DF0189"/>
    <w:rsid w:val="00E06FD5"/>
    <w:rsid w:val="00E10E80"/>
    <w:rsid w:val="00E124F0"/>
    <w:rsid w:val="00E14A0E"/>
    <w:rsid w:val="00E156A6"/>
    <w:rsid w:val="00E227F3"/>
    <w:rsid w:val="00E23904"/>
    <w:rsid w:val="00E3225B"/>
    <w:rsid w:val="00E37D21"/>
    <w:rsid w:val="00E47106"/>
    <w:rsid w:val="00E542EE"/>
    <w:rsid w:val="00E545C6"/>
    <w:rsid w:val="00E55859"/>
    <w:rsid w:val="00E60F04"/>
    <w:rsid w:val="00E61D16"/>
    <w:rsid w:val="00E65B24"/>
    <w:rsid w:val="00E75FD1"/>
    <w:rsid w:val="00E854E4"/>
    <w:rsid w:val="00E86DBF"/>
    <w:rsid w:val="00E94539"/>
    <w:rsid w:val="00E959D0"/>
    <w:rsid w:val="00E9731E"/>
    <w:rsid w:val="00EB0D6F"/>
    <w:rsid w:val="00EB2232"/>
    <w:rsid w:val="00EB38D9"/>
    <w:rsid w:val="00EB6635"/>
    <w:rsid w:val="00EC146D"/>
    <w:rsid w:val="00EC5337"/>
    <w:rsid w:val="00ED454D"/>
    <w:rsid w:val="00EE49E8"/>
    <w:rsid w:val="00EE7758"/>
    <w:rsid w:val="00EF403D"/>
    <w:rsid w:val="00EF5CCF"/>
    <w:rsid w:val="00F048A9"/>
    <w:rsid w:val="00F14EF9"/>
    <w:rsid w:val="00F16BAB"/>
    <w:rsid w:val="00F2150A"/>
    <w:rsid w:val="00F22A46"/>
    <w:rsid w:val="00F231D8"/>
    <w:rsid w:val="00F34705"/>
    <w:rsid w:val="00F3550C"/>
    <w:rsid w:val="00F43059"/>
    <w:rsid w:val="00F44907"/>
    <w:rsid w:val="00F44C00"/>
    <w:rsid w:val="00F45D2C"/>
    <w:rsid w:val="00F46C5F"/>
    <w:rsid w:val="00F632C0"/>
    <w:rsid w:val="00F74694"/>
    <w:rsid w:val="00F94A63"/>
    <w:rsid w:val="00FA1C28"/>
    <w:rsid w:val="00FB05C5"/>
    <w:rsid w:val="00FB1279"/>
    <w:rsid w:val="00FB2E70"/>
    <w:rsid w:val="00FB4704"/>
    <w:rsid w:val="00FB6B76"/>
    <w:rsid w:val="00FB7596"/>
    <w:rsid w:val="00FC2594"/>
    <w:rsid w:val="00FD7E21"/>
    <w:rsid w:val="00FE20A1"/>
    <w:rsid w:val="00FE4077"/>
    <w:rsid w:val="00FE500D"/>
    <w:rsid w:val="00FE77D2"/>
    <w:rsid w:val="0185B0CB"/>
    <w:rsid w:val="08EE76BE"/>
    <w:rsid w:val="0A2A2B5C"/>
    <w:rsid w:val="204E76A2"/>
    <w:rsid w:val="2A6B3695"/>
    <w:rsid w:val="2EB3614F"/>
    <w:rsid w:val="3A3CD5D7"/>
    <w:rsid w:val="3DC6DEDE"/>
    <w:rsid w:val="400F23B4"/>
    <w:rsid w:val="443A866E"/>
    <w:rsid w:val="678219E3"/>
    <w:rsid w:val="7593FF4E"/>
    <w:rsid w:val="78809A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E959D0"/>
  </w:style>
  <w:style w:type="paragraph" w:customStyle="1" w:styleId="Subtitle1">
    <w:name w:val="Subtitle1"/>
    <w:basedOn w:val="Title1"/>
    <w:qFormat/>
    <w:rsid w:val="00554B3A"/>
    <w:pPr>
      <w:framePr w:wrap="around" w:vAnchor="margin" w:hAnchor="page" w:x="1821" w:y="2317"/>
      <w:spacing w:before="120" w:after="160"/>
    </w:pPr>
  </w:style>
  <w:style w:type="paragraph" w:styleId="Revision">
    <w:name w:val="Revision"/>
    <w:hidden/>
    <w:uiPriority w:val="99"/>
    <w:semiHidden/>
    <w:rsid w:val="007A5C1D"/>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51244"/>
    <w:rPr>
      <w:b/>
      <w:bCs/>
    </w:rPr>
  </w:style>
  <w:style w:type="character" w:customStyle="1" w:styleId="CommentSubjectChar">
    <w:name w:val="Comment Subject Char"/>
    <w:basedOn w:val="CommentTextChar"/>
    <w:link w:val="CommentSubject"/>
    <w:semiHidden/>
    <w:rsid w:val="00251244"/>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62/en" TargetMode="External"/><Relationship Id="rId18" Type="http://schemas.openxmlformats.org/officeDocument/2006/relationships/hyperlink" Target="https://www.itu.int/dms_pub/itu-d/opb/tdc/D-TDC-WTDC-2022-PDF-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22-CL-INF-0013/en" TargetMode="External"/><Relationship Id="rId17" Type="http://schemas.openxmlformats.org/officeDocument/2006/relationships/hyperlink" Target="https://www.itu.int/md/S22-CL-INF-0013/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3-CL-INF-0012/en" TargetMode="External"/><Relationship Id="rId20" Type="http://schemas.openxmlformats.org/officeDocument/2006/relationships/hyperlink" Target="https://www.itu.int/md/S22-CL-INF-001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62/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7-CL-C-0067/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3-CL-C-006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DEC-005-E.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6E72A5-867F-411D-A91D-1824DCA000EA}">
  <ds:schemaRefs>
    <ds:schemaRef ds:uri="http://schemas.microsoft.com/sharepoint/v3/contenttype/forms"/>
  </ds:schemaRefs>
</ds:datastoreItem>
</file>

<file path=customXml/itemProps2.xml><?xml version="1.0" encoding="utf-8"?>
<ds:datastoreItem xmlns:ds="http://schemas.openxmlformats.org/officeDocument/2006/customXml" ds:itemID="{FF3CBAD1-3059-4F33-9F54-601785B8D4E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6B48474-A313-4B7A-B817-F00E1F88511A}">
  <ds:schemaRefs>
    <ds:schemaRef ds:uri="http://schemas.microsoft.com/office/2006/metadata/contentType"/>
    <ds:schemaRef ds:uri="http://schemas.microsoft.com/office/2006/metadata/properties/metaAttributes"/>
    <ds:schemaRef ds:uri="http://www.w3.org/2000/xmlns/"/>
    <ds:schemaRef ds:uri="http://www.w3.org/2001/XMLSchema"/>
    <ds:schemaRef ds:uri="5a9e730e-50ca-4fdd-8a7a-b4f5b57bd209"/>
    <ds:schemaRef ds:uri="f45bef01-bf71-4e4d-8b76-9c8a2fc829b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8C563-9296-435B-A63E-DE5D9B381D76}">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f45bef01-bf71-4e4d-8b76-9c8a2fc829be"/>
    <ds:schemaRef ds:uri="5a9e730e-50ca-4fdd-8a7a-b4f5b57bd20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9054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Follow up on resource mobilisation strategy: Leveraging outcomes from ITU World Café on revenue generation</vt:lpstr>
    </vt:vector>
  </TitlesOfParts>
  <Manager/>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Resource Mobilization Strategy: Outcomes of the ITU World Café on Revenue Generation</dc:title>
  <dc:subject>Council Working Group on Financial and Human Resources</dc:subject>
  <dc:creator/>
  <cp:keywords>CWG-FHR, C23, Council-23, C23-ADD</cp:keywords>
  <dc:description/>
  <cp:lastModifiedBy/>
  <cp:revision>1</cp:revision>
  <dcterms:created xsi:type="dcterms:W3CDTF">2023-09-11T15:22:00Z</dcterms:created>
  <dcterms:modified xsi:type="dcterms:W3CDTF">2023-09-11T15:23:00Z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