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9B2D4B" w14:paraId="0043AC80" w14:textId="77777777" w:rsidTr="25E108D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08E81404" w:rsidR="00AD3606" w:rsidRPr="009B2D4B" w:rsidRDefault="00AD3606" w:rsidP="00472BAD">
            <w:pPr>
              <w:tabs>
                <w:tab w:val="left" w:pos="851"/>
              </w:tabs>
              <w:spacing w:before="0" w:line="240" w:lineRule="atLeast"/>
              <w:jc w:val="right"/>
              <w:rPr>
                <w:b/>
                <w:lang w:val="it-IT"/>
              </w:rPr>
            </w:pPr>
            <w:r w:rsidRPr="009B2D4B">
              <w:rPr>
                <w:b/>
                <w:lang w:val="it-IT"/>
              </w:rPr>
              <w:t>Document C</w:t>
            </w:r>
            <w:r w:rsidR="00A52C84" w:rsidRPr="009B2D4B">
              <w:rPr>
                <w:b/>
                <w:lang w:val="it-IT"/>
              </w:rPr>
              <w:t>WG-</w:t>
            </w:r>
            <w:r w:rsidR="009F347C" w:rsidRPr="009B2D4B">
              <w:rPr>
                <w:b/>
                <w:lang w:val="it-IT"/>
              </w:rPr>
              <w:t>FHR</w:t>
            </w:r>
            <w:r w:rsidR="00A52C84" w:rsidRPr="009B2D4B">
              <w:rPr>
                <w:b/>
                <w:lang w:val="it-IT"/>
              </w:rPr>
              <w:t>-</w:t>
            </w:r>
            <w:r w:rsidR="002404ED" w:rsidRPr="009B2D4B">
              <w:rPr>
                <w:b/>
                <w:lang w:val="it-IT"/>
              </w:rPr>
              <w:t>16</w:t>
            </w:r>
            <w:r w:rsidRPr="009B2D4B">
              <w:rPr>
                <w:b/>
                <w:lang w:val="it-IT"/>
              </w:rPr>
              <w:t>/</w:t>
            </w:r>
            <w:r w:rsidR="00FD754D">
              <w:rPr>
                <w:b/>
                <w:lang w:val="it-IT"/>
              </w:rPr>
              <w:t>7</w:t>
            </w:r>
          </w:p>
        </w:tc>
      </w:tr>
      <w:tr w:rsidR="00AD3606" w:rsidRPr="00813E5E" w14:paraId="789B45BA" w14:textId="77777777" w:rsidTr="25E108D6">
        <w:trPr>
          <w:cantSplit/>
        </w:trPr>
        <w:tc>
          <w:tcPr>
            <w:tcW w:w="3969" w:type="dxa"/>
            <w:vMerge/>
          </w:tcPr>
          <w:p w14:paraId="3F3D4E17" w14:textId="77777777" w:rsidR="00AD3606" w:rsidRPr="009B2D4B" w:rsidRDefault="00AD3606" w:rsidP="00AD3606">
            <w:pPr>
              <w:tabs>
                <w:tab w:val="left" w:pos="851"/>
              </w:tabs>
              <w:spacing w:line="240" w:lineRule="atLeast"/>
              <w:rPr>
                <w:b/>
                <w:lang w:val="it-IT"/>
              </w:rPr>
            </w:pPr>
            <w:bookmarkStart w:id="6" w:name="ddate" w:colFirst="1" w:colLast="1"/>
            <w:bookmarkEnd w:id="0"/>
            <w:bookmarkEnd w:id="1"/>
          </w:p>
        </w:tc>
        <w:tc>
          <w:tcPr>
            <w:tcW w:w="5245" w:type="dxa"/>
          </w:tcPr>
          <w:p w14:paraId="2DE9ACEA" w14:textId="41CDAE2C" w:rsidR="00AD3606" w:rsidRPr="00E85629" w:rsidRDefault="007E0258" w:rsidP="00AD3606">
            <w:pPr>
              <w:tabs>
                <w:tab w:val="left" w:pos="851"/>
              </w:tabs>
              <w:spacing w:before="0"/>
              <w:jc w:val="right"/>
              <w:rPr>
                <w:b/>
              </w:rPr>
            </w:pPr>
            <w:r>
              <w:rPr>
                <w:b/>
              </w:rPr>
              <w:t>11</w:t>
            </w:r>
            <w:r w:rsidR="00AD3606">
              <w:rPr>
                <w:b/>
              </w:rPr>
              <w:t xml:space="preserve"> </w:t>
            </w:r>
            <w:r w:rsidR="005A335D">
              <w:rPr>
                <w:b/>
              </w:rPr>
              <w:t>September</w:t>
            </w:r>
            <w:r w:rsidR="00AD3606">
              <w:rPr>
                <w:b/>
              </w:rPr>
              <w:t xml:space="preserve"> 2023</w:t>
            </w:r>
          </w:p>
        </w:tc>
      </w:tr>
      <w:tr w:rsidR="00AD3606" w:rsidRPr="00813E5E" w14:paraId="58A84C4A" w14:textId="77777777" w:rsidTr="25E108D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21480245" w:rsidR="00AD3606" w:rsidRPr="00E85629" w:rsidRDefault="00891503" w:rsidP="00AD3606">
            <w:pPr>
              <w:tabs>
                <w:tab w:val="left" w:pos="851"/>
              </w:tabs>
              <w:spacing w:before="0" w:line="240" w:lineRule="atLeast"/>
              <w:jc w:val="right"/>
              <w:rPr>
                <w:b/>
              </w:rPr>
            </w:pPr>
            <w:r>
              <w:rPr>
                <w:b/>
              </w:rPr>
              <w:t>English</w:t>
            </w:r>
            <w:r w:rsidR="009B2D4B">
              <w:rPr>
                <w:b/>
              </w:rPr>
              <w:t xml:space="preserve"> only</w:t>
            </w:r>
          </w:p>
        </w:tc>
      </w:tr>
      <w:tr w:rsidR="00472BAD" w:rsidRPr="00813E5E" w14:paraId="12C5EF5F" w14:textId="77777777" w:rsidTr="25E108D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25E108D6">
        <w:trPr>
          <w:cantSplit/>
        </w:trPr>
        <w:tc>
          <w:tcPr>
            <w:tcW w:w="9214" w:type="dxa"/>
            <w:gridSpan w:val="2"/>
            <w:tcMar>
              <w:left w:w="0" w:type="dxa"/>
            </w:tcMar>
          </w:tcPr>
          <w:p w14:paraId="4E7CDB90" w14:textId="69E3B982" w:rsidR="00AD3606" w:rsidRPr="00813E5E" w:rsidRDefault="00244F7F" w:rsidP="00AD3606">
            <w:pPr>
              <w:pStyle w:val="Source"/>
              <w:framePr w:hSpace="0" w:wrap="auto" w:vAnchor="margin" w:hAnchor="text" w:yAlign="inline"/>
            </w:pPr>
            <w:bookmarkStart w:id="8" w:name="dsource" w:colFirst="0" w:colLast="0"/>
            <w:bookmarkEnd w:id="7"/>
            <w:r>
              <w:t>Contribution</w:t>
            </w:r>
            <w:r w:rsidR="00AD3606" w:rsidRPr="002C54E2">
              <w:t xml:space="preserve"> </w:t>
            </w:r>
            <w:r w:rsidR="00AD3606">
              <w:t>by</w:t>
            </w:r>
            <w:r w:rsidR="00AD3606" w:rsidRPr="002C54E2">
              <w:t xml:space="preserve"> </w:t>
            </w:r>
            <w:r w:rsidR="00AD3606">
              <w:t>the</w:t>
            </w:r>
            <w:r w:rsidR="00AD3606" w:rsidRPr="002C54E2">
              <w:t xml:space="preserve"> </w:t>
            </w:r>
            <w:r w:rsidR="00A52C84">
              <w:t>secretariat</w:t>
            </w:r>
          </w:p>
        </w:tc>
      </w:tr>
      <w:tr w:rsidR="00AD3606" w:rsidRPr="00813E5E" w14:paraId="2340750D" w14:textId="77777777" w:rsidTr="25E108D6">
        <w:trPr>
          <w:cantSplit/>
        </w:trPr>
        <w:tc>
          <w:tcPr>
            <w:tcW w:w="9214" w:type="dxa"/>
            <w:gridSpan w:val="2"/>
            <w:tcMar>
              <w:left w:w="0" w:type="dxa"/>
            </w:tcMar>
          </w:tcPr>
          <w:p w14:paraId="47B91AA8" w14:textId="1CAB0DF5" w:rsidR="00AD3606" w:rsidRPr="00813E5E" w:rsidRDefault="00FC4097" w:rsidP="00DF0189">
            <w:pPr>
              <w:pStyle w:val="Subtitle"/>
              <w:framePr w:hSpace="0" w:wrap="auto" w:hAnchor="text" w:xAlign="left" w:yAlign="inline"/>
            </w:pPr>
            <w:bookmarkStart w:id="9" w:name="dtitle1" w:colFirst="0" w:colLast="0"/>
            <w:bookmarkEnd w:id="8"/>
            <w:r w:rsidRPr="00FC4097">
              <w:t>IMPLEMENTATION OF RESOLUTION 167 (REV. BUCHAREST, 2022) OF THE PLENIPOTENTIARY CONFERENCE FROM 2024 AND BEYOND</w:t>
            </w:r>
          </w:p>
        </w:tc>
      </w:tr>
      <w:tr w:rsidR="00AD3606" w:rsidRPr="00813E5E" w14:paraId="1F564D2D" w14:textId="77777777" w:rsidTr="25E108D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4733C985" w14:textId="77777777" w:rsidR="00FC4097" w:rsidRPr="001A2FD1" w:rsidRDefault="00FC4097" w:rsidP="00FC4097">
            <w:pPr>
              <w:spacing w:after="120"/>
              <w:rPr>
                <w:rFonts w:cs="Calibri"/>
                <w:szCs w:val="24"/>
              </w:rPr>
            </w:pPr>
            <w:r w:rsidRPr="001A2FD1">
              <w:rPr>
                <w:rFonts w:cs="Calibri"/>
                <w:szCs w:val="24"/>
              </w:rPr>
              <w:t>Resolution 167 (Rev. Bucharest, 2022) of the Plenipotentiary Conference instructs the ITU Council:</w:t>
            </w:r>
          </w:p>
          <w:p w14:paraId="28C6D1E1" w14:textId="77777777" w:rsidR="00FC4097" w:rsidRPr="001A2FD1" w:rsidRDefault="00FC4097" w:rsidP="00FC4097">
            <w:pPr>
              <w:pStyle w:val="paragraph"/>
              <w:numPr>
                <w:ilvl w:val="0"/>
                <w:numId w:val="2"/>
              </w:numPr>
              <w:spacing w:before="60" w:beforeAutospacing="0" w:after="60" w:afterAutospacing="0"/>
              <w:ind w:left="993" w:right="567" w:hanging="426"/>
              <w:textAlignment w:val="baseline"/>
              <w:rPr>
                <w:rFonts w:ascii="Calibri" w:hAnsi="Calibri" w:cs="Calibri"/>
                <w:lang w:eastAsia="en-US"/>
              </w:rPr>
            </w:pPr>
            <w:r w:rsidRPr="001A2FD1">
              <w:rPr>
                <w:rFonts w:ascii="Calibri" w:hAnsi="Calibri" w:cs="Calibri"/>
                <w:lang w:eastAsia="en-US"/>
              </w:rPr>
              <w:t xml:space="preserve">to study and develop high-level guidance for the management and governance of fully virtual meetings and physical meetings with remote participation, taking into account Annex 1 to this </w:t>
            </w:r>
            <w:proofErr w:type="gramStart"/>
            <w:r w:rsidRPr="001A2FD1">
              <w:rPr>
                <w:rFonts w:ascii="Calibri" w:hAnsi="Calibri" w:cs="Calibri"/>
                <w:lang w:eastAsia="en-US"/>
              </w:rPr>
              <w:t>resolution;</w:t>
            </w:r>
            <w:proofErr w:type="gramEnd"/>
          </w:p>
          <w:p w14:paraId="6E6E610E" w14:textId="77777777" w:rsidR="00FC4097" w:rsidRPr="001A2FD1" w:rsidRDefault="00FC4097" w:rsidP="00FC4097">
            <w:pPr>
              <w:pStyle w:val="paragraph"/>
              <w:numPr>
                <w:ilvl w:val="0"/>
                <w:numId w:val="2"/>
              </w:numPr>
              <w:spacing w:before="60" w:beforeAutospacing="0" w:after="60" w:afterAutospacing="0"/>
              <w:ind w:left="993" w:right="567" w:hanging="426"/>
              <w:textAlignment w:val="baseline"/>
              <w:rPr>
                <w:rFonts w:ascii="Calibri" w:hAnsi="Calibri" w:cs="Calibri"/>
                <w:lang w:eastAsia="en-US"/>
              </w:rPr>
            </w:pPr>
            <w:r w:rsidRPr="001A2FD1">
              <w:rPr>
                <w:rFonts w:ascii="Calibri" w:hAnsi="Calibri" w:cs="Calibri"/>
                <w:lang w:eastAsia="en-US"/>
              </w:rPr>
              <w:t xml:space="preserve">to consider the financial requirements to implement this resolution and allocate the necessary financial resources, within the limits of the resources available and consistent with the financial and strategic </w:t>
            </w:r>
            <w:proofErr w:type="gramStart"/>
            <w:r w:rsidRPr="001A2FD1">
              <w:rPr>
                <w:rFonts w:ascii="Calibri" w:hAnsi="Calibri" w:cs="Calibri"/>
                <w:lang w:eastAsia="en-US"/>
              </w:rPr>
              <w:t>plans;</w:t>
            </w:r>
            <w:proofErr w:type="gramEnd"/>
            <w:r w:rsidRPr="001A2FD1">
              <w:rPr>
                <w:rFonts w:ascii="Calibri" w:hAnsi="Calibri" w:cs="Calibri"/>
                <w:lang w:eastAsia="en-US"/>
              </w:rPr>
              <w:t> </w:t>
            </w:r>
          </w:p>
          <w:p w14:paraId="1B8E3865" w14:textId="77777777" w:rsidR="00FC4097" w:rsidRDefault="00FC4097" w:rsidP="00FC4097">
            <w:pPr>
              <w:pStyle w:val="paragraph"/>
              <w:numPr>
                <w:ilvl w:val="0"/>
                <w:numId w:val="2"/>
              </w:numPr>
              <w:spacing w:before="60" w:beforeAutospacing="0" w:after="60" w:afterAutospacing="0"/>
              <w:ind w:left="993" w:right="567" w:hanging="426"/>
              <w:textAlignment w:val="baseline"/>
              <w:rPr>
                <w:rFonts w:ascii="Calibri" w:hAnsi="Calibri" w:cs="Calibri"/>
                <w:lang w:eastAsia="en-US"/>
              </w:rPr>
            </w:pPr>
            <w:r w:rsidRPr="001A2FD1">
              <w:rPr>
                <w:rFonts w:ascii="Calibri" w:hAnsi="Calibri" w:cs="Calibri"/>
                <w:lang w:eastAsia="en-US"/>
              </w:rPr>
              <w:t>to report and provide recommendations to the plenipotentiary conference in 2026.</w:t>
            </w:r>
          </w:p>
          <w:p w14:paraId="3A163A28" w14:textId="51EA19B4" w:rsidR="00FC4097" w:rsidRPr="001A2FD1" w:rsidRDefault="00FC4097" w:rsidP="00FC4097">
            <w:pPr>
              <w:pStyle w:val="paragraph"/>
              <w:spacing w:before="120" w:beforeAutospacing="0" w:after="120" w:afterAutospacing="0"/>
              <w:textAlignment w:val="baseline"/>
              <w:rPr>
                <w:rFonts w:ascii="Calibri" w:hAnsi="Calibri" w:cs="Calibri"/>
                <w:sz w:val="22"/>
                <w:szCs w:val="22"/>
                <w:lang w:eastAsia="en-US"/>
              </w:rPr>
            </w:pPr>
            <w:r w:rsidRPr="00CB7715">
              <w:rPr>
                <w:rFonts w:ascii="Calibri" w:hAnsi="Calibri" w:cs="Calibri"/>
                <w:bCs/>
                <w:spacing w:val="2"/>
                <w:lang w:eastAsia="en-US"/>
              </w:rPr>
              <w:t>The report by the Secretary-General to Council 2023 (Document C23/54)</w:t>
            </w:r>
            <w:r>
              <w:rPr>
                <w:rFonts w:ascii="Calibri" w:hAnsi="Calibri" w:cs="Calibri"/>
                <w:b/>
                <w:spacing w:val="2"/>
                <w:lang w:eastAsia="en-US"/>
              </w:rPr>
              <w:t xml:space="preserve"> </w:t>
            </w:r>
            <w:r w:rsidRPr="001A2FD1">
              <w:rPr>
                <w:rFonts w:ascii="Calibri" w:hAnsi="Calibri" w:cs="Calibri"/>
                <w:spacing w:val="2"/>
                <w:lang w:eastAsia="en-US"/>
              </w:rPr>
              <w:t>outline</w:t>
            </w:r>
            <w:r>
              <w:rPr>
                <w:rFonts w:ascii="Calibri" w:hAnsi="Calibri" w:cs="Calibri"/>
                <w:spacing w:val="2"/>
                <w:lang w:eastAsia="en-US"/>
              </w:rPr>
              <w:t>d</w:t>
            </w:r>
            <w:r w:rsidRPr="001A2FD1">
              <w:rPr>
                <w:rFonts w:ascii="Calibri" w:hAnsi="Calibri" w:cs="Calibri"/>
                <w:spacing w:val="2"/>
                <w:lang w:eastAsia="en-US"/>
              </w:rPr>
              <w:t xml:space="preserve"> the activities and developments since the Plenipotentiary Conference (Bucharest, 2022), to assist the Council in developing</w:t>
            </w:r>
            <w:r w:rsidRPr="001A2FD1">
              <w:rPr>
                <w:rFonts w:ascii="Calibri" w:hAnsi="Calibri" w:cs="Calibri"/>
                <w:lang w:eastAsia="en-US"/>
              </w:rPr>
              <w:t xml:space="preserve"> high-level guidance for the management and governance of fully virtual meetings and physical meetings with remote participation.</w:t>
            </w:r>
            <w:r>
              <w:rPr>
                <w:rFonts w:ascii="Calibri" w:hAnsi="Calibri" w:cs="Calibri"/>
                <w:lang w:eastAsia="en-US"/>
              </w:rPr>
              <w:t xml:space="preserve"> The </w:t>
            </w:r>
            <w:r w:rsidRPr="001A2FD1">
              <w:rPr>
                <w:rFonts w:asciiTheme="minorHAnsi" w:eastAsiaTheme="minorEastAsia" w:hAnsiTheme="minorHAnsi" w:cstheme="minorHAnsi"/>
              </w:rPr>
              <w:t xml:space="preserve">Council </w:t>
            </w:r>
            <w:r>
              <w:rPr>
                <w:rFonts w:asciiTheme="minorHAnsi" w:eastAsiaTheme="minorEastAsia" w:hAnsiTheme="minorHAnsi" w:cstheme="minorHAnsi"/>
              </w:rPr>
              <w:t>wa</w:t>
            </w:r>
            <w:r w:rsidRPr="001A2FD1">
              <w:rPr>
                <w:rFonts w:asciiTheme="minorHAnsi" w:eastAsiaTheme="minorEastAsia" w:hAnsiTheme="minorHAnsi" w:cstheme="minorHAnsi"/>
              </w:rPr>
              <w:t xml:space="preserve">s invited </w:t>
            </w:r>
            <w:r w:rsidRPr="001A2FD1">
              <w:rPr>
                <w:rFonts w:asciiTheme="minorHAnsi" w:eastAsiaTheme="minorEastAsia" w:hAnsiTheme="minorHAnsi" w:cstheme="minorHAnsi"/>
                <w:b/>
                <w:bCs/>
              </w:rPr>
              <w:t>to note</w:t>
            </w:r>
            <w:r w:rsidRPr="001A2FD1">
              <w:rPr>
                <w:rFonts w:asciiTheme="minorHAnsi" w:eastAsiaTheme="minorEastAsia" w:hAnsiTheme="minorHAnsi" w:cstheme="minorHAnsi"/>
              </w:rPr>
              <w:t xml:space="preserve"> th</w:t>
            </w:r>
            <w:r>
              <w:rPr>
                <w:rFonts w:asciiTheme="minorHAnsi" w:eastAsiaTheme="minorEastAsia" w:hAnsiTheme="minorHAnsi" w:cstheme="minorHAnsi"/>
              </w:rPr>
              <w:t>e</w:t>
            </w:r>
            <w:r w:rsidRPr="001A2FD1">
              <w:rPr>
                <w:rFonts w:asciiTheme="minorHAnsi" w:eastAsiaTheme="minorEastAsia" w:hAnsiTheme="minorHAnsi" w:cstheme="minorHAnsi"/>
              </w:rPr>
              <w:t xml:space="preserve"> report and </w:t>
            </w:r>
            <w:r w:rsidRPr="001A2FD1">
              <w:rPr>
                <w:rFonts w:asciiTheme="minorHAnsi" w:eastAsiaTheme="minorEastAsia" w:hAnsiTheme="minorHAnsi" w:cstheme="minorHAnsi"/>
                <w:b/>
                <w:bCs/>
              </w:rPr>
              <w:t>to provide the Union with high-level guidance</w:t>
            </w:r>
            <w:r w:rsidRPr="001A2FD1">
              <w:rPr>
                <w:rFonts w:asciiTheme="minorHAnsi" w:eastAsiaTheme="minorEastAsia" w:hAnsiTheme="minorHAnsi" w:cstheme="minorHAnsi"/>
              </w:rPr>
              <w:t xml:space="preserve"> for the management and governance of fully virtual meetings and physical meetings with remote participation and for possible funding mechanisms</w:t>
            </w:r>
            <w:r>
              <w:rPr>
                <w:rFonts w:asciiTheme="minorHAnsi" w:eastAsiaTheme="minorEastAsia" w:hAnsiTheme="minorHAnsi" w:cstheme="minorHAnsi"/>
              </w:rPr>
              <w:t>.</w:t>
            </w:r>
          </w:p>
          <w:p w14:paraId="01C1E49B" w14:textId="77777777" w:rsidR="00FC4097" w:rsidRDefault="00FC4097" w:rsidP="00FC4097">
            <w:pPr>
              <w:pStyle w:val="NormalWeb"/>
              <w:spacing w:before="120" w:beforeAutospacing="0" w:after="120" w:afterAutospacing="0"/>
              <w:rPr>
                <w:rFonts w:ascii="Calibri" w:eastAsia="SimSun" w:hAnsi="Calibri" w:cs="Calibri"/>
                <w:lang w:eastAsia="en-US"/>
              </w:rPr>
            </w:pPr>
            <w:r w:rsidRPr="00467D46">
              <w:rPr>
                <w:rFonts w:ascii="Calibri" w:eastAsia="SimSun" w:hAnsi="Calibri" w:cs="Calibri"/>
                <w:lang w:eastAsia="en-US"/>
              </w:rPr>
              <w:t>Council 2023 concluded that remote participation is an invaluable tool for Member States and instructed the Secretary-General to prepare a roadmap for the harmonization and the development of facilities and capabilities to organize and conduct fully virtual meetings and physical meetings with remote participation by electronic means for the meetings of the Union</w:t>
            </w:r>
            <w:r>
              <w:rPr>
                <w:rFonts w:ascii="Calibri" w:eastAsia="SimSun" w:hAnsi="Calibri" w:cs="Calibri"/>
                <w:lang w:eastAsia="en-US"/>
              </w:rPr>
              <w:t xml:space="preserve">, </w:t>
            </w:r>
            <w:r w:rsidRPr="00AE53D7">
              <w:rPr>
                <w:rFonts w:ascii="Calibri" w:eastAsia="SimSun" w:hAnsi="Calibri" w:cs="Calibri"/>
                <w:lang w:eastAsia="en-US"/>
              </w:rPr>
              <w:t>for submission to the 2024 session of the Council.</w:t>
            </w:r>
            <w:r>
              <w:rPr>
                <w:rFonts w:ascii="Calibri" w:eastAsia="SimSun" w:hAnsi="Calibri" w:cs="Calibri"/>
                <w:lang w:eastAsia="en-US"/>
              </w:rPr>
              <w:t xml:space="preserve"> </w:t>
            </w:r>
          </w:p>
          <w:p w14:paraId="066BBA25" w14:textId="77777777" w:rsidR="00FC4097" w:rsidRPr="00CB7715" w:rsidRDefault="00FC4097" w:rsidP="25E108D6">
            <w:pPr>
              <w:pStyle w:val="NormalWeb"/>
              <w:spacing w:before="120" w:beforeAutospacing="0" w:after="120" w:afterAutospacing="0"/>
              <w:rPr>
                <w:rFonts w:ascii="Calibri" w:eastAsia="SimSun" w:hAnsi="Calibri" w:cs="Calibri"/>
                <w:lang w:eastAsia="en-US"/>
              </w:rPr>
            </w:pPr>
            <w:r w:rsidRPr="25E108D6">
              <w:rPr>
                <w:rFonts w:ascii="Calibri" w:eastAsia="SimSun" w:hAnsi="Calibri" w:cs="Calibri"/>
                <w:lang w:eastAsia="en-US"/>
              </w:rPr>
              <w:t>Council 2023 took note that the financial implications of CHF 855 000/year and possible capital investment of CHF 1 million once every five years as reported in document PP-22/64, would be financed within the limits of the resources available from the efficiency measures and other savings.</w:t>
            </w:r>
          </w:p>
          <w:p w14:paraId="0069FED7" w14:textId="6E6302E7" w:rsidR="00FC4097" w:rsidRPr="00467D46" w:rsidRDefault="00FC4097" w:rsidP="25E108D6">
            <w:pPr>
              <w:pStyle w:val="paragraph"/>
              <w:spacing w:before="120" w:beforeAutospacing="0" w:after="120" w:afterAutospacing="0"/>
              <w:textAlignment w:val="baseline"/>
              <w:rPr>
                <w:rFonts w:ascii="Calibri" w:eastAsia="SimSun" w:hAnsi="Calibri" w:cs="Calibri"/>
                <w:lang w:eastAsia="en-US"/>
              </w:rPr>
            </w:pPr>
            <w:r w:rsidRPr="25E108D6">
              <w:rPr>
                <w:rFonts w:ascii="Calibri" w:eastAsia="SimSun" w:hAnsi="Calibri" w:cs="Calibri"/>
                <w:lang w:eastAsia="en-US"/>
              </w:rPr>
              <w:lastRenderedPageBreak/>
              <w:t xml:space="preserve">However, </w:t>
            </w:r>
            <w:r w:rsidR="6C5600A5" w:rsidRPr="25E108D6">
              <w:rPr>
                <w:rFonts w:ascii="Calibri" w:eastAsia="SimSun" w:hAnsi="Calibri" w:cs="Calibri"/>
                <w:lang w:eastAsia="en-US"/>
              </w:rPr>
              <w:t xml:space="preserve">having regard to the challenging budgetary situation on the Union, additional extrabudgetary resources would be helpful to ensure </w:t>
            </w:r>
            <w:r w:rsidR="140E8F41" w:rsidRPr="25E108D6">
              <w:rPr>
                <w:rFonts w:ascii="Calibri" w:eastAsia="SimSun" w:hAnsi="Calibri" w:cs="Calibri"/>
                <w:lang w:eastAsia="en-US"/>
              </w:rPr>
              <w:t xml:space="preserve">appropriate support for conducting of </w:t>
            </w:r>
            <w:r w:rsidR="5ACF0C8D" w:rsidRPr="25E108D6">
              <w:rPr>
                <w:rFonts w:ascii="Calibri" w:hAnsi="Calibri" w:cs="Calibri"/>
                <w:lang w:eastAsia="en-US"/>
              </w:rPr>
              <w:t>fully virtual meetings and physical meetings with remote participation</w:t>
            </w:r>
            <w:r w:rsidRPr="25E108D6">
              <w:rPr>
                <w:rFonts w:ascii="Calibri" w:eastAsia="SimSun" w:hAnsi="Calibri" w:cs="Calibri"/>
                <w:lang w:eastAsia="en-US"/>
              </w:rPr>
              <w:t>.</w:t>
            </w:r>
          </w:p>
          <w:p w14:paraId="5076D5C4" w14:textId="28F00572" w:rsidR="00AD3606" w:rsidRPr="00F16BAB" w:rsidRDefault="00AD3606" w:rsidP="00F16BAB">
            <w:pPr>
              <w:spacing w:before="160"/>
              <w:rPr>
                <w:b/>
                <w:bCs/>
                <w:sz w:val="26"/>
                <w:szCs w:val="26"/>
              </w:rPr>
            </w:pPr>
            <w:r w:rsidRPr="00F16BAB">
              <w:rPr>
                <w:b/>
                <w:bCs/>
                <w:sz w:val="26"/>
                <w:szCs w:val="26"/>
              </w:rPr>
              <w:t xml:space="preserve">Action </w:t>
            </w:r>
            <w:proofErr w:type="gramStart"/>
            <w:r w:rsidRPr="00F16BAB">
              <w:rPr>
                <w:b/>
                <w:bCs/>
                <w:sz w:val="26"/>
                <w:szCs w:val="26"/>
              </w:rPr>
              <w:t>required</w:t>
            </w:r>
            <w:proofErr w:type="gramEnd"/>
          </w:p>
          <w:p w14:paraId="53A776F1" w14:textId="7871DC77" w:rsidR="00891503" w:rsidRDefault="007D5DC2">
            <w:pPr>
              <w:spacing w:before="160"/>
            </w:pPr>
            <w:r w:rsidRPr="25E108D6">
              <w:rPr>
                <w:rFonts w:asciiTheme="minorHAnsi" w:eastAsiaTheme="minorEastAsia" w:hAnsiTheme="minorHAnsi" w:cstheme="minorBidi"/>
              </w:rPr>
              <w:t xml:space="preserve">While the Secretariat will continue its effort to </w:t>
            </w:r>
            <w:r w:rsidR="52B37472" w:rsidRPr="25E108D6">
              <w:rPr>
                <w:rFonts w:asciiTheme="minorHAnsi" w:eastAsiaTheme="minorEastAsia" w:hAnsiTheme="minorHAnsi" w:cstheme="minorBidi"/>
              </w:rPr>
              <w:t xml:space="preserve">identify </w:t>
            </w:r>
            <w:r w:rsidRPr="25E108D6">
              <w:rPr>
                <w:rFonts w:asciiTheme="minorHAnsi" w:eastAsiaTheme="minorEastAsia" w:hAnsiTheme="minorHAnsi" w:cstheme="minorBidi"/>
              </w:rPr>
              <w:t xml:space="preserve">savings </w:t>
            </w:r>
            <w:r w:rsidR="7507A3F6" w:rsidRPr="25E108D6">
              <w:rPr>
                <w:rFonts w:asciiTheme="minorHAnsi" w:eastAsiaTheme="minorEastAsia" w:hAnsiTheme="minorHAnsi" w:cstheme="minorBidi"/>
              </w:rPr>
              <w:t xml:space="preserve">that would allow funding of appropriate support to </w:t>
            </w:r>
            <w:r w:rsidR="7507A3F6" w:rsidRPr="25E108D6">
              <w:rPr>
                <w:rFonts w:cs="Calibri"/>
              </w:rPr>
              <w:t>fully virtual meetings and physical meetings with remote participation</w:t>
            </w:r>
            <w:r w:rsidRPr="25E108D6">
              <w:rPr>
                <w:rFonts w:asciiTheme="minorHAnsi" w:eastAsiaTheme="minorEastAsia" w:hAnsiTheme="minorHAnsi" w:cstheme="minorBidi"/>
              </w:rPr>
              <w:t>, t</w:t>
            </w:r>
            <w:r w:rsidRPr="25E108D6">
              <w:rPr>
                <w:rFonts w:asciiTheme="minorHAnsi" w:eastAsiaTheme="minorEastAsia" w:hAnsiTheme="minorHAnsi" w:cstheme="minorBidi"/>
              </w:rPr>
              <w:t xml:space="preserve">he Council Working Group on Finance and Human Resources is invited to </w:t>
            </w:r>
            <w:r w:rsidRPr="007B0638">
              <w:rPr>
                <w:rFonts w:asciiTheme="minorHAnsi" w:eastAsiaTheme="minorEastAsia" w:hAnsiTheme="minorHAnsi" w:cstheme="minorBidi"/>
                <w:b/>
                <w:bCs/>
              </w:rPr>
              <w:t>note</w:t>
            </w:r>
            <w:r w:rsidRPr="25E108D6">
              <w:rPr>
                <w:rFonts w:asciiTheme="minorHAnsi" w:eastAsiaTheme="minorEastAsia" w:hAnsiTheme="minorHAnsi" w:cstheme="minorBidi"/>
              </w:rPr>
              <w:t xml:space="preserve"> this report and </w:t>
            </w:r>
            <w:r w:rsidR="3205E70B" w:rsidRPr="007B0638">
              <w:rPr>
                <w:rFonts w:asciiTheme="minorHAnsi" w:eastAsiaTheme="minorEastAsia" w:hAnsiTheme="minorHAnsi" w:cstheme="minorBidi"/>
                <w:b/>
                <w:bCs/>
              </w:rPr>
              <w:t xml:space="preserve">invite Member States to </w:t>
            </w:r>
            <w:r w:rsidRPr="007B0638">
              <w:rPr>
                <w:rFonts w:asciiTheme="minorHAnsi" w:eastAsiaTheme="minorEastAsia" w:hAnsiTheme="minorHAnsi" w:cstheme="minorBidi"/>
                <w:b/>
                <w:bCs/>
              </w:rPr>
              <w:t>assist</w:t>
            </w:r>
            <w:r w:rsidRPr="25E108D6">
              <w:rPr>
                <w:rFonts w:asciiTheme="minorHAnsi" w:eastAsiaTheme="minorEastAsia" w:hAnsiTheme="minorHAnsi" w:cstheme="minorBidi"/>
              </w:rPr>
              <w:t xml:space="preserve"> </w:t>
            </w:r>
            <w:r w:rsidR="378A84EE" w:rsidRPr="25E108D6">
              <w:rPr>
                <w:rFonts w:asciiTheme="minorHAnsi" w:eastAsiaTheme="minorEastAsia" w:hAnsiTheme="minorHAnsi" w:cstheme="minorBidi"/>
              </w:rPr>
              <w:t xml:space="preserve">in this regard </w:t>
            </w:r>
            <w:r w:rsidRPr="25E108D6">
              <w:rPr>
                <w:rFonts w:asciiTheme="minorHAnsi" w:eastAsiaTheme="minorEastAsia" w:hAnsiTheme="minorHAnsi" w:cstheme="minorBidi"/>
              </w:rPr>
              <w:t>with voluntary contributions</w:t>
            </w:r>
            <w:r w:rsidRPr="25E108D6">
              <w:rPr>
                <w:rFonts w:asciiTheme="minorHAnsi" w:eastAsiaTheme="minorEastAsia" w:hAnsiTheme="minorHAnsi" w:cstheme="minorBidi"/>
              </w:rPr>
              <w:t xml:space="preserve"> to cover the necessary </w:t>
            </w:r>
            <w:r w:rsidR="5DFB3B32" w:rsidRPr="25E108D6">
              <w:rPr>
                <w:rFonts w:asciiTheme="minorHAnsi" w:eastAsiaTheme="minorEastAsia" w:hAnsiTheme="minorHAnsi" w:cstheme="minorBidi"/>
              </w:rPr>
              <w:t>costs</w:t>
            </w:r>
            <w:r w:rsidRPr="25E108D6">
              <w:rPr>
                <w:rFonts w:asciiTheme="minorHAnsi" w:eastAsiaTheme="minorEastAsia" w:hAnsiTheme="minorHAnsi" w:cstheme="minorBidi"/>
              </w:rPr>
              <w:t xml:space="preserve"> as reported in document</w:t>
            </w:r>
            <w:r w:rsidRPr="25E108D6">
              <w:rPr>
                <w:rFonts w:eastAsiaTheme="minorEastAsia"/>
              </w:rPr>
              <w:t xml:space="preserve"> </w:t>
            </w:r>
            <w:hyperlink r:id="rId11">
              <w:r w:rsidRPr="25E108D6">
                <w:rPr>
                  <w:rFonts w:eastAsiaTheme="minorEastAsia"/>
                </w:rPr>
                <w:t>PP-22/64</w:t>
              </w:r>
            </w:hyperlink>
            <w:r w:rsidRPr="25E108D6">
              <w:rPr>
                <w:rFonts w:eastAsiaTheme="minorEastAsia"/>
              </w:rPr>
              <w:t>.</w:t>
            </w:r>
          </w:p>
          <w:p w14:paraId="2AAB18B0" w14:textId="53B34B54" w:rsidR="00AD3606" w:rsidRPr="00813E5E" w:rsidRDefault="00891503" w:rsidP="00891503">
            <w:pPr>
              <w:spacing w:before="160"/>
              <w:rPr>
                <w:caps/>
                <w:sz w:val="22"/>
              </w:rPr>
            </w:pPr>
            <w:r w:rsidRPr="00891503">
              <w:rPr>
                <w:sz w:val="22"/>
              </w:rPr>
              <w:t>__________________</w:t>
            </w:r>
            <w:r w:rsidR="00AD3606" w:rsidRPr="00813E5E">
              <w:rPr>
                <w:sz w:val="22"/>
              </w:rPr>
              <w:t>____________</w:t>
            </w:r>
            <w:r w:rsidR="00AD3606">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0175CD6C" w14:textId="27E2E9A4" w:rsidR="00AD3606" w:rsidRDefault="007B0638" w:rsidP="00F16BAB">
            <w:pPr>
              <w:spacing w:after="160"/>
            </w:pPr>
            <w:hyperlink r:id="rId12" w:history="1">
              <w:r w:rsidR="00FC4097" w:rsidRPr="00673512">
                <w:rPr>
                  <w:rStyle w:val="Hyperlink"/>
                </w:rPr>
                <w:t>Document C23/54</w:t>
              </w:r>
            </w:hyperlink>
            <w:r w:rsidR="00FC4097">
              <w:t xml:space="preserve">; </w:t>
            </w:r>
            <w:hyperlink r:id="rId13" w:history="1">
              <w:r w:rsidR="00FC4097" w:rsidRPr="001A2FD1">
                <w:rPr>
                  <w:rStyle w:val="Hyperlink"/>
                </w:rPr>
                <w:t>Document PP-22/64</w:t>
              </w:r>
            </w:hyperlink>
            <w:r w:rsidR="00FC4097" w:rsidRPr="001A2FD1">
              <w:t xml:space="preserve">; </w:t>
            </w:r>
            <w:hyperlink r:id="rId14" w:history="1">
              <w:r w:rsidR="00FC4097" w:rsidRPr="00CB1FC1">
                <w:rPr>
                  <w:rStyle w:val="Hyperlink"/>
                </w:rPr>
                <w:t>Document C22/43</w:t>
              </w:r>
            </w:hyperlink>
            <w:r w:rsidR="00FC4097">
              <w:t xml:space="preserve">; </w:t>
            </w:r>
            <w:hyperlink r:id="rId15" w:history="1">
              <w:r w:rsidR="00FC4097" w:rsidRPr="00BD14B9">
                <w:rPr>
                  <w:rStyle w:val="Hyperlink"/>
                </w:rPr>
                <w:t>Resolution 1411</w:t>
              </w:r>
            </w:hyperlink>
            <w:r w:rsidR="00FC4097">
              <w:t xml:space="preserve">; </w:t>
            </w:r>
            <w:hyperlink r:id="rId16" w:history="1">
              <w:r w:rsidR="00FC4097" w:rsidRPr="008B3D93">
                <w:rPr>
                  <w:rStyle w:val="Hyperlink"/>
                </w:rPr>
                <w:t>Resolution 1412</w:t>
              </w:r>
            </w:hyperlink>
            <w:r w:rsidR="00FC4097">
              <w:t xml:space="preserve">; </w:t>
            </w:r>
            <w:hyperlink r:id="rId17" w:history="1">
              <w:r w:rsidR="00FC4097" w:rsidRPr="00CB1FC1">
                <w:rPr>
                  <w:rStyle w:val="Hyperlink"/>
                </w:rPr>
                <w:t>Document C23/9</w:t>
              </w:r>
            </w:hyperlink>
            <w:r w:rsidR="00FC4097">
              <w:t xml:space="preserve">; </w:t>
            </w:r>
            <w:hyperlink r:id="rId18" w:history="1">
              <w:r w:rsidR="00FC4097" w:rsidRPr="001A2FD1">
                <w:rPr>
                  <w:rStyle w:val="Hyperlink"/>
                </w:rPr>
                <w:t>Resolution 167 (Rev. Bucharest, 2022)</w:t>
              </w:r>
            </w:hyperlink>
            <w:r w:rsidR="00FC4097" w:rsidRPr="001A2FD1">
              <w:rPr>
                <w:rStyle w:val="Hyperlink"/>
              </w:rPr>
              <w:t xml:space="preserve"> of the Plenipotentiary Conference</w:t>
            </w:r>
          </w:p>
        </w:tc>
      </w:tr>
    </w:tbl>
    <w:p w14:paraId="4CDB8B60" w14:textId="77777777"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0" w:name="_Hlk133421428"/>
      <w:bookmarkEnd w:id="2"/>
      <w:bookmarkEnd w:id="9"/>
    </w:p>
    <w:p w14:paraId="50FEF8DF" w14:textId="0B8CCD17" w:rsidR="00FC4097" w:rsidRDefault="00FC4097" w:rsidP="00FC4097">
      <w:pPr>
        <w:tabs>
          <w:tab w:val="clear" w:pos="567"/>
          <w:tab w:val="clear" w:pos="1134"/>
          <w:tab w:val="clear" w:pos="1701"/>
          <w:tab w:val="clear" w:pos="2268"/>
          <w:tab w:val="clear" w:pos="2835"/>
        </w:tabs>
        <w:overflowPunct/>
        <w:autoSpaceDE/>
        <w:autoSpaceDN/>
        <w:adjustRightInd/>
        <w:spacing w:before="840"/>
        <w:jc w:val="center"/>
        <w:textAlignment w:val="auto"/>
        <w:rPr>
          <w:lang w:val="es-ES"/>
        </w:rPr>
      </w:pPr>
      <w:r>
        <w:rPr>
          <w:lang w:val="es-ES"/>
        </w:rPr>
        <w:t>________________</w:t>
      </w:r>
    </w:p>
    <w:bookmarkEnd w:id="3"/>
    <w:bookmarkEnd w:id="4"/>
    <w:bookmarkEnd w:id="5"/>
    <w:bookmarkEnd w:id="10"/>
    <w:sectPr w:rsidR="00FC4097" w:rsidSect="00AD3606">
      <w:headerReference w:type="even" r:id="rId19"/>
      <w:headerReference w:type="default" r:id="rId20"/>
      <w:footerReference w:type="even" r:id="rId21"/>
      <w:footerReference w:type="default" r:id="rId22"/>
      <w:headerReference w:type="first" r:id="rId23"/>
      <w:footerReference w:type="first" r:id="rId2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265E7" w14:textId="77777777" w:rsidR="00FD754D" w:rsidRDefault="00FD75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65A2ED9E" w:rsidR="00EE49E8" w:rsidRDefault="00EE49E8" w:rsidP="00EE49E8">
          <w:pPr>
            <w:pStyle w:val="Header"/>
            <w:jc w:val="left"/>
            <w:rPr>
              <w:noProof/>
            </w:rPr>
          </w:pPr>
          <w:r>
            <w:rPr>
              <w:noProof/>
            </w:rPr>
            <w:t xml:space="preserve">DPS </w:t>
          </w:r>
          <w:r w:rsidR="00FD754D">
            <w:rPr>
              <w:noProof/>
            </w:rPr>
            <w:t>527681</w:t>
          </w:r>
        </w:p>
      </w:tc>
      <w:tc>
        <w:tcPr>
          <w:tcW w:w="8261" w:type="dxa"/>
        </w:tcPr>
        <w:p w14:paraId="2D49E76E" w14:textId="507D2577"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9F347C">
            <w:rPr>
              <w:bCs/>
            </w:rPr>
            <w:t>FHR</w:t>
          </w:r>
          <w:r w:rsidR="00A52C84">
            <w:rPr>
              <w:bCs/>
            </w:rPr>
            <w:t>-</w:t>
          </w:r>
          <w:r w:rsidR="002404ED">
            <w:rPr>
              <w:bCs/>
            </w:rPr>
            <w:t>16</w:t>
          </w:r>
          <w:r w:rsidR="00A52C84" w:rsidRPr="00623AE3">
            <w:rPr>
              <w:bCs/>
            </w:rPr>
            <w:t>/</w:t>
          </w:r>
          <w:r w:rsidR="00FD754D">
            <w:rPr>
              <w:bCs/>
            </w:rPr>
            <w:t>7</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58DEA201"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9F347C">
            <w:rPr>
              <w:bCs/>
            </w:rPr>
            <w:t>FHR</w:t>
          </w:r>
          <w:r w:rsidR="00A52C84">
            <w:rPr>
              <w:bCs/>
            </w:rPr>
            <w:t>-</w:t>
          </w:r>
          <w:r w:rsidR="002404ED">
            <w:rPr>
              <w:bCs/>
            </w:rPr>
            <w:t>16</w:t>
          </w:r>
          <w:r w:rsidRPr="00623AE3">
            <w:rPr>
              <w:bCs/>
            </w:rPr>
            <w:t>/</w:t>
          </w:r>
          <w:r w:rsidR="00FD754D">
            <w:rPr>
              <w:bCs/>
            </w:rPr>
            <w:t>7</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1BDB9" w14:textId="77777777" w:rsidR="00FD754D" w:rsidRDefault="00FD75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E69F9" w14:textId="77777777" w:rsidR="00FD754D" w:rsidRDefault="00FD75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2"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2pt" w14:anchorId="32DAAF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5"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3B511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2F368F98"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9F347C">
                            <w:rPr>
                              <w:b/>
                              <w:bCs/>
                              <w:szCs w:val="24"/>
                            </w:rPr>
                            <w:t>Financial and Human Resources</w:t>
                          </w:r>
                          <w:r>
                            <w:br/>
                          </w:r>
                          <w:r w:rsidR="002404ED">
                            <w:rPr>
                              <w:sz w:val="20"/>
                            </w:rPr>
                            <w:t>Sixteenth</w:t>
                          </w:r>
                          <w:r w:rsidRPr="00130599">
                            <w:rPr>
                              <w:sz w:val="20"/>
                            </w:rPr>
                            <w:t xml:space="preserve"> meeting </w:t>
                          </w:r>
                          <w:r w:rsidR="00B358B2">
                            <w:rPr>
                              <w:sz w:val="20"/>
                            </w:rPr>
                            <w:t xml:space="preserve">- </w:t>
                          </w:r>
                          <w:r w:rsidR="009F347C">
                            <w:rPr>
                              <w:sz w:val="20"/>
                            </w:rPr>
                            <w:t>Wednesday 11 to Friday 13</w:t>
                          </w:r>
                          <w:r w:rsidR="00B358B2">
                            <w:rPr>
                              <w:sz w:val="20"/>
                            </w:rPr>
                            <w:t xml:space="preserve">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2F368F98"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9F347C">
                      <w:rPr>
                        <w:b/>
                        <w:bCs/>
                        <w:szCs w:val="24"/>
                      </w:rPr>
                      <w:t>Financial and Human Resources</w:t>
                    </w:r>
                    <w:r>
                      <w:br/>
                    </w:r>
                    <w:r w:rsidR="002404ED">
                      <w:rPr>
                        <w:sz w:val="20"/>
                      </w:rPr>
                      <w:t>Sixteenth</w:t>
                    </w:r>
                    <w:r w:rsidRPr="00130599">
                      <w:rPr>
                        <w:sz w:val="20"/>
                      </w:rPr>
                      <w:t xml:space="preserve"> meeting </w:t>
                    </w:r>
                    <w:r w:rsidR="00B358B2">
                      <w:rPr>
                        <w:sz w:val="20"/>
                      </w:rPr>
                      <w:t xml:space="preserve">- </w:t>
                    </w:r>
                    <w:r w:rsidR="009F347C">
                      <w:rPr>
                        <w:sz w:val="20"/>
                      </w:rPr>
                      <w:t>Wednesday 11 to Friday 13</w:t>
                    </w:r>
                    <w:r w:rsidR="00B358B2">
                      <w:rPr>
                        <w:sz w:val="20"/>
                      </w:rPr>
                      <w:t xml:space="preserve">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1143E0A"/>
    <w:multiLevelType w:val="hybridMultilevel"/>
    <w:tmpl w:val="845078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4816267">
    <w:abstractNumId w:val="0"/>
  </w:num>
  <w:num w:numId="2" w16cid:durableId="655231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B1705"/>
    <w:rsid w:val="000B57B3"/>
    <w:rsid w:val="000D75B2"/>
    <w:rsid w:val="001121F5"/>
    <w:rsid w:val="00130599"/>
    <w:rsid w:val="001400DC"/>
    <w:rsid w:val="00140CE1"/>
    <w:rsid w:val="0017539C"/>
    <w:rsid w:val="00175AC2"/>
    <w:rsid w:val="0017609F"/>
    <w:rsid w:val="001A7D1D"/>
    <w:rsid w:val="001B51DD"/>
    <w:rsid w:val="001C628E"/>
    <w:rsid w:val="001E0F7B"/>
    <w:rsid w:val="002119FD"/>
    <w:rsid w:val="002130E0"/>
    <w:rsid w:val="002404ED"/>
    <w:rsid w:val="00244F7F"/>
    <w:rsid w:val="00264425"/>
    <w:rsid w:val="00265875"/>
    <w:rsid w:val="0027303B"/>
    <w:rsid w:val="0028109B"/>
    <w:rsid w:val="002A2188"/>
    <w:rsid w:val="002B1F58"/>
    <w:rsid w:val="002C1C7A"/>
    <w:rsid w:val="002C54E2"/>
    <w:rsid w:val="0030160F"/>
    <w:rsid w:val="00320223"/>
    <w:rsid w:val="00322D0D"/>
    <w:rsid w:val="00361465"/>
    <w:rsid w:val="003877F5"/>
    <w:rsid w:val="003942D4"/>
    <w:rsid w:val="003958A8"/>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230EA"/>
    <w:rsid w:val="005243FF"/>
    <w:rsid w:val="00564FBC"/>
    <w:rsid w:val="005800BC"/>
    <w:rsid w:val="00582442"/>
    <w:rsid w:val="005A335D"/>
    <w:rsid w:val="005E2BD5"/>
    <w:rsid w:val="005F3269"/>
    <w:rsid w:val="00623AE3"/>
    <w:rsid w:val="0064737F"/>
    <w:rsid w:val="006535F1"/>
    <w:rsid w:val="0065557D"/>
    <w:rsid w:val="00660D50"/>
    <w:rsid w:val="00662984"/>
    <w:rsid w:val="006716BB"/>
    <w:rsid w:val="006B1859"/>
    <w:rsid w:val="006B6680"/>
    <w:rsid w:val="006B6DCC"/>
    <w:rsid w:val="006E4264"/>
    <w:rsid w:val="00702DEF"/>
    <w:rsid w:val="00706861"/>
    <w:rsid w:val="0075051B"/>
    <w:rsid w:val="00775655"/>
    <w:rsid w:val="00793188"/>
    <w:rsid w:val="00794D34"/>
    <w:rsid w:val="007B0638"/>
    <w:rsid w:val="007D5DC2"/>
    <w:rsid w:val="007E0258"/>
    <w:rsid w:val="00813E5E"/>
    <w:rsid w:val="0083581B"/>
    <w:rsid w:val="00863874"/>
    <w:rsid w:val="00864AFF"/>
    <w:rsid w:val="00865925"/>
    <w:rsid w:val="00891503"/>
    <w:rsid w:val="008B4A6A"/>
    <w:rsid w:val="008C7E27"/>
    <w:rsid w:val="008F7448"/>
    <w:rsid w:val="0090147A"/>
    <w:rsid w:val="009173EF"/>
    <w:rsid w:val="00932906"/>
    <w:rsid w:val="00961B0B"/>
    <w:rsid w:val="00962D33"/>
    <w:rsid w:val="009B2D4B"/>
    <w:rsid w:val="009B38C3"/>
    <w:rsid w:val="009C253A"/>
    <w:rsid w:val="009E17BD"/>
    <w:rsid w:val="009E219F"/>
    <w:rsid w:val="009E485A"/>
    <w:rsid w:val="009F347C"/>
    <w:rsid w:val="00A04CEC"/>
    <w:rsid w:val="00A27F92"/>
    <w:rsid w:val="00A32257"/>
    <w:rsid w:val="00A36D20"/>
    <w:rsid w:val="00A514A4"/>
    <w:rsid w:val="00A52C84"/>
    <w:rsid w:val="00A55622"/>
    <w:rsid w:val="00A83502"/>
    <w:rsid w:val="00AD15B3"/>
    <w:rsid w:val="00AD3606"/>
    <w:rsid w:val="00AD4A3D"/>
    <w:rsid w:val="00AF6E49"/>
    <w:rsid w:val="00B04A67"/>
    <w:rsid w:val="00B0583C"/>
    <w:rsid w:val="00B358B2"/>
    <w:rsid w:val="00B40A81"/>
    <w:rsid w:val="00B44910"/>
    <w:rsid w:val="00B72267"/>
    <w:rsid w:val="00B76EB6"/>
    <w:rsid w:val="00B7737B"/>
    <w:rsid w:val="00B824C8"/>
    <w:rsid w:val="00B84B9D"/>
    <w:rsid w:val="00BC251A"/>
    <w:rsid w:val="00BD032B"/>
    <w:rsid w:val="00BE2640"/>
    <w:rsid w:val="00C01189"/>
    <w:rsid w:val="00C374DE"/>
    <w:rsid w:val="00C47AD4"/>
    <w:rsid w:val="00C52D81"/>
    <w:rsid w:val="00C55198"/>
    <w:rsid w:val="00C842BE"/>
    <w:rsid w:val="00CA6393"/>
    <w:rsid w:val="00CB18FF"/>
    <w:rsid w:val="00CD0C08"/>
    <w:rsid w:val="00CE03FB"/>
    <w:rsid w:val="00CE433C"/>
    <w:rsid w:val="00CF0161"/>
    <w:rsid w:val="00CF33F3"/>
    <w:rsid w:val="00D06183"/>
    <w:rsid w:val="00D1603F"/>
    <w:rsid w:val="00D22C42"/>
    <w:rsid w:val="00D464CC"/>
    <w:rsid w:val="00D65041"/>
    <w:rsid w:val="00DB00D5"/>
    <w:rsid w:val="00DB1936"/>
    <w:rsid w:val="00DB384B"/>
    <w:rsid w:val="00DF0189"/>
    <w:rsid w:val="00E06FD5"/>
    <w:rsid w:val="00E10E80"/>
    <w:rsid w:val="00E124F0"/>
    <w:rsid w:val="00E227F3"/>
    <w:rsid w:val="00E545C6"/>
    <w:rsid w:val="00E60F04"/>
    <w:rsid w:val="00E65B24"/>
    <w:rsid w:val="00E854E4"/>
    <w:rsid w:val="00E86DBF"/>
    <w:rsid w:val="00EB0D6F"/>
    <w:rsid w:val="00EB2232"/>
    <w:rsid w:val="00EC5337"/>
    <w:rsid w:val="00ED454D"/>
    <w:rsid w:val="00EE49E8"/>
    <w:rsid w:val="00F16BAB"/>
    <w:rsid w:val="00F2150A"/>
    <w:rsid w:val="00F231D8"/>
    <w:rsid w:val="00F44C00"/>
    <w:rsid w:val="00F45D2C"/>
    <w:rsid w:val="00F46C5F"/>
    <w:rsid w:val="00F632C0"/>
    <w:rsid w:val="00F74694"/>
    <w:rsid w:val="00F94A63"/>
    <w:rsid w:val="00FA1C28"/>
    <w:rsid w:val="00FB1279"/>
    <w:rsid w:val="00FB6B76"/>
    <w:rsid w:val="00FB7596"/>
    <w:rsid w:val="00FC4097"/>
    <w:rsid w:val="00FD754D"/>
    <w:rsid w:val="00FE4077"/>
    <w:rsid w:val="00FE500D"/>
    <w:rsid w:val="00FE77D2"/>
    <w:rsid w:val="04DA26AC"/>
    <w:rsid w:val="0811C76E"/>
    <w:rsid w:val="09AD97CF"/>
    <w:rsid w:val="140E8F41"/>
    <w:rsid w:val="203AEAA3"/>
    <w:rsid w:val="25E108D6"/>
    <w:rsid w:val="3205E70B"/>
    <w:rsid w:val="378A84EE"/>
    <w:rsid w:val="418CB809"/>
    <w:rsid w:val="47E2D130"/>
    <w:rsid w:val="497EA191"/>
    <w:rsid w:val="52B37472"/>
    <w:rsid w:val="547E5682"/>
    <w:rsid w:val="5ACF0C8D"/>
    <w:rsid w:val="5DFB3B32"/>
    <w:rsid w:val="66620D8C"/>
    <w:rsid w:val="6C5600A5"/>
    <w:rsid w:val="7507A3F6"/>
    <w:rsid w:val="7907C4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paragraph">
    <w:name w:val="paragraph"/>
    <w:basedOn w:val="Normal"/>
    <w:rsid w:val="00FC409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styleId="NormalWeb">
    <w:name w:val="Normal (Web)"/>
    <w:basedOn w:val="Normal"/>
    <w:uiPriority w:val="99"/>
    <w:semiHidden/>
    <w:unhideWhenUsed/>
    <w:rsid w:val="00FC409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styleId="Revision">
    <w:name w:val="Revision"/>
    <w:hidden/>
    <w:uiPriority w:val="99"/>
    <w:semiHidden/>
    <w:rsid w:val="005230EA"/>
    <w:rPr>
      <w:rFonts w:ascii="Calibri" w:hAnsi="Calibri"/>
      <w:sz w:val="24"/>
      <w:lang w:val="en-GB" w:eastAsia="en-US"/>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Calibri" w:hAnsi="Calibri"/>
      <w:lang w:val="en-GB"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C842BE"/>
    <w:rPr>
      <w:b/>
      <w:bCs/>
    </w:rPr>
  </w:style>
  <w:style w:type="character" w:customStyle="1" w:styleId="CommentSubjectChar">
    <w:name w:val="Comment Subject Char"/>
    <w:basedOn w:val="CommentTextChar"/>
    <w:link w:val="CommentSubject"/>
    <w:semiHidden/>
    <w:rsid w:val="00C842BE"/>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2-PP-C-0064/en" TargetMode="External"/><Relationship Id="rId18" Type="http://schemas.openxmlformats.org/officeDocument/2006/relationships/hyperlink" Target="https://www.itu.int/en/council/Documents/basic-texts-2023/RES-167-E.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itu.int/md/S23-CL-C-0054/en" TargetMode="External"/><Relationship Id="rId17" Type="http://schemas.openxmlformats.org/officeDocument/2006/relationships/hyperlink" Target="https://www.itu.int/md/S23-CL-C-0009/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meetingdoc.asp?lang=en&amp;parent=S22-CEXT23-C-000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2-PP-C-0064/en"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itu.int/md/S22-CL-C-0105/en"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2-CL-C-0043/en"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B1078E3AD18D4E9484B5666A3C18CB" ma:contentTypeVersion="12" ma:contentTypeDescription="Create a new document." ma:contentTypeScope="" ma:versionID="eb92d5b0b4bb59e2ba43b9d6a5bcaa99">
  <xsd:schema xmlns:xsd="http://www.w3.org/2001/XMLSchema" xmlns:xs="http://www.w3.org/2001/XMLSchema" xmlns:p="http://schemas.microsoft.com/office/2006/metadata/properties" xmlns:ns2="5a9e730e-50ca-4fdd-8a7a-b4f5b57bd209" xmlns:ns3="f45bef01-bf71-4e4d-8b76-9c8a2fc829be" targetNamespace="http://schemas.microsoft.com/office/2006/metadata/properties" ma:root="true" ma:fieldsID="101ed44692452e17efb0035abdf2b24a" ns2:_="" ns3:_="">
    <xsd:import namespace="5a9e730e-50ca-4fdd-8a7a-b4f5b57bd209"/>
    <xsd:import namespace="f45bef01-bf71-4e4d-8b76-9c8a2fc829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e730e-50ca-4fdd-8a7a-b4f5b57bd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5bef01-bf71-4e4d-8b76-9c8a2fc829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9e730e-50ca-4fdd-8a7a-b4f5b57bd20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90AFF-F40A-4DAB-B328-AEBE364C2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e730e-50ca-4fdd-8a7a-b4f5b57bd209"/>
    <ds:schemaRef ds:uri="f45bef01-bf71-4e4d-8b76-9c8a2fc82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90A553-C1E8-4D9F-8D47-0675F64555B1}">
  <ds:schemaRefs>
    <ds:schemaRef ds:uri="http://schemas.microsoft.com/office/2006/documentManagement/types"/>
    <ds:schemaRef ds:uri="http://purl.org/dc/dcmitype/"/>
    <ds:schemaRef ds:uri="http://schemas.openxmlformats.org/package/2006/metadata/core-properties"/>
    <ds:schemaRef ds:uri="http://www.w3.org/XML/1998/namespace"/>
    <ds:schemaRef ds:uri="http://purl.org/dc/elements/1.1/"/>
    <ds:schemaRef ds:uri="http://schemas.microsoft.com/office/2006/metadata/properties"/>
    <ds:schemaRef ds:uri="http://purl.org/dc/terms/"/>
    <ds:schemaRef ds:uri="http://schemas.microsoft.com/office/infopath/2007/PartnerControls"/>
    <ds:schemaRef ds:uri="f45bef01-bf71-4e4d-8b76-9c8a2fc829be"/>
    <ds:schemaRef ds:uri="5a9e730e-50ca-4fdd-8a7a-b4f5b57bd209"/>
  </ds:schemaRefs>
</ds:datastoreItem>
</file>

<file path=customXml/itemProps3.xml><?xml version="1.0" encoding="utf-8"?>
<ds:datastoreItem xmlns:ds="http://schemas.openxmlformats.org/officeDocument/2006/customXml" ds:itemID="{21832184-4628-4642-904D-64CC3B41F89B}">
  <ds:schemaRefs>
    <ds:schemaRef ds:uri="http://schemas.microsoft.com/sharepoint/v3/contenttype/forms"/>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Implementation of Resolution 167 (Rev. Bucharest, 2022) of the Plenipotentiary Conference from 2024 and beyond</vt:lpstr>
    </vt:vector>
  </TitlesOfParts>
  <Manager/>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of Resolution 167 (Rev. Bucharest, 2022) of the Plenipotentiary Conference from 2024 and beyond</dc:title>
  <dc:subject>Council Working Group on Financial and Human Resources</dc:subject>
  <dc:creator/>
  <cp:keywords>CWG-FHR, C23, Council-23, C23-ADD</cp:keywords>
  <dc:description/>
  <cp:lastModifiedBy/>
  <cp:revision>1</cp:revision>
  <dcterms:created xsi:type="dcterms:W3CDTF">2023-09-11T16:44:00Z</dcterms:created>
  <dcterms:modified xsi:type="dcterms:W3CDTF">2023-09-11T16:46:00Z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0x01010016B1078E3AD18D4E9484B5666A3C18CB</vt:lpwstr>
  </property>
  <property fmtid="{D5CDD505-2E9C-101B-9397-08002B2CF9AE}" pid="3" name="MediaServiceImageTags">
    <vt:lpwstr/>
  </property>
</Properties>
</file>