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22B13" w14:paraId="0043AC80" w14:textId="77777777" w:rsidTr="03E3F1CE">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990DE3A" w:rsidR="00AD3606" w:rsidRPr="00022B13" w:rsidRDefault="00AD3606" w:rsidP="00472BAD">
            <w:pPr>
              <w:tabs>
                <w:tab w:val="left" w:pos="851"/>
              </w:tabs>
              <w:spacing w:before="0" w:line="240" w:lineRule="atLeast"/>
              <w:jc w:val="right"/>
              <w:rPr>
                <w:b/>
                <w:lang w:val="it-IT"/>
              </w:rPr>
            </w:pPr>
            <w:r w:rsidRPr="00022B13">
              <w:rPr>
                <w:b/>
                <w:lang w:val="it-IT"/>
              </w:rPr>
              <w:t>Document C</w:t>
            </w:r>
            <w:r w:rsidR="00A52C84" w:rsidRPr="00022B13">
              <w:rPr>
                <w:b/>
                <w:lang w:val="it-IT"/>
              </w:rPr>
              <w:t>WG-</w:t>
            </w:r>
            <w:r w:rsidR="009F347C" w:rsidRPr="00022B13">
              <w:rPr>
                <w:b/>
                <w:lang w:val="it-IT"/>
              </w:rPr>
              <w:t>FHR</w:t>
            </w:r>
            <w:r w:rsidR="00A52C84" w:rsidRPr="00022B13">
              <w:rPr>
                <w:b/>
                <w:lang w:val="it-IT"/>
              </w:rPr>
              <w:t>-</w:t>
            </w:r>
            <w:r w:rsidR="002404ED" w:rsidRPr="00022B13">
              <w:rPr>
                <w:b/>
                <w:lang w:val="it-IT"/>
              </w:rPr>
              <w:t>16</w:t>
            </w:r>
            <w:r w:rsidRPr="00022B13">
              <w:rPr>
                <w:b/>
                <w:lang w:val="it-IT"/>
              </w:rPr>
              <w:t>/</w:t>
            </w:r>
            <w:r w:rsidR="00F47227">
              <w:rPr>
                <w:b/>
                <w:lang w:val="it-IT"/>
              </w:rPr>
              <w:t>5</w:t>
            </w:r>
          </w:p>
        </w:tc>
      </w:tr>
      <w:tr w:rsidR="00AD3606" w:rsidRPr="00813E5E" w14:paraId="789B45BA" w14:textId="77777777" w:rsidTr="03E3F1CE">
        <w:trPr>
          <w:cantSplit/>
        </w:trPr>
        <w:tc>
          <w:tcPr>
            <w:tcW w:w="3969" w:type="dxa"/>
            <w:vMerge/>
          </w:tcPr>
          <w:p w14:paraId="3F3D4E17" w14:textId="77777777" w:rsidR="00AD3606" w:rsidRPr="00022B13"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75C9EC9E" w:rsidR="00AD3606" w:rsidRPr="00E85629" w:rsidRDefault="00D5448C" w:rsidP="00AD3606">
            <w:pPr>
              <w:tabs>
                <w:tab w:val="left" w:pos="851"/>
              </w:tabs>
              <w:spacing w:before="0"/>
              <w:jc w:val="right"/>
              <w:rPr>
                <w:b/>
              </w:rPr>
            </w:pPr>
            <w:r>
              <w:rPr>
                <w:b/>
              </w:rPr>
              <w:t>11</w:t>
            </w:r>
            <w:r w:rsidR="00AD3606">
              <w:rPr>
                <w:b/>
              </w:rPr>
              <w:t xml:space="preserve"> </w:t>
            </w:r>
            <w:r w:rsidR="005A335D">
              <w:rPr>
                <w:b/>
              </w:rPr>
              <w:t>September</w:t>
            </w:r>
            <w:r w:rsidR="00AD3606">
              <w:rPr>
                <w:b/>
              </w:rPr>
              <w:t xml:space="preserve"> 2023</w:t>
            </w:r>
          </w:p>
        </w:tc>
      </w:tr>
      <w:tr w:rsidR="00AD3606" w:rsidRPr="00813E5E" w14:paraId="58A84C4A" w14:textId="77777777" w:rsidTr="03E3F1CE">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44614D11" w:rsidR="00AD3606" w:rsidRPr="00E85629" w:rsidRDefault="00891503" w:rsidP="00AD3606">
            <w:pPr>
              <w:tabs>
                <w:tab w:val="left" w:pos="851"/>
              </w:tabs>
              <w:spacing w:before="0" w:line="240" w:lineRule="atLeast"/>
              <w:jc w:val="right"/>
              <w:rPr>
                <w:b/>
              </w:rPr>
            </w:pPr>
            <w:r>
              <w:rPr>
                <w:b/>
              </w:rPr>
              <w:t>English</w:t>
            </w:r>
            <w:r w:rsidR="00022B13">
              <w:rPr>
                <w:b/>
              </w:rPr>
              <w:t xml:space="preserve"> only</w:t>
            </w:r>
          </w:p>
        </w:tc>
      </w:tr>
      <w:tr w:rsidR="00472BAD" w:rsidRPr="00813E5E" w14:paraId="12C5EF5F" w14:textId="77777777" w:rsidTr="03E3F1CE">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3E3F1CE">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3E3F1CE">
        <w:trPr>
          <w:cantSplit/>
        </w:trPr>
        <w:tc>
          <w:tcPr>
            <w:tcW w:w="9214" w:type="dxa"/>
            <w:gridSpan w:val="2"/>
            <w:tcMar>
              <w:left w:w="0" w:type="dxa"/>
            </w:tcMar>
          </w:tcPr>
          <w:p w14:paraId="47B91AA8" w14:textId="6882A57B" w:rsidR="00AD3606" w:rsidRPr="00813E5E" w:rsidRDefault="00F47227" w:rsidP="00DF0189">
            <w:pPr>
              <w:pStyle w:val="Subtitle1"/>
              <w:framePr w:hSpace="0" w:wrap="auto" w:hAnchor="text" w:xAlign="left" w:yAlign="inline"/>
            </w:pPr>
            <w:bookmarkStart w:id="9" w:name="dtitle1" w:colFirst="0" w:colLast="0"/>
            <w:bookmarkEnd w:id="8"/>
            <w:r w:rsidRPr="00022B13">
              <w:t>STRATEGY FOR INTER-SECTORAL COORDINATION</w:t>
            </w:r>
          </w:p>
        </w:tc>
      </w:tr>
      <w:tr w:rsidR="00AD3606" w:rsidRPr="00813E5E" w14:paraId="1F564D2D" w14:textId="77777777" w:rsidTr="03E3F1CE">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172F3292" w:rsidR="00AD3606" w:rsidRPr="00813E5E" w:rsidRDefault="00022B13" w:rsidP="00F16BAB">
            <w:r>
              <w:rPr>
                <w:rStyle w:val="normaltextrun"/>
                <w:rFonts w:cs="Calibri"/>
                <w:szCs w:val="24"/>
                <w:lang w:eastAsia="en-GB"/>
              </w:rPr>
              <w:t>This d</w:t>
            </w:r>
            <w:r w:rsidRPr="004E2602">
              <w:rPr>
                <w:rStyle w:val="normaltextrun"/>
                <w:rFonts w:cs="Calibri"/>
                <w:szCs w:val="24"/>
                <w:lang w:eastAsia="en-GB"/>
              </w:rPr>
              <w:t>ocumen</w:t>
            </w:r>
            <w:r>
              <w:rPr>
                <w:rStyle w:val="normaltextrun"/>
                <w:rFonts w:cs="Calibri"/>
                <w:szCs w:val="24"/>
                <w:lang w:eastAsia="en-GB"/>
              </w:rPr>
              <w:t>t</w:t>
            </w:r>
            <w:r w:rsidRPr="004E2602">
              <w:rPr>
                <w:rStyle w:val="normaltextrun"/>
                <w:rFonts w:cs="Calibri"/>
                <w:szCs w:val="24"/>
                <w:lang w:eastAsia="en-GB"/>
              </w:rPr>
              <w:t xml:space="preserve"> </w:t>
            </w:r>
            <w:r>
              <w:rPr>
                <w:rStyle w:val="normaltextrun"/>
                <w:rFonts w:cs="Calibri"/>
                <w:szCs w:val="24"/>
                <w:lang w:eastAsia="en-GB"/>
              </w:rPr>
              <w:t>provides</w:t>
            </w:r>
            <w:r w:rsidRPr="004E2602">
              <w:rPr>
                <w:rStyle w:val="normaltextrun"/>
                <w:rFonts w:cs="Calibri"/>
                <w:szCs w:val="24"/>
                <w:lang w:eastAsia="en-GB"/>
              </w:rPr>
              <w:t xml:space="preserve"> detailed information and clarifications</w:t>
            </w:r>
            <w:r>
              <w:rPr>
                <w:rStyle w:val="normaltextrun"/>
                <w:rFonts w:cs="Calibri"/>
                <w:szCs w:val="24"/>
                <w:lang w:eastAsia="en-GB"/>
              </w:rPr>
              <w:t xml:space="preserve">, as a complement to document </w:t>
            </w:r>
            <w:hyperlink r:id="rId11" w:history="1">
              <w:r w:rsidRPr="00975710">
                <w:rPr>
                  <w:rStyle w:val="Hyperlink"/>
                  <w:rFonts w:cs="Calibri"/>
                  <w:szCs w:val="24"/>
                  <w:lang w:eastAsia="en-GB"/>
                </w:rPr>
                <w:t>C23/27</w:t>
              </w:r>
            </w:hyperlink>
            <w:r w:rsidRPr="004E2602">
              <w:rPr>
                <w:rStyle w:val="normaltextrun"/>
                <w:rFonts w:cs="Calibri"/>
                <w:szCs w:val="24"/>
                <w:lang w:eastAsia="en-GB"/>
              </w:rPr>
              <w:t xml:space="preserve"> </w:t>
            </w:r>
            <w:r>
              <w:rPr>
                <w:rStyle w:val="normaltextrun"/>
                <w:rFonts w:cs="Calibri"/>
                <w:szCs w:val="24"/>
                <w:lang w:eastAsia="en-GB"/>
              </w:rPr>
              <w:t>presented to Council 2023, t</w:t>
            </w:r>
            <w:r w:rsidRPr="004E2602">
              <w:rPr>
                <w:rStyle w:val="normaltextrun"/>
                <w:rFonts w:cs="Calibri"/>
                <w:szCs w:val="24"/>
                <w:lang w:eastAsia="en-GB"/>
              </w:rPr>
              <w:t>ak</w:t>
            </w:r>
            <w:r>
              <w:rPr>
                <w:rStyle w:val="normaltextrun"/>
                <w:rFonts w:cs="Calibri"/>
                <w:szCs w:val="24"/>
                <w:lang w:eastAsia="en-GB"/>
              </w:rPr>
              <w:t>ing</w:t>
            </w:r>
            <w:r w:rsidRPr="004E2602">
              <w:rPr>
                <w:rStyle w:val="normaltextrun"/>
                <w:rFonts w:cs="Calibri"/>
                <w:szCs w:val="24"/>
                <w:lang w:eastAsia="en-GB"/>
              </w:rPr>
              <w:t xml:space="preserve"> into account councillors’ comments, concerns</w:t>
            </w:r>
            <w:r>
              <w:rPr>
                <w:rStyle w:val="normaltextrun"/>
                <w:rFonts w:cs="Calibri"/>
                <w:szCs w:val="24"/>
                <w:lang w:eastAsia="en-GB"/>
              </w:rPr>
              <w:t>,</w:t>
            </w:r>
            <w:r w:rsidRPr="004E2602">
              <w:rPr>
                <w:rStyle w:val="normaltextrun"/>
                <w:rFonts w:cs="Calibri"/>
                <w:szCs w:val="24"/>
                <w:lang w:eastAsia="en-GB"/>
              </w:rPr>
              <w:t xml:space="preserve"> and requests</w:t>
            </w:r>
            <w:r>
              <w:rPr>
                <w:rStyle w:val="normaltextrun"/>
                <w:rFonts w:cs="Calibri"/>
                <w:szCs w:val="24"/>
                <w:lang w:eastAsia="en-GB"/>
              </w:rPr>
              <w:t xml:space="preserve"> </w:t>
            </w:r>
            <w:r w:rsidRPr="0093282D">
              <w:rPr>
                <w:rStyle w:val="normaltextrun"/>
                <w:rFonts w:cs="Calibri"/>
                <w:szCs w:val="24"/>
                <w:lang w:eastAsia="en-GB"/>
              </w:rPr>
              <w:t xml:space="preserve">related to the </w:t>
            </w:r>
            <w:r>
              <w:rPr>
                <w:rStyle w:val="normaltextrun"/>
                <w:rFonts w:cs="Calibri"/>
                <w:szCs w:val="24"/>
                <w:lang w:eastAsia="en-GB"/>
              </w:rPr>
              <w:t>I</w:t>
            </w:r>
            <w:r w:rsidRPr="0093282D">
              <w:rPr>
                <w:rStyle w:val="normaltextrun"/>
                <w:rFonts w:cs="Calibri"/>
                <w:szCs w:val="24"/>
                <w:lang w:eastAsia="en-GB"/>
              </w:rPr>
              <w:t xml:space="preserve">nter-Sectoral </w:t>
            </w:r>
            <w:r>
              <w:rPr>
                <w:rStyle w:val="normaltextrun"/>
                <w:rFonts w:cs="Calibri"/>
                <w:szCs w:val="24"/>
                <w:lang w:eastAsia="en-GB"/>
              </w:rPr>
              <w:t>C</w:t>
            </w:r>
            <w:r w:rsidRPr="0093282D">
              <w:rPr>
                <w:rStyle w:val="normaltextrun"/>
                <w:rFonts w:cs="Calibri"/>
                <w:szCs w:val="24"/>
                <w:lang w:eastAsia="en-GB"/>
              </w:rPr>
              <w:t xml:space="preserve">oordination </w:t>
            </w:r>
            <w:r>
              <w:rPr>
                <w:rStyle w:val="normaltextrun"/>
                <w:rFonts w:cs="Calibri"/>
                <w:szCs w:val="24"/>
                <w:lang w:eastAsia="en-GB"/>
              </w:rPr>
              <w:t>Strategy</w:t>
            </w:r>
            <w:r w:rsidRPr="0093282D">
              <w:rPr>
                <w:rStyle w:val="normaltextrun"/>
                <w:rFonts w:cs="Calibri"/>
                <w:szCs w:val="24"/>
                <w:lang w:eastAsia="en-GB"/>
              </w:rPr>
              <w:t>.</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6BBDF9C0" w14:textId="0D467A48" w:rsidR="00022B13" w:rsidRPr="00484009" w:rsidRDefault="00022B13" w:rsidP="00022B13">
            <w:r>
              <w:t xml:space="preserve">This document is transmitted to the CWG-FHR </w:t>
            </w:r>
            <w:r w:rsidRPr="03E3F1CE">
              <w:rPr>
                <w:b/>
                <w:bCs/>
              </w:rPr>
              <w:t>for information</w:t>
            </w:r>
            <w:r>
              <w:t xml:space="preserve">, and </w:t>
            </w:r>
            <w:r w:rsidRPr="03E3F1CE">
              <w:rPr>
                <w:b/>
                <w:bCs/>
              </w:rPr>
              <w:t>to propose</w:t>
            </w:r>
            <w:r>
              <w:t xml:space="preserve"> ways to </w:t>
            </w:r>
            <w:r w:rsidR="6490723F">
              <w:t xml:space="preserve">enhance, </w:t>
            </w:r>
            <w:r>
              <w:t>monitor and evaluate the implementation of inter-sectoral coordination.</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5267F4A3" w:rsidR="00AD3606" w:rsidRDefault="00D5448C" w:rsidP="00F16BAB">
            <w:pPr>
              <w:spacing w:after="160"/>
            </w:pPr>
            <w:hyperlink r:id="rId12" w:history="1">
              <w:r w:rsidR="00022B13" w:rsidRPr="00627E96">
                <w:rPr>
                  <w:rStyle w:val="Hyperlink"/>
                  <w:i/>
                  <w:iCs/>
                </w:rPr>
                <w:t>Resolution 191</w:t>
              </w:r>
            </w:hyperlink>
            <w:r w:rsidR="00022B13" w:rsidRPr="00627E96">
              <w:rPr>
                <w:i/>
                <w:iCs/>
              </w:rPr>
              <w:t xml:space="preserve"> (Rev. Bucharest, 2022) of the Plenipotentiary Conference</w:t>
            </w:r>
            <w:r w:rsidR="00022B13">
              <w:t xml:space="preserve"> and document </w:t>
            </w:r>
            <w:hyperlink r:id="rId13" w:history="1">
              <w:r w:rsidR="00022B13" w:rsidRPr="00975710">
                <w:rPr>
                  <w:rStyle w:val="Hyperlink"/>
                  <w:rFonts w:cs="Calibri"/>
                  <w:szCs w:val="24"/>
                  <w:lang w:eastAsia="en-GB"/>
                </w:rPr>
                <w:t>C23/27</w:t>
              </w:r>
            </w:hyperlink>
            <w:r w:rsidR="00022B13" w:rsidRPr="00627E96">
              <w:rPr>
                <w:i/>
                <w:iCs/>
              </w:rPr>
              <w:t xml:space="preserve"> of </w:t>
            </w:r>
            <w:r w:rsidR="00022B13">
              <w:rPr>
                <w:i/>
                <w:iCs/>
              </w:rPr>
              <w:t>Council 2023.</w:t>
            </w:r>
          </w:p>
        </w:tc>
      </w:tr>
    </w:tbl>
    <w:p w14:paraId="4CDB8B60" w14:textId="77777777" w:rsidR="00E227F3" w:rsidRPr="00022B1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022B1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22B13">
        <w:br w:type="page"/>
      </w:r>
    </w:p>
    <w:bookmarkEnd w:id="5"/>
    <w:bookmarkEnd w:id="10"/>
    <w:p w14:paraId="6929D1D4" w14:textId="77777777" w:rsidR="00022B13" w:rsidRPr="00227364" w:rsidRDefault="00022B13" w:rsidP="00022B13">
      <w:pPr>
        <w:tabs>
          <w:tab w:val="clear" w:pos="567"/>
          <w:tab w:val="clear" w:pos="1134"/>
          <w:tab w:val="clear" w:pos="1701"/>
          <w:tab w:val="clear" w:pos="2268"/>
          <w:tab w:val="clear" w:pos="2835"/>
        </w:tabs>
        <w:overflowPunct/>
        <w:autoSpaceDE/>
        <w:autoSpaceDN/>
        <w:adjustRightInd/>
        <w:spacing w:before="0"/>
        <w:textAlignment w:val="auto"/>
        <w:rPr>
          <w:rStyle w:val="normaltextrun"/>
          <w:rFonts w:cs="Calibri"/>
          <w:b/>
          <w:bCs/>
          <w:szCs w:val="24"/>
          <w:lang w:eastAsia="en-GB"/>
        </w:rPr>
      </w:pPr>
      <w:r w:rsidRPr="00227364">
        <w:rPr>
          <w:rStyle w:val="normaltextrun"/>
          <w:rFonts w:cs="Calibri"/>
          <w:b/>
          <w:bCs/>
          <w:sz w:val="28"/>
          <w:szCs w:val="28"/>
          <w:lang w:eastAsia="en-GB"/>
        </w:rPr>
        <w:lastRenderedPageBreak/>
        <w:t>Strategy for Inter</w:t>
      </w:r>
      <w:r>
        <w:rPr>
          <w:rStyle w:val="normaltextrun"/>
          <w:rFonts w:cs="Calibri"/>
          <w:b/>
          <w:bCs/>
          <w:sz w:val="28"/>
          <w:szCs w:val="28"/>
          <w:lang w:eastAsia="en-GB"/>
        </w:rPr>
        <w:t>-S</w:t>
      </w:r>
      <w:r w:rsidRPr="00227364">
        <w:rPr>
          <w:rStyle w:val="normaltextrun"/>
          <w:rFonts w:cs="Calibri"/>
          <w:b/>
          <w:bCs/>
          <w:sz w:val="28"/>
          <w:szCs w:val="28"/>
          <w:lang w:eastAsia="en-GB"/>
        </w:rPr>
        <w:t>ectoral Coordination</w:t>
      </w:r>
    </w:p>
    <w:p w14:paraId="0463AF3A" w14:textId="5A8273DF" w:rsidR="00022B13" w:rsidRDefault="00022B13" w:rsidP="03E3F1CE">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sidRPr="03E3F1CE">
        <w:rPr>
          <w:rStyle w:val="normaltextrun"/>
          <w:rFonts w:cs="Calibri"/>
          <w:lang w:eastAsia="en-GB"/>
        </w:rPr>
        <w:t>1.1</w:t>
      </w:r>
      <w:r>
        <w:tab/>
      </w:r>
      <w:r w:rsidRPr="03E3F1CE">
        <w:rPr>
          <w:rStyle w:val="normaltextrun"/>
          <w:rFonts w:cs="Calibri"/>
          <w:lang w:eastAsia="en-GB"/>
        </w:rPr>
        <w:t xml:space="preserve">During the 2023 session of the ITU Council, the Secretary-General presented document </w:t>
      </w:r>
      <w:hyperlink r:id="rId14">
        <w:r w:rsidRPr="03E3F1CE">
          <w:rPr>
            <w:rStyle w:val="Hyperlink"/>
            <w:rFonts w:cs="Calibri"/>
            <w:lang w:eastAsia="en-GB"/>
          </w:rPr>
          <w:t>C23/27</w:t>
        </w:r>
      </w:hyperlink>
      <w:r w:rsidRPr="03E3F1CE">
        <w:rPr>
          <w:rStyle w:val="normaltextrun"/>
          <w:rFonts w:cs="Calibri"/>
          <w:lang w:eastAsia="en-GB"/>
        </w:rPr>
        <w:t xml:space="preserve"> containing the Report on the Strategy for the Coordination of efforts among the three Sectors of the Union, as instructed by the Plenipotentiary Conference 2022 (PP-22), through its Resolution 191 (Rev. Bucharest, 2022). The document was noted and forwarded to the CWG-FHR for further discussion.</w:t>
      </w:r>
    </w:p>
    <w:p w14:paraId="7F45E52F" w14:textId="4FFD11BF" w:rsidR="00022B1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Pr>
          <w:rStyle w:val="normaltextrun"/>
          <w:rFonts w:cs="Calibri"/>
          <w:szCs w:val="24"/>
          <w:lang w:eastAsia="en-GB"/>
        </w:rPr>
        <w:t>1.2</w:t>
      </w:r>
      <w:r>
        <w:rPr>
          <w:rStyle w:val="normaltextrun"/>
          <w:rFonts w:cs="Calibri"/>
          <w:szCs w:val="24"/>
          <w:lang w:eastAsia="en-GB"/>
        </w:rPr>
        <w:tab/>
        <w:t>T</w:t>
      </w:r>
      <w:r w:rsidRPr="004E2602">
        <w:rPr>
          <w:rStyle w:val="normaltextrun"/>
          <w:rFonts w:cs="Calibri"/>
          <w:szCs w:val="24"/>
          <w:lang w:eastAsia="en-GB"/>
        </w:rPr>
        <w:t xml:space="preserve">he secretariat had therefore prepared </w:t>
      </w:r>
      <w:r>
        <w:rPr>
          <w:rStyle w:val="normaltextrun"/>
          <w:rFonts w:cs="Calibri"/>
          <w:szCs w:val="24"/>
          <w:lang w:eastAsia="en-GB"/>
        </w:rPr>
        <w:t>this additional d</w:t>
      </w:r>
      <w:r w:rsidRPr="004E2602">
        <w:rPr>
          <w:rStyle w:val="normaltextrun"/>
          <w:rFonts w:cs="Calibri"/>
          <w:szCs w:val="24"/>
          <w:lang w:eastAsia="en-GB"/>
        </w:rPr>
        <w:t xml:space="preserve">ocument, which </w:t>
      </w:r>
      <w:r>
        <w:rPr>
          <w:rStyle w:val="normaltextrun"/>
          <w:rFonts w:cs="Calibri"/>
          <w:szCs w:val="24"/>
          <w:lang w:eastAsia="en-GB"/>
        </w:rPr>
        <w:t>provides</w:t>
      </w:r>
      <w:r w:rsidRPr="004E2602">
        <w:rPr>
          <w:rStyle w:val="normaltextrun"/>
          <w:rFonts w:cs="Calibri"/>
          <w:szCs w:val="24"/>
          <w:lang w:eastAsia="en-GB"/>
        </w:rPr>
        <w:t xml:space="preserve"> </w:t>
      </w:r>
      <w:r>
        <w:rPr>
          <w:rStyle w:val="normaltextrun"/>
          <w:rFonts w:cs="Calibri"/>
          <w:szCs w:val="24"/>
          <w:lang w:eastAsia="en-GB"/>
        </w:rPr>
        <w:t>d</w:t>
      </w:r>
      <w:r w:rsidRPr="004E2602">
        <w:rPr>
          <w:rStyle w:val="normaltextrun"/>
          <w:rFonts w:cs="Calibri"/>
          <w:szCs w:val="24"/>
          <w:lang w:eastAsia="en-GB"/>
        </w:rPr>
        <w:t>etailed information and clarifications</w:t>
      </w:r>
      <w:r>
        <w:rPr>
          <w:rStyle w:val="normaltextrun"/>
          <w:rFonts w:cs="Calibri"/>
          <w:szCs w:val="24"/>
          <w:lang w:eastAsia="en-GB"/>
        </w:rPr>
        <w:t xml:space="preserve">, to complement document </w:t>
      </w:r>
      <w:hyperlink r:id="rId15" w:history="1">
        <w:r w:rsidRPr="00975710">
          <w:rPr>
            <w:rStyle w:val="Hyperlink"/>
            <w:rFonts w:cs="Calibri"/>
            <w:szCs w:val="24"/>
            <w:lang w:eastAsia="en-GB"/>
          </w:rPr>
          <w:t>C23/27</w:t>
        </w:r>
      </w:hyperlink>
      <w:r>
        <w:rPr>
          <w:rStyle w:val="normaltextrun"/>
          <w:rFonts w:cs="Calibri"/>
          <w:szCs w:val="24"/>
          <w:lang w:eastAsia="en-GB"/>
        </w:rPr>
        <w:t>, and taking</w:t>
      </w:r>
      <w:r w:rsidRPr="004E2602">
        <w:rPr>
          <w:rStyle w:val="normaltextrun"/>
          <w:rFonts w:cs="Calibri"/>
          <w:szCs w:val="24"/>
          <w:lang w:eastAsia="en-GB"/>
        </w:rPr>
        <w:t xml:space="preserve"> into account comments, concerns</w:t>
      </w:r>
      <w:r>
        <w:rPr>
          <w:rStyle w:val="normaltextrun"/>
          <w:rFonts w:cs="Calibri"/>
          <w:szCs w:val="24"/>
          <w:lang w:eastAsia="en-GB"/>
        </w:rPr>
        <w:t>,</w:t>
      </w:r>
      <w:r w:rsidRPr="004E2602">
        <w:rPr>
          <w:rStyle w:val="normaltextrun"/>
          <w:rFonts w:cs="Calibri"/>
          <w:szCs w:val="24"/>
          <w:lang w:eastAsia="en-GB"/>
        </w:rPr>
        <w:t xml:space="preserve"> and requests</w:t>
      </w:r>
      <w:r>
        <w:rPr>
          <w:rStyle w:val="normaltextrun"/>
          <w:rFonts w:cs="Calibri"/>
          <w:szCs w:val="24"/>
          <w:lang w:eastAsia="en-GB"/>
        </w:rPr>
        <w:t xml:space="preserve"> received from the Councillors</w:t>
      </w:r>
      <w:r w:rsidRPr="0093282D">
        <w:rPr>
          <w:rStyle w:val="normaltextrun"/>
          <w:rFonts w:cs="Calibri"/>
          <w:szCs w:val="24"/>
          <w:lang w:eastAsia="en-GB"/>
        </w:rPr>
        <w:t>.</w:t>
      </w:r>
    </w:p>
    <w:p w14:paraId="37764738" w14:textId="77777777" w:rsidR="00022B1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Pr>
          <w:rStyle w:val="normaltextrun"/>
          <w:rFonts w:cs="Calibri"/>
          <w:szCs w:val="24"/>
          <w:lang w:eastAsia="en-GB"/>
        </w:rPr>
        <w:t>1.3</w:t>
      </w:r>
      <w:r>
        <w:rPr>
          <w:rStyle w:val="normaltextrun"/>
          <w:rFonts w:cs="Calibri"/>
          <w:szCs w:val="24"/>
          <w:lang w:eastAsia="en-GB"/>
        </w:rPr>
        <w:tab/>
        <w:t>The strategy was developed following the text approved in Resolution 191 (Rev. Bucharest, 2022), mainly:</w:t>
      </w:r>
    </w:p>
    <w:p w14:paraId="4F96EEA8" w14:textId="77777777" w:rsidR="00022B13" w:rsidRPr="00D8514A"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i/>
          <w:iCs/>
          <w:szCs w:val="24"/>
          <w:lang w:eastAsia="en-GB"/>
        </w:rPr>
      </w:pPr>
      <w:r>
        <w:rPr>
          <w:rStyle w:val="normaltextrun"/>
          <w:rFonts w:cs="Calibri"/>
          <w:szCs w:val="24"/>
          <w:lang w:eastAsia="en-GB"/>
        </w:rPr>
        <w:t xml:space="preserve">- </w:t>
      </w:r>
      <w:r w:rsidRPr="00D8514A">
        <w:rPr>
          <w:rStyle w:val="normaltextrun"/>
          <w:rFonts w:cs="Calibri"/>
          <w:i/>
          <w:iCs/>
          <w:szCs w:val="24"/>
          <w:lang w:eastAsia="en-GB"/>
        </w:rPr>
        <w:t>considering the purposes of the Union listed in Article 1 of the ITU Constitution; as well as the role assigned to each of the three Sectors and to the General Secretariat to contribute to fulfilling the purposes and achieving the objectives of the Union;</w:t>
      </w:r>
    </w:p>
    <w:p w14:paraId="6C4E8F86" w14:textId="77777777" w:rsidR="00022B1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Pr>
          <w:rStyle w:val="normaltextrun"/>
          <w:rFonts w:cs="Calibri"/>
          <w:szCs w:val="24"/>
          <w:lang w:eastAsia="en-GB"/>
        </w:rPr>
        <w:t xml:space="preserve">- </w:t>
      </w:r>
      <w:r w:rsidRPr="00D8514A">
        <w:rPr>
          <w:rStyle w:val="normaltextrun"/>
          <w:rFonts w:cs="Calibri"/>
          <w:i/>
          <w:iCs/>
          <w:szCs w:val="24"/>
          <w:lang w:eastAsia="en-GB"/>
        </w:rPr>
        <w:t>recognizing the growing number of areas for common studies carried out by the three Sectors and the related need for coordination and cooperation among the Sectors, providing an integrated approach within the framework of "One ITU";</w:t>
      </w:r>
    </w:p>
    <w:p w14:paraId="1CE5087C" w14:textId="77777777" w:rsidR="00022B13" w:rsidRPr="00D8514A"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i/>
          <w:iCs/>
          <w:szCs w:val="24"/>
          <w:lang w:eastAsia="en-GB"/>
        </w:rPr>
      </w:pPr>
      <w:r>
        <w:rPr>
          <w:rStyle w:val="normaltextrun"/>
          <w:rFonts w:cs="Calibri"/>
          <w:szCs w:val="24"/>
          <w:lang w:eastAsia="en-GB"/>
        </w:rPr>
        <w:t xml:space="preserve">- </w:t>
      </w:r>
      <w:r w:rsidRPr="00D8514A">
        <w:rPr>
          <w:rStyle w:val="normaltextrun"/>
          <w:rFonts w:cs="Calibri"/>
          <w:i/>
          <w:iCs/>
          <w:szCs w:val="24"/>
          <w:lang w:eastAsia="en-GB"/>
        </w:rPr>
        <w:t>bearing in mind that the activities of inter-Sector teams facilitate collaboration and coordination of activities within the Union; that these actions should continue to be systematized in a comprehensive strategy whose results are measured and monitored; that the Inter-Sector Coordination Group (ISCG) and the Inter-Sectoral Coordination Task Force (ISC-TF) are effective tools contributing to the development of an integrated strategy; and that inter-Sector collaboration and coordination should be headed by the General Secretariat, in close collaboration with the Directors of the three Bureaux;</w:t>
      </w:r>
    </w:p>
    <w:p w14:paraId="198339D1" w14:textId="77777777" w:rsidR="00022B13" w:rsidRPr="005A0B59"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i/>
          <w:iCs/>
          <w:szCs w:val="24"/>
          <w:lang w:eastAsia="en-GB"/>
        </w:rPr>
      </w:pPr>
      <w:r>
        <w:rPr>
          <w:rStyle w:val="normaltextrun"/>
          <w:rFonts w:cs="Calibri"/>
          <w:szCs w:val="24"/>
          <w:lang w:eastAsia="en-GB"/>
        </w:rPr>
        <w:t xml:space="preserve">- </w:t>
      </w:r>
      <w:r w:rsidRPr="005A0B59">
        <w:rPr>
          <w:rStyle w:val="normaltextrun"/>
          <w:rFonts w:cs="Calibri"/>
          <w:i/>
          <w:iCs/>
          <w:szCs w:val="24"/>
          <w:lang w:eastAsia="en-GB"/>
        </w:rPr>
        <w:t>instructs the Secretary-General to continue enhancing a coordination and cooperation strategy for effective and efficient efforts in areas of mutual interest to the three Sectors and the General Secretariat, in order to avoid duplication of effort and optimize the use of resources of the Union;</w:t>
      </w:r>
    </w:p>
    <w:p w14:paraId="5A4DC650" w14:textId="77777777" w:rsidR="00022B13" w:rsidRPr="00F62B4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i/>
          <w:iCs/>
          <w:szCs w:val="24"/>
          <w:lang w:eastAsia="en-GB"/>
        </w:rPr>
      </w:pPr>
      <w:r>
        <w:rPr>
          <w:rStyle w:val="normaltextrun"/>
          <w:rFonts w:cs="Calibri"/>
          <w:szCs w:val="24"/>
          <w:lang w:eastAsia="en-GB"/>
        </w:rPr>
        <w:t xml:space="preserve">- </w:t>
      </w:r>
      <w:r w:rsidRPr="00F62B43">
        <w:rPr>
          <w:rStyle w:val="normaltextrun"/>
          <w:rFonts w:cs="Calibri"/>
          <w:i/>
          <w:iCs/>
          <w:szCs w:val="24"/>
          <w:lang w:eastAsia="en-GB"/>
        </w:rPr>
        <w:t>instructs the Secretary-General to identify all forms and examples of overlapping functions and activities among the Sectors as well as the General Secretariat, and to propose solutions to address them;</w:t>
      </w:r>
    </w:p>
    <w:p w14:paraId="74BDDE86" w14:textId="77777777" w:rsidR="00022B13" w:rsidRPr="00F62B4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i/>
          <w:iCs/>
          <w:szCs w:val="24"/>
          <w:lang w:eastAsia="en-GB"/>
        </w:rPr>
      </w:pPr>
      <w:r>
        <w:rPr>
          <w:rStyle w:val="normaltextrun"/>
          <w:rFonts w:cs="Calibri"/>
          <w:szCs w:val="24"/>
          <w:lang w:eastAsia="en-GB"/>
        </w:rPr>
        <w:t xml:space="preserve">- </w:t>
      </w:r>
      <w:r w:rsidRPr="00F62B43">
        <w:rPr>
          <w:rStyle w:val="normaltextrun"/>
          <w:rFonts w:cs="Calibri"/>
          <w:i/>
          <w:iCs/>
          <w:szCs w:val="24"/>
          <w:lang w:eastAsia="en-GB"/>
        </w:rPr>
        <w:t>instructs to update the list containing the areas of mutual interest to the three Sectors and the General Secretariat pursuant to the mandates of each ITU assembly and conference;</w:t>
      </w:r>
      <w:r w:rsidRPr="00F62B43">
        <w:rPr>
          <w:i/>
          <w:iCs/>
        </w:rPr>
        <w:t xml:space="preserve"> </w:t>
      </w:r>
      <w:r w:rsidRPr="00F62B43">
        <w:rPr>
          <w:rStyle w:val="normaltextrun"/>
          <w:rFonts w:cs="Calibri"/>
          <w:i/>
          <w:iCs/>
          <w:szCs w:val="24"/>
          <w:lang w:eastAsia="en-GB"/>
        </w:rPr>
        <w:t>to submit to the ITU Council and to the Plenipotentiary Conference reports on the coordination activities carried out among the different Sectors and the General Secretariat in each such area, as well as the results obtained; and to continue to ensure close interaction and regular exchange of information between ISCG and ISC-TF.</w:t>
      </w:r>
    </w:p>
    <w:p w14:paraId="330EB75D" w14:textId="14685969" w:rsidR="00022B13" w:rsidRPr="00227364"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Pr>
          <w:rStyle w:val="normaltextrun"/>
          <w:rFonts w:cs="Calibri"/>
          <w:szCs w:val="24"/>
          <w:lang w:eastAsia="en-GB"/>
        </w:rPr>
        <w:t>1.4</w:t>
      </w:r>
      <w:r>
        <w:rPr>
          <w:rStyle w:val="normaltextrun"/>
          <w:rFonts w:cs="Calibri"/>
          <w:szCs w:val="24"/>
          <w:lang w:eastAsia="en-GB"/>
        </w:rPr>
        <w:tab/>
        <w:t xml:space="preserve">Based on these, the secretariat developed the Inter-Sectoral Coordination Strategy by following the steps below: </w:t>
      </w:r>
    </w:p>
    <w:p w14:paraId="569D27DA" w14:textId="77777777" w:rsidR="00022B1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bookmarkStart w:id="11" w:name="_Hlk135836641"/>
      <w:r>
        <w:rPr>
          <w:rStyle w:val="normaltextrun"/>
          <w:rFonts w:cs="Calibri"/>
          <w:szCs w:val="24"/>
          <w:lang w:eastAsia="en-GB"/>
        </w:rPr>
        <w:t xml:space="preserve">- </w:t>
      </w:r>
      <w:r w:rsidRPr="00227364">
        <w:rPr>
          <w:rStyle w:val="normaltextrun"/>
          <w:rFonts w:cs="Calibri"/>
          <w:szCs w:val="24"/>
          <w:lang w:eastAsia="en-GB"/>
        </w:rPr>
        <w:t xml:space="preserve">the Secretary-General delegated </w:t>
      </w:r>
      <w:r>
        <w:rPr>
          <w:rStyle w:val="normaltextrun"/>
          <w:rFonts w:cs="Calibri"/>
          <w:szCs w:val="24"/>
          <w:lang w:eastAsia="en-GB"/>
        </w:rPr>
        <w:t>to</w:t>
      </w:r>
      <w:r w:rsidRPr="00227364">
        <w:rPr>
          <w:rStyle w:val="normaltextrun"/>
          <w:rFonts w:cs="Calibri"/>
          <w:szCs w:val="24"/>
          <w:lang w:eastAsia="en-GB"/>
        </w:rPr>
        <w:t xml:space="preserve"> the Deputy Secretary-General </w:t>
      </w:r>
      <w:r>
        <w:rPr>
          <w:rStyle w:val="normaltextrun"/>
          <w:rFonts w:cs="Calibri"/>
          <w:szCs w:val="24"/>
          <w:lang w:eastAsia="en-GB"/>
        </w:rPr>
        <w:t xml:space="preserve">(Service </w:t>
      </w:r>
      <w:r w:rsidRPr="00D32820">
        <w:rPr>
          <w:rStyle w:val="normaltextrun"/>
          <w:rFonts w:cs="Calibri"/>
          <w:szCs w:val="24"/>
          <w:lang w:eastAsia="en-GB"/>
        </w:rPr>
        <w:t>Order No. 23/06</w:t>
      </w:r>
      <w:r>
        <w:rPr>
          <w:rStyle w:val="normaltextrun"/>
          <w:rFonts w:cs="Calibri"/>
          <w:szCs w:val="24"/>
          <w:lang w:eastAsia="en-GB"/>
        </w:rPr>
        <w:t xml:space="preserve">) </w:t>
      </w:r>
      <w:r w:rsidRPr="00227364">
        <w:rPr>
          <w:rStyle w:val="normaltextrun"/>
          <w:rFonts w:cs="Calibri"/>
          <w:szCs w:val="24"/>
          <w:lang w:eastAsia="en-GB"/>
        </w:rPr>
        <w:t>the implementation of inter</w:t>
      </w:r>
      <w:r>
        <w:rPr>
          <w:rStyle w:val="normaltextrun"/>
          <w:rFonts w:cs="Calibri"/>
          <w:szCs w:val="24"/>
          <w:lang w:eastAsia="en-GB"/>
        </w:rPr>
        <w:t>-S</w:t>
      </w:r>
      <w:r w:rsidRPr="00227364">
        <w:rPr>
          <w:rStyle w:val="normaltextrun"/>
          <w:rFonts w:cs="Calibri"/>
          <w:szCs w:val="24"/>
          <w:lang w:eastAsia="en-GB"/>
        </w:rPr>
        <w:t>ectoral coordination strategies and mechanisms to facilitate collaboration and coordination of activities within the Union, through inter-Sector teams</w:t>
      </w:r>
      <w:bookmarkEnd w:id="11"/>
      <w:r>
        <w:rPr>
          <w:rStyle w:val="normaltextrun"/>
          <w:rFonts w:cs="Calibri"/>
          <w:szCs w:val="24"/>
          <w:lang w:eastAsia="en-GB"/>
        </w:rPr>
        <w:t>;</w:t>
      </w:r>
    </w:p>
    <w:p w14:paraId="660EB175" w14:textId="77777777" w:rsidR="00022B1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Pr>
          <w:rStyle w:val="normaltextrun"/>
          <w:rFonts w:cs="Calibri"/>
          <w:szCs w:val="24"/>
          <w:lang w:eastAsia="en-GB"/>
        </w:rPr>
        <w:lastRenderedPageBreak/>
        <w:t xml:space="preserve">- </w:t>
      </w:r>
      <w:r w:rsidRPr="008744A9">
        <w:rPr>
          <w:rStyle w:val="normaltextrun"/>
          <w:rFonts w:cs="Calibri"/>
          <w:szCs w:val="24"/>
          <w:lang w:eastAsia="en-GB"/>
        </w:rPr>
        <w:t xml:space="preserve">the </w:t>
      </w:r>
      <w:r>
        <w:rPr>
          <w:rStyle w:val="normaltextrun"/>
          <w:rFonts w:cs="Calibri"/>
          <w:szCs w:val="24"/>
          <w:lang w:eastAsia="en-GB"/>
        </w:rPr>
        <w:t xml:space="preserve">secretariat updated the </w:t>
      </w:r>
      <w:r w:rsidRPr="008744A9">
        <w:rPr>
          <w:rStyle w:val="normaltextrun"/>
          <w:rFonts w:cs="Calibri"/>
          <w:szCs w:val="24"/>
          <w:lang w:eastAsia="en-GB"/>
        </w:rPr>
        <w:t>list containing the areas of mutual interest to the three Sectors and the General Secretariat</w:t>
      </w:r>
      <w:r>
        <w:rPr>
          <w:rStyle w:val="normaltextrun"/>
          <w:rFonts w:cs="Calibri"/>
          <w:szCs w:val="24"/>
          <w:lang w:eastAsia="en-GB"/>
        </w:rPr>
        <w:t>, once PP-22 concluded, and by considering:</w:t>
      </w:r>
    </w:p>
    <w:p w14:paraId="5CBAB87C" w14:textId="20AD543E" w:rsidR="00022B13" w:rsidRDefault="00022B13" w:rsidP="03E3F1CE">
      <w:pPr>
        <w:tabs>
          <w:tab w:val="clear" w:pos="567"/>
          <w:tab w:val="clear" w:pos="1134"/>
          <w:tab w:val="clear" w:pos="1701"/>
          <w:tab w:val="clear" w:pos="2268"/>
          <w:tab w:val="clear" w:pos="2835"/>
        </w:tabs>
        <w:overflowPunct/>
        <w:autoSpaceDE/>
        <w:autoSpaceDN/>
        <w:adjustRightInd/>
        <w:spacing w:after="120"/>
        <w:ind w:left="720"/>
        <w:jc w:val="both"/>
        <w:textAlignment w:val="auto"/>
        <w:rPr>
          <w:rStyle w:val="normaltextrun"/>
          <w:rFonts w:cs="Calibri"/>
          <w:lang w:eastAsia="en-GB"/>
        </w:rPr>
      </w:pPr>
      <w:r w:rsidRPr="03E3F1CE">
        <w:rPr>
          <w:rStyle w:val="normaltextrun"/>
          <w:rFonts w:cs="Calibri"/>
          <w:lang w:eastAsia="en-GB"/>
        </w:rPr>
        <w:t xml:space="preserve">a. the mapping of resolutions from ITU’s main conferences and assemblies (Plenipotentiary Conference, Radiocommunication Assembly, World Radiocommunication Conference, World Telecommunication Standardization Assembly, and World Telecommunication Development Conference) that can be found on the ITU’s website under </w:t>
      </w:r>
      <w:hyperlink r:id="rId16">
        <w:r w:rsidRPr="03E3F1CE">
          <w:rPr>
            <w:rStyle w:val="Hyperlink"/>
            <w:rFonts w:cs="Calibri"/>
            <w:lang w:eastAsia="en-GB"/>
          </w:rPr>
          <w:t>Intersectoral Coordination</w:t>
        </w:r>
      </w:hyperlink>
      <w:r w:rsidRPr="03E3F1CE">
        <w:rPr>
          <w:rStyle w:val="normaltextrun"/>
          <w:rFonts w:cs="Calibri"/>
          <w:lang w:eastAsia="en-GB"/>
        </w:rPr>
        <w:t>;</w:t>
      </w:r>
    </w:p>
    <w:p w14:paraId="024444DE" w14:textId="77777777" w:rsidR="00022B13" w:rsidRDefault="00022B13" w:rsidP="00022B13">
      <w:pPr>
        <w:tabs>
          <w:tab w:val="clear" w:pos="567"/>
          <w:tab w:val="clear" w:pos="1134"/>
          <w:tab w:val="clear" w:pos="1701"/>
          <w:tab w:val="clear" w:pos="2268"/>
          <w:tab w:val="clear" w:pos="2835"/>
        </w:tabs>
        <w:overflowPunct/>
        <w:autoSpaceDE/>
        <w:autoSpaceDN/>
        <w:adjustRightInd/>
        <w:spacing w:after="120"/>
        <w:ind w:firstLine="720"/>
        <w:jc w:val="both"/>
        <w:textAlignment w:val="auto"/>
        <w:rPr>
          <w:rStyle w:val="normaltextrun"/>
          <w:rFonts w:cs="Calibri"/>
          <w:szCs w:val="24"/>
          <w:lang w:eastAsia="en-GB"/>
        </w:rPr>
      </w:pPr>
      <w:r>
        <w:rPr>
          <w:rStyle w:val="normaltextrun"/>
          <w:rFonts w:cs="Calibri"/>
          <w:szCs w:val="24"/>
          <w:lang w:eastAsia="en-GB"/>
        </w:rPr>
        <w:t xml:space="preserve">b. </w:t>
      </w:r>
      <w:r w:rsidRPr="00E77BB9">
        <w:rPr>
          <w:rStyle w:val="normaltextrun"/>
          <w:rFonts w:cs="Calibri"/>
          <w:szCs w:val="24"/>
          <w:lang w:eastAsia="en-GB"/>
        </w:rPr>
        <w:t>PP-22 resolutions that call for intersectoral coordination</w:t>
      </w:r>
      <w:r>
        <w:rPr>
          <w:rStyle w:val="normaltextrun"/>
          <w:rFonts w:cs="Calibri"/>
          <w:szCs w:val="24"/>
          <w:lang w:eastAsia="en-GB"/>
        </w:rPr>
        <w:t xml:space="preserve"> (see Annex 1);</w:t>
      </w:r>
    </w:p>
    <w:p w14:paraId="1012A7A2" w14:textId="77777777" w:rsidR="00022B13" w:rsidRDefault="00022B13" w:rsidP="00022B13">
      <w:pPr>
        <w:tabs>
          <w:tab w:val="clear" w:pos="567"/>
          <w:tab w:val="clear" w:pos="1134"/>
          <w:tab w:val="clear" w:pos="1701"/>
          <w:tab w:val="clear" w:pos="2268"/>
          <w:tab w:val="clear" w:pos="2835"/>
        </w:tabs>
        <w:overflowPunct/>
        <w:autoSpaceDE/>
        <w:autoSpaceDN/>
        <w:adjustRightInd/>
        <w:spacing w:after="120"/>
        <w:ind w:firstLine="720"/>
        <w:jc w:val="both"/>
        <w:textAlignment w:val="auto"/>
        <w:rPr>
          <w:rStyle w:val="normaltextrun"/>
          <w:rFonts w:cs="Calibri"/>
          <w:szCs w:val="24"/>
          <w:lang w:eastAsia="en-GB"/>
        </w:rPr>
      </w:pPr>
      <w:r>
        <w:rPr>
          <w:rStyle w:val="normaltextrun"/>
          <w:rFonts w:cs="Calibri"/>
          <w:szCs w:val="24"/>
          <w:lang w:eastAsia="en-GB"/>
        </w:rPr>
        <w:t xml:space="preserve">c. </w:t>
      </w:r>
      <w:r w:rsidRPr="00E77BB9">
        <w:rPr>
          <w:rStyle w:val="normaltextrun"/>
          <w:rFonts w:cs="Calibri"/>
          <w:szCs w:val="24"/>
          <w:lang w:eastAsia="en-GB"/>
        </w:rPr>
        <w:t>the Union's Strategic Plan for 2024-2027</w:t>
      </w:r>
      <w:r>
        <w:rPr>
          <w:rStyle w:val="normaltextrun"/>
          <w:rFonts w:cs="Calibri"/>
          <w:szCs w:val="24"/>
          <w:lang w:eastAsia="en-GB"/>
        </w:rPr>
        <w:t xml:space="preserve"> -Resolution 71 (Rev, Bucharest, 2022)-</w:t>
      </w:r>
      <w:r w:rsidRPr="00E77BB9">
        <w:rPr>
          <w:rStyle w:val="normaltextrun"/>
          <w:rFonts w:cs="Calibri"/>
          <w:szCs w:val="24"/>
          <w:lang w:eastAsia="en-GB"/>
        </w:rPr>
        <w:t xml:space="preserve">, and </w:t>
      </w:r>
    </w:p>
    <w:p w14:paraId="36B5A10F" w14:textId="77777777" w:rsidR="00022B13" w:rsidRDefault="00022B13" w:rsidP="00022B13">
      <w:pPr>
        <w:tabs>
          <w:tab w:val="clear" w:pos="567"/>
          <w:tab w:val="clear" w:pos="1134"/>
          <w:tab w:val="clear" w:pos="1701"/>
          <w:tab w:val="clear" w:pos="2268"/>
          <w:tab w:val="clear" w:pos="2835"/>
        </w:tabs>
        <w:overflowPunct/>
        <w:autoSpaceDE/>
        <w:autoSpaceDN/>
        <w:adjustRightInd/>
        <w:spacing w:after="120"/>
        <w:ind w:firstLine="720"/>
        <w:jc w:val="both"/>
        <w:textAlignment w:val="auto"/>
        <w:rPr>
          <w:rStyle w:val="normaltextrun"/>
          <w:rFonts w:cs="Calibri"/>
          <w:szCs w:val="24"/>
          <w:lang w:eastAsia="en-GB"/>
        </w:rPr>
      </w:pPr>
      <w:r>
        <w:rPr>
          <w:rStyle w:val="normaltextrun"/>
          <w:rFonts w:cs="Calibri"/>
          <w:szCs w:val="24"/>
          <w:lang w:eastAsia="en-GB"/>
        </w:rPr>
        <w:t xml:space="preserve">d. </w:t>
      </w:r>
      <w:r w:rsidRPr="00E77BB9">
        <w:rPr>
          <w:rStyle w:val="normaltextrun"/>
          <w:rFonts w:cs="Calibri"/>
          <w:szCs w:val="24"/>
          <w:lang w:eastAsia="en-GB"/>
        </w:rPr>
        <w:t>the Visioning exercise</w:t>
      </w:r>
      <w:r>
        <w:rPr>
          <w:rStyle w:val="normaltextrun"/>
          <w:rFonts w:cs="Calibri"/>
          <w:szCs w:val="24"/>
          <w:lang w:eastAsia="en-GB"/>
        </w:rPr>
        <w:t xml:space="preserve"> carried out in </w:t>
      </w:r>
      <w:r w:rsidRPr="00E77BB9">
        <w:rPr>
          <w:rStyle w:val="normaltextrun"/>
          <w:rFonts w:cs="Calibri"/>
          <w:szCs w:val="24"/>
          <w:lang w:eastAsia="en-GB"/>
        </w:rPr>
        <w:t>Nov/Dec</w:t>
      </w:r>
      <w:r>
        <w:rPr>
          <w:rStyle w:val="normaltextrun"/>
          <w:rFonts w:cs="Calibri"/>
          <w:szCs w:val="24"/>
          <w:lang w:eastAsia="en-GB"/>
        </w:rPr>
        <w:t xml:space="preserve"> 20</w:t>
      </w:r>
      <w:r w:rsidRPr="00E77BB9">
        <w:rPr>
          <w:rStyle w:val="normaltextrun"/>
          <w:rFonts w:cs="Calibri"/>
          <w:szCs w:val="24"/>
          <w:lang w:eastAsia="en-GB"/>
        </w:rPr>
        <w:t>22;</w:t>
      </w:r>
    </w:p>
    <w:p w14:paraId="70F0978F" w14:textId="77777777" w:rsidR="00022B1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Pr>
          <w:rStyle w:val="normaltextrun"/>
          <w:rFonts w:cs="Calibri"/>
          <w:szCs w:val="24"/>
          <w:lang w:eastAsia="en-GB"/>
        </w:rPr>
        <w:t xml:space="preserve">- due to </w:t>
      </w:r>
      <w:r w:rsidRPr="00017377">
        <w:rPr>
          <w:rStyle w:val="normaltextrun"/>
          <w:rFonts w:cs="Calibri"/>
          <w:szCs w:val="24"/>
          <w:lang w:eastAsia="en-GB"/>
        </w:rPr>
        <w:t>the growing number of areas of mutual interest,</w:t>
      </w:r>
      <w:r>
        <w:rPr>
          <w:rStyle w:val="normaltextrun"/>
          <w:rFonts w:cs="Calibri"/>
          <w:szCs w:val="24"/>
          <w:lang w:eastAsia="en-GB"/>
        </w:rPr>
        <w:t xml:space="preserve"> and in order to b</w:t>
      </w:r>
      <w:r w:rsidRPr="00017377">
        <w:rPr>
          <w:rStyle w:val="normaltextrun"/>
          <w:rFonts w:cs="Calibri"/>
          <w:szCs w:val="24"/>
          <w:lang w:eastAsia="en-GB"/>
        </w:rPr>
        <w:t xml:space="preserve">e </w:t>
      </w:r>
      <w:r>
        <w:rPr>
          <w:rStyle w:val="normaltextrun"/>
          <w:rFonts w:cs="Calibri"/>
          <w:szCs w:val="24"/>
          <w:lang w:eastAsia="en-GB"/>
        </w:rPr>
        <w:t xml:space="preserve">able to </w:t>
      </w:r>
      <w:r w:rsidRPr="00017377">
        <w:rPr>
          <w:rStyle w:val="normaltextrun"/>
          <w:rFonts w:cs="Calibri"/>
          <w:szCs w:val="24"/>
          <w:lang w:eastAsia="en-GB"/>
        </w:rPr>
        <w:t>systematize</w:t>
      </w:r>
      <w:r>
        <w:rPr>
          <w:rStyle w:val="normaltextrun"/>
          <w:rFonts w:cs="Calibri"/>
          <w:szCs w:val="24"/>
          <w:lang w:eastAsia="en-GB"/>
        </w:rPr>
        <w:t xml:space="preserve"> them </w:t>
      </w:r>
      <w:r w:rsidRPr="00017377">
        <w:rPr>
          <w:rStyle w:val="normaltextrun"/>
          <w:rFonts w:cs="Calibri"/>
          <w:szCs w:val="24"/>
          <w:lang w:eastAsia="en-GB"/>
        </w:rPr>
        <w:t xml:space="preserve">in a comprehensive way where results </w:t>
      </w:r>
      <w:r>
        <w:rPr>
          <w:rStyle w:val="normaltextrun"/>
          <w:rFonts w:cs="Calibri"/>
          <w:szCs w:val="24"/>
          <w:lang w:eastAsia="en-GB"/>
        </w:rPr>
        <w:t xml:space="preserve">can be </w:t>
      </w:r>
      <w:r w:rsidRPr="00017377">
        <w:rPr>
          <w:rStyle w:val="normaltextrun"/>
          <w:rFonts w:cs="Calibri"/>
          <w:szCs w:val="24"/>
          <w:lang w:eastAsia="en-GB"/>
        </w:rPr>
        <w:t>measured and monitored, so as to facilitate follow-up on the implementation of Resolution 191 (Rev. Bucharest, 2022),</w:t>
      </w:r>
      <w:r>
        <w:rPr>
          <w:rStyle w:val="normaltextrun"/>
          <w:rFonts w:cs="Calibri"/>
          <w:szCs w:val="24"/>
          <w:lang w:eastAsia="en-GB"/>
        </w:rPr>
        <w:t xml:space="preserve"> themes were proposed to be grouped into different categories;</w:t>
      </w:r>
    </w:p>
    <w:p w14:paraId="58F3445B" w14:textId="236C3221" w:rsidR="00022B1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Pr>
          <w:rStyle w:val="normaltextrun"/>
          <w:rFonts w:cs="Calibri"/>
          <w:szCs w:val="24"/>
          <w:lang w:eastAsia="en-GB"/>
        </w:rPr>
        <w:t>- the proposed strategy was approved by the Coordination Committee (CoCo)</w:t>
      </w:r>
      <w:r>
        <w:rPr>
          <w:rStyle w:val="FootnoteReference"/>
          <w:rFonts w:cs="Calibri"/>
          <w:szCs w:val="24"/>
          <w:lang w:eastAsia="en-GB"/>
        </w:rPr>
        <w:footnoteReference w:id="1"/>
      </w:r>
      <w:r>
        <w:rPr>
          <w:rStyle w:val="normaltextrun"/>
          <w:rFonts w:cs="Calibri"/>
          <w:szCs w:val="24"/>
          <w:lang w:eastAsia="en-GB"/>
        </w:rPr>
        <w:t xml:space="preserve">; the </w:t>
      </w:r>
      <w:r w:rsidRPr="009C2B87">
        <w:rPr>
          <w:rStyle w:val="normaltextrun"/>
          <w:rFonts w:cs="Calibri"/>
          <w:szCs w:val="24"/>
          <w:lang w:eastAsia="en-GB"/>
        </w:rPr>
        <w:t xml:space="preserve">Management Coordination Group </w:t>
      </w:r>
      <w:r>
        <w:rPr>
          <w:rStyle w:val="normaltextrun"/>
          <w:rFonts w:cs="Calibri"/>
          <w:szCs w:val="24"/>
          <w:lang w:eastAsia="en-GB"/>
        </w:rPr>
        <w:t>(MCG)</w:t>
      </w:r>
      <w:r>
        <w:rPr>
          <w:rStyle w:val="FootnoteReference"/>
          <w:rFonts w:cs="Calibri"/>
          <w:szCs w:val="24"/>
          <w:lang w:eastAsia="en-GB"/>
        </w:rPr>
        <w:footnoteReference w:id="2"/>
      </w:r>
      <w:r>
        <w:rPr>
          <w:rStyle w:val="normaltextrun"/>
          <w:rFonts w:cs="Calibri"/>
          <w:szCs w:val="24"/>
          <w:lang w:eastAsia="en-GB"/>
        </w:rPr>
        <w:t xml:space="preserve"> was requested to oversee the guidelines for the implementation of the new mechanism; and the Directors of the three Bureaux were requested to agree on the themes and appoint Focal Points (</w:t>
      </w:r>
      <w:r w:rsidRPr="005C2492">
        <w:rPr>
          <w:rStyle w:val="normaltextrun"/>
          <w:rFonts w:cs="Calibri"/>
          <w:szCs w:val="24"/>
          <w:lang w:eastAsia="en-GB"/>
        </w:rPr>
        <w:t xml:space="preserve">the list of Focal Points can be found on ITU’s website </w:t>
      </w:r>
      <w:hyperlink r:id="rId17" w:history="1">
        <w:r w:rsidRPr="005C2492">
          <w:rPr>
            <w:rStyle w:val="Hyperlink"/>
            <w:rFonts w:cs="Calibri"/>
            <w:szCs w:val="24"/>
            <w:lang w:eastAsia="en-GB"/>
          </w:rPr>
          <w:t>here</w:t>
        </w:r>
      </w:hyperlink>
      <w:r>
        <w:rPr>
          <w:rStyle w:val="normaltextrun"/>
          <w:rFonts w:cs="Calibri"/>
          <w:szCs w:val="24"/>
          <w:lang w:eastAsia="en-GB"/>
        </w:rPr>
        <w:t>).</w:t>
      </w:r>
    </w:p>
    <w:p w14:paraId="07923732" w14:textId="5A1E8109" w:rsidR="00022B13" w:rsidRDefault="00022B13" w:rsidP="03E3F1CE">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sidRPr="03E3F1CE">
        <w:rPr>
          <w:rStyle w:val="normaltextrun"/>
          <w:rFonts w:cs="Calibri"/>
          <w:lang w:eastAsia="en-GB"/>
        </w:rPr>
        <w:t>1.5</w:t>
      </w:r>
      <w:r>
        <w:tab/>
      </w:r>
      <w:r w:rsidRPr="03E3F1CE">
        <w:rPr>
          <w:rStyle w:val="normaltextrun"/>
          <w:rFonts w:cs="Calibri"/>
          <w:lang w:eastAsia="en-GB"/>
        </w:rPr>
        <w:t xml:space="preserve">The new Inter-Sectoral Coordination Mechanism, as it was presented to Council 2023, will continue to be </w:t>
      </w:r>
      <w:r w:rsidR="488B8064" w:rsidRPr="03E3F1CE">
        <w:rPr>
          <w:rStyle w:val="normaltextrun"/>
          <w:rFonts w:cs="Calibri"/>
          <w:lang w:eastAsia="en-GB"/>
        </w:rPr>
        <w:t xml:space="preserve">facilitated </w:t>
      </w:r>
      <w:r w:rsidRPr="03E3F1CE">
        <w:rPr>
          <w:rStyle w:val="normaltextrun"/>
          <w:rFonts w:cs="Calibri"/>
          <w:lang w:eastAsia="en-GB"/>
        </w:rPr>
        <w:t xml:space="preserve">by the General Secretariat, in close collaboration with the Directors of the three Bureaux. </w:t>
      </w:r>
    </w:p>
    <w:p w14:paraId="0F5C2E5E" w14:textId="513FEB5D" w:rsidR="00022B13" w:rsidRDefault="00022B13" w:rsidP="03E3F1CE">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sidRPr="03E3F1CE">
        <w:rPr>
          <w:rStyle w:val="normaltextrun"/>
          <w:rFonts w:cs="Calibri"/>
          <w:lang w:eastAsia="en-GB"/>
        </w:rPr>
        <w:t>1.6</w:t>
      </w:r>
      <w:r>
        <w:tab/>
      </w:r>
      <w:r w:rsidRPr="03E3F1CE">
        <w:rPr>
          <w:rStyle w:val="normaltextrun"/>
          <w:rFonts w:cs="Calibri"/>
          <w:lang w:eastAsia="en-GB"/>
        </w:rPr>
        <w:t xml:space="preserve">The ISC-TF, </w:t>
      </w:r>
      <w:r w:rsidR="3A8D8407" w:rsidRPr="03E3F1CE">
        <w:rPr>
          <w:rStyle w:val="normaltextrun"/>
          <w:rFonts w:cs="Calibri"/>
          <w:lang w:eastAsia="en-GB"/>
        </w:rPr>
        <w:t xml:space="preserve">comprising of </w:t>
      </w:r>
      <w:r w:rsidRPr="03E3F1CE">
        <w:rPr>
          <w:rStyle w:val="normaltextrun"/>
          <w:rFonts w:cs="Calibri"/>
          <w:lang w:eastAsia="en-GB"/>
        </w:rPr>
        <w:t>the Focal Points</w:t>
      </w:r>
      <w:r w:rsidR="27DDF2FD" w:rsidRPr="03E3F1CE">
        <w:rPr>
          <w:rStyle w:val="normaltextrun"/>
          <w:rFonts w:cs="Calibri"/>
          <w:lang w:eastAsia="en-GB"/>
        </w:rPr>
        <w:t xml:space="preserve"> from the General Secretariat as well as Bureaux</w:t>
      </w:r>
      <w:r w:rsidRPr="03E3F1CE">
        <w:rPr>
          <w:rStyle w:val="normaltextrun"/>
          <w:rFonts w:cs="Calibri"/>
          <w:lang w:eastAsia="en-GB"/>
        </w:rPr>
        <w:t xml:space="preserve"> responsible for specific areas</w:t>
      </w:r>
      <w:r w:rsidR="4BB7AF09" w:rsidRPr="03E3F1CE">
        <w:rPr>
          <w:rStyle w:val="normaltextrun"/>
          <w:rFonts w:cs="Calibri"/>
          <w:lang w:eastAsia="en-GB"/>
        </w:rPr>
        <w:t xml:space="preserve"> and chaired by the Deputy Secretary-General</w:t>
      </w:r>
      <w:r w:rsidRPr="03E3F1CE">
        <w:rPr>
          <w:rStyle w:val="normaltextrun"/>
          <w:rFonts w:cs="Calibri"/>
          <w:lang w:eastAsia="en-GB"/>
        </w:rPr>
        <w:t>, will continue to:</w:t>
      </w:r>
    </w:p>
    <w:p w14:paraId="5E6B7E46" w14:textId="77777777" w:rsidR="00022B1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Pr>
          <w:rStyle w:val="normaltextrun"/>
          <w:rFonts w:cs="Calibri"/>
          <w:szCs w:val="24"/>
          <w:lang w:eastAsia="en-GB"/>
        </w:rPr>
        <w:t>- report to the Plenipotentiary Conference and to the Council, by means of</w:t>
      </w:r>
      <w:r w:rsidRPr="00A26A69">
        <w:rPr>
          <w:rStyle w:val="normaltextrun"/>
          <w:rFonts w:cs="Calibri"/>
          <w:szCs w:val="24"/>
          <w:lang w:eastAsia="en-GB"/>
        </w:rPr>
        <w:t xml:space="preserve"> the Secretary-General</w:t>
      </w:r>
      <w:r>
        <w:rPr>
          <w:rStyle w:val="normaltextrun"/>
          <w:rFonts w:cs="Calibri"/>
          <w:szCs w:val="24"/>
          <w:lang w:eastAsia="en-GB"/>
        </w:rPr>
        <w:t>’s</w:t>
      </w:r>
      <w:r w:rsidRPr="00A26A69">
        <w:rPr>
          <w:rStyle w:val="normaltextrun"/>
          <w:rFonts w:cs="Calibri"/>
          <w:szCs w:val="24"/>
          <w:lang w:eastAsia="en-GB"/>
        </w:rPr>
        <w:t xml:space="preserve"> reports</w:t>
      </w:r>
      <w:r>
        <w:rPr>
          <w:rStyle w:val="normaltextrun"/>
          <w:rFonts w:cs="Calibri"/>
          <w:szCs w:val="24"/>
          <w:lang w:eastAsia="en-GB"/>
        </w:rPr>
        <w:t>, on the implementation of Resolution 191 (Rev. Bucharest, 2022); and</w:t>
      </w:r>
    </w:p>
    <w:p w14:paraId="5CD83120" w14:textId="77777777" w:rsidR="00022B1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Pr>
          <w:rStyle w:val="normaltextrun"/>
          <w:rFonts w:cs="Calibri"/>
          <w:szCs w:val="24"/>
          <w:lang w:eastAsia="en-GB"/>
        </w:rPr>
        <w:t xml:space="preserve">- </w:t>
      </w:r>
      <w:r w:rsidRPr="156B95B0">
        <w:rPr>
          <w:rStyle w:val="normaltextrun"/>
          <w:rFonts w:cs="Calibri"/>
          <w:lang w:eastAsia="en-GB"/>
        </w:rPr>
        <w:t>liais</w:t>
      </w:r>
      <w:r>
        <w:rPr>
          <w:rStyle w:val="normaltextrun"/>
          <w:rFonts w:cs="Calibri"/>
          <w:lang w:eastAsia="en-GB"/>
        </w:rPr>
        <w:t>e</w:t>
      </w:r>
      <w:r w:rsidRPr="156B95B0">
        <w:rPr>
          <w:rStyle w:val="normaltextrun"/>
          <w:rFonts w:cs="Calibri"/>
          <w:lang w:eastAsia="en-GB"/>
        </w:rPr>
        <w:t xml:space="preserve"> with the Sector</w:t>
      </w:r>
      <w:r>
        <w:rPr>
          <w:rStyle w:val="normaltextrun"/>
          <w:rFonts w:cs="Calibri"/>
          <w:lang w:eastAsia="en-GB"/>
        </w:rPr>
        <w:t>s’</w:t>
      </w:r>
      <w:r w:rsidRPr="156B95B0">
        <w:rPr>
          <w:rStyle w:val="normaltextrun"/>
          <w:rFonts w:cs="Calibri"/>
          <w:lang w:eastAsia="en-GB"/>
        </w:rPr>
        <w:t xml:space="preserve"> </w:t>
      </w:r>
      <w:r>
        <w:rPr>
          <w:rStyle w:val="normaltextrun"/>
          <w:rFonts w:cs="Calibri"/>
          <w:lang w:eastAsia="en-GB"/>
        </w:rPr>
        <w:t>a</w:t>
      </w:r>
      <w:r w:rsidRPr="156B95B0">
        <w:rPr>
          <w:rStyle w:val="normaltextrun"/>
          <w:rFonts w:cs="Calibri"/>
          <w:lang w:eastAsia="en-GB"/>
        </w:rPr>
        <w:t xml:space="preserve">dvisory </w:t>
      </w:r>
      <w:r>
        <w:rPr>
          <w:rStyle w:val="normaltextrun"/>
          <w:rFonts w:cs="Calibri"/>
          <w:lang w:eastAsia="en-GB"/>
        </w:rPr>
        <w:t>g</w:t>
      </w:r>
      <w:r w:rsidRPr="156B95B0">
        <w:rPr>
          <w:rStyle w:val="normaltextrun"/>
          <w:rFonts w:cs="Calibri"/>
          <w:lang w:eastAsia="en-GB"/>
        </w:rPr>
        <w:t xml:space="preserve">roups and with the </w:t>
      </w:r>
      <w:r>
        <w:rPr>
          <w:rStyle w:val="normaltextrun"/>
          <w:rFonts w:cs="Calibri"/>
          <w:lang w:eastAsia="en-GB"/>
        </w:rPr>
        <w:t xml:space="preserve">ISCG, </w:t>
      </w:r>
      <w:r w:rsidRPr="00320356">
        <w:rPr>
          <w:rStyle w:val="normaltextrun"/>
          <w:rFonts w:cs="Calibri"/>
          <w:lang w:eastAsia="en-GB"/>
        </w:rPr>
        <w:t>under the coordination of the Deputy Secretary-General</w:t>
      </w:r>
      <w:r>
        <w:rPr>
          <w:rStyle w:val="normaltextrun"/>
          <w:rFonts w:cs="Calibri"/>
          <w:lang w:eastAsia="en-GB"/>
        </w:rPr>
        <w:t>, with the objective of i</w:t>
      </w:r>
      <w:r w:rsidRPr="156B95B0">
        <w:rPr>
          <w:rStyle w:val="normaltextrun"/>
          <w:rFonts w:cs="Calibri"/>
          <w:lang w:eastAsia="en-GB"/>
        </w:rPr>
        <w:t>dentify</w:t>
      </w:r>
      <w:r>
        <w:rPr>
          <w:rStyle w:val="normaltextrun"/>
          <w:rFonts w:cs="Calibri"/>
          <w:lang w:eastAsia="en-GB"/>
        </w:rPr>
        <w:t>ing</w:t>
      </w:r>
      <w:r w:rsidRPr="156B95B0">
        <w:rPr>
          <w:rStyle w:val="normaltextrun"/>
          <w:rFonts w:cs="Calibri"/>
          <w:lang w:eastAsia="en-GB"/>
        </w:rPr>
        <w:t xml:space="preserve"> the membership</w:t>
      </w:r>
      <w:r>
        <w:rPr>
          <w:rStyle w:val="normaltextrun"/>
          <w:rFonts w:cs="Calibri"/>
          <w:lang w:eastAsia="en-GB"/>
        </w:rPr>
        <w:t>’s</w:t>
      </w:r>
      <w:r w:rsidRPr="156B95B0">
        <w:rPr>
          <w:rStyle w:val="normaltextrun"/>
          <w:rFonts w:cs="Calibri"/>
          <w:lang w:eastAsia="en-GB"/>
        </w:rPr>
        <w:t xml:space="preserve"> needs</w:t>
      </w:r>
      <w:r>
        <w:rPr>
          <w:rStyle w:val="normaltextrun"/>
          <w:rFonts w:cs="Calibri"/>
          <w:lang w:eastAsia="en-GB"/>
        </w:rPr>
        <w:t xml:space="preserve"> and providing o</w:t>
      </w:r>
      <w:r w:rsidRPr="0004678D">
        <w:rPr>
          <w:rStyle w:val="normaltextrun"/>
          <w:rFonts w:cs="Calibri"/>
          <w:lang w:eastAsia="en-GB"/>
        </w:rPr>
        <w:t xml:space="preserve">ptions </w:t>
      </w:r>
      <w:r>
        <w:rPr>
          <w:rStyle w:val="normaltextrun"/>
          <w:rFonts w:cs="Calibri"/>
          <w:lang w:eastAsia="en-GB"/>
        </w:rPr>
        <w:t xml:space="preserve">to </w:t>
      </w:r>
      <w:r w:rsidRPr="0004678D">
        <w:rPr>
          <w:rStyle w:val="normaltextrun"/>
          <w:rFonts w:cs="Calibri"/>
          <w:lang w:eastAsia="en-GB"/>
        </w:rPr>
        <w:t>improv</w:t>
      </w:r>
      <w:r>
        <w:rPr>
          <w:rStyle w:val="normaltextrun"/>
          <w:rFonts w:cs="Calibri"/>
          <w:lang w:eastAsia="en-GB"/>
        </w:rPr>
        <w:t xml:space="preserve">e </w:t>
      </w:r>
      <w:r w:rsidRPr="0004678D">
        <w:rPr>
          <w:rStyle w:val="normaltextrun"/>
          <w:rFonts w:cs="Calibri"/>
          <w:lang w:eastAsia="en-GB"/>
        </w:rPr>
        <w:t>cooperation and coordination within the secretariat</w:t>
      </w:r>
      <w:r w:rsidRPr="156B95B0">
        <w:rPr>
          <w:rStyle w:val="normaltextrun"/>
          <w:rFonts w:cs="Calibri"/>
          <w:lang w:eastAsia="en-GB"/>
        </w:rPr>
        <w:t>.</w:t>
      </w:r>
    </w:p>
    <w:p w14:paraId="6CE16F77" w14:textId="3644F145" w:rsidR="00022B1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Pr>
          <w:rStyle w:val="normaltextrun"/>
          <w:rFonts w:cs="Calibri"/>
          <w:lang w:eastAsia="en-GB"/>
        </w:rPr>
        <w:t>1.7</w:t>
      </w:r>
      <w:r>
        <w:rPr>
          <w:rStyle w:val="normaltextrun"/>
          <w:rFonts w:cs="Calibri"/>
          <w:lang w:eastAsia="en-GB"/>
        </w:rPr>
        <w:tab/>
        <w:t xml:space="preserve">As mentioned before, due to the growing number of areas of mutual interest, to being able to </w:t>
      </w:r>
      <w:r w:rsidRPr="00C16DDB">
        <w:rPr>
          <w:rStyle w:val="normaltextrun"/>
          <w:rFonts w:cs="Calibri"/>
          <w:lang w:eastAsia="en-GB"/>
        </w:rPr>
        <w:t>measure and monitor</w:t>
      </w:r>
      <w:r>
        <w:rPr>
          <w:rStyle w:val="normaltextrun"/>
          <w:rFonts w:cs="Calibri"/>
          <w:lang w:eastAsia="en-GB"/>
        </w:rPr>
        <w:t xml:space="preserve"> results in a more efficient and effective way, internally, the work </w:t>
      </w:r>
      <w:r>
        <w:rPr>
          <w:rStyle w:val="normaltextrun"/>
          <w:rFonts w:cs="Calibri"/>
          <w:lang w:eastAsia="en-GB"/>
        </w:rPr>
        <w:lastRenderedPageBreak/>
        <w:t xml:space="preserve">will be organized in tracks under the supervision of the different internal governing </w:t>
      </w:r>
      <w:r w:rsidRPr="000F0A75">
        <w:rPr>
          <w:rStyle w:val="normaltextrun"/>
          <w:rFonts w:cs="Calibri"/>
          <w:lang w:eastAsia="en-GB"/>
        </w:rPr>
        <w:t>bodies</w:t>
      </w:r>
      <w:r>
        <w:rPr>
          <w:rStyle w:val="normaltextrun"/>
          <w:rFonts w:cs="Calibri"/>
          <w:lang w:eastAsia="en-GB"/>
        </w:rPr>
        <w:t>, as follows:</w:t>
      </w:r>
    </w:p>
    <w:p w14:paraId="1F7E1614" w14:textId="77777777" w:rsidR="00022B13" w:rsidRPr="00D621E1" w:rsidRDefault="00022B13" w:rsidP="00022B13">
      <w:pPr>
        <w:tabs>
          <w:tab w:val="clear" w:pos="567"/>
          <w:tab w:val="clear" w:pos="1701"/>
          <w:tab w:val="clear" w:pos="2268"/>
          <w:tab w:val="clear" w:pos="2835"/>
        </w:tabs>
        <w:overflowPunct/>
        <w:autoSpaceDE/>
        <w:autoSpaceDN/>
        <w:adjustRightInd/>
        <w:spacing w:after="120"/>
        <w:ind w:left="567"/>
        <w:jc w:val="both"/>
        <w:textAlignment w:val="auto"/>
        <w:rPr>
          <w:rStyle w:val="normaltextrun"/>
          <w:rFonts w:cs="Calibri"/>
          <w:szCs w:val="24"/>
          <w:lang w:eastAsia="en-GB"/>
        </w:rPr>
      </w:pPr>
      <w:r>
        <w:rPr>
          <w:rStyle w:val="normaltextrun"/>
          <w:rFonts w:cs="Calibri"/>
          <w:szCs w:val="24"/>
          <w:lang w:eastAsia="en-GB"/>
        </w:rPr>
        <w:t>a)</w:t>
      </w:r>
      <w:r>
        <w:rPr>
          <w:rStyle w:val="normaltextrun"/>
          <w:rFonts w:cs="Calibri"/>
          <w:szCs w:val="24"/>
          <w:lang w:eastAsia="en-GB"/>
        </w:rPr>
        <w:tab/>
      </w:r>
      <w:r w:rsidRPr="00D621E1">
        <w:rPr>
          <w:rStyle w:val="normaltextrun"/>
          <w:rFonts w:cs="Calibri"/>
          <w:szCs w:val="24"/>
          <w:lang w:eastAsia="en-GB"/>
        </w:rPr>
        <w:t>Strategic leadership</w:t>
      </w:r>
    </w:p>
    <w:p w14:paraId="4321BBD5" w14:textId="77777777" w:rsidR="00022B13" w:rsidRPr="00227364"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sidRPr="00227364">
        <w:rPr>
          <w:rStyle w:val="normaltextrun"/>
          <w:rFonts w:cs="Calibri"/>
          <w:szCs w:val="24"/>
          <w:lang w:eastAsia="en-GB"/>
        </w:rPr>
        <w:t>The Deputy Secretary-General and the Directors of the Bureaux will “champion” themes</w:t>
      </w:r>
      <w:r>
        <w:rPr>
          <w:rStyle w:val="normaltextrun"/>
          <w:rFonts w:cs="Calibri"/>
          <w:szCs w:val="24"/>
          <w:lang w:eastAsia="en-GB"/>
        </w:rPr>
        <w:t xml:space="preserve"> that are</w:t>
      </w:r>
      <w:r w:rsidRPr="00227364">
        <w:rPr>
          <w:rStyle w:val="normaltextrun"/>
          <w:rFonts w:cs="Calibri"/>
          <w:szCs w:val="24"/>
          <w:lang w:eastAsia="en-GB"/>
        </w:rPr>
        <w:t xml:space="preserve"> strategic for the Union to lead and position its work, based on its mandate</w:t>
      </w:r>
      <w:r>
        <w:rPr>
          <w:rStyle w:val="normaltextrun"/>
          <w:rFonts w:cs="Calibri"/>
          <w:szCs w:val="24"/>
          <w:lang w:eastAsia="en-GB"/>
        </w:rPr>
        <w:t xml:space="preserve"> and</w:t>
      </w:r>
      <w:r w:rsidRPr="00227364">
        <w:rPr>
          <w:rStyle w:val="normaltextrun"/>
          <w:rFonts w:cs="Calibri"/>
          <w:szCs w:val="24"/>
          <w:lang w:eastAsia="en-GB"/>
        </w:rPr>
        <w:t xml:space="preserve"> its strategic goals </w:t>
      </w:r>
      <w:r w:rsidRPr="001E556A">
        <w:rPr>
          <w:rStyle w:val="normaltextrun"/>
          <w:rFonts w:cs="Calibri"/>
          <w:szCs w:val="24"/>
          <w:lang w:eastAsia="en-GB"/>
        </w:rPr>
        <w:t>(</w:t>
      </w:r>
      <w:r w:rsidRPr="00EF4715">
        <w:rPr>
          <w:rStyle w:val="normaltextrun"/>
          <w:rFonts w:cs="Calibri"/>
          <w:szCs w:val="24"/>
          <w:lang w:eastAsia="en-GB"/>
        </w:rPr>
        <w:t>u</w:t>
      </w:r>
      <w:r w:rsidRPr="001E556A">
        <w:rPr>
          <w:rStyle w:val="normaltextrun"/>
          <w:rFonts w:cs="Calibri"/>
          <w:szCs w:val="24"/>
          <w:lang w:eastAsia="en-GB"/>
        </w:rPr>
        <w:t xml:space="preserve">niversal </w:t>
      </w:r>
      <w:r w:rsidRPr="00EF4715">
        <w:rPr>
          <w:rStyle w:val="normaltextrun"/>
          <w:rFonts w:cs="Calibri"/>
          <w:szCs w:val="24"/>
          <w:lang w:eastAsia="en-GB"/>
        </w:rPr>
        <w:t>c</w:t>
      </w:r>
      <w:r w:rsidRPr="001E556A">
        <w:rPr>
          <w:rStyle w:val="normaltextrun"/>
          <w:rFonts w:cs="Calibri"/>
          <w:szCs w:val="24"/>
          <w:lang w:eastAsia="en-GB"/>
        </w:rPr>
        <w:t xml:space="preserve">onnectivity and </w:t>
      </w:r>
      <w:r w:rsidRPr="00EF4715">
        <w:rPr>
          <w:rStyle w:val="normaltextrun"/>
          <w:rFonts w:cs="Calibri"/>
          <w:szCs w:val="24"/>
          <w:lang w:eastAsia="en-GB"/>
        </w:rPr>
        <w:t>s</w:t>
      </w:r>
      <w:r w:rsidRPr="001E556A">
        <w:rPr>
          <w:rStyle w:val="normaltextrun"/>
          <w:rFonts w:cs="Calibri"/>
          <w:szCs w:val="24"/>
          <w:lang w:eastAsia="en-GB"/>
        </w:rPr>
        <w:t xml:space="preserve">ustainable </w:t>
      </w:r>
      <w:r w:rsidRPr="00EF4715">
        <w:rPr>
          <w:rStyle w:val="normaltextrun"/>
          <w:rFonts w:cs="Calibri"/>
          <w:szCs w:val="24"/>
          <w:lang w:eastAsia="en-GB"/>
        </w:rPr>
        <w:t>d</w:t>
      </w:r>
      <w:r w:rsidRPr="001E556A">
        <w:rPr>
          <w:rStyle w:val="normaltextrun"/>
          <w:rFonts w:cs="Calibri"/>
          <w:szCs w:val="24"/>
          <w:lang w:eastAsia="en-GB"/>
        </w:rPr>
        <w:t xml:space="preserve">igital </w:t>
      </w:r>
      <w:r w:rsidRPr="00EF4715">
        <w:rPr>
          <w:rStyle w:val="normaltextrun"/>
          <w:rFonts w:cs="Calibri"/>
          <w:szCs w:val="24"/>
          <w:lang w:eastAsia="en-GB"/>
        </w:rPr>
        <w:t>t</w:t>
      </w:r>
      <w:r w:rsidRPr="001E556A">
        <w:rPr>
          <w:rStyle w:val="normaltextrun"/>
          <w:rFonts w:cs="Calibri"/>
          <w:szCs w:val="24"/>
          <w:lang w:eastAsia="en-GB"/>
        </w:rPr>
        <w:t>ransformation), and</w:t>
      </w:r>
      <w:r w:rsidRPr="00227364">
        <w:rPr>
          <w:rStyle w:val="normaltextrun"/>
          <w:rFonts w:cs="Calibri"/>
          <w:szCs w:val="24"/>
          <w:lang w:eastAsia="en-GB"/>
        </w:rPr>
        <w:t xml:space="preserve"> the importance </w:t>
      </w:r>
      <w:r>
        <w:rPr>
          <w:rStyle w:val="normaltextrun"/>
          <w:rFonts w:cs="Calibri"/>
          <w:szCs w:val="24"/>
          <w:lang w:eastAsia="en-GB"/>
        </w:rPr>
        <w:t>of</w:t>
      </w:r>
      <w:r w:rsidRPr="00227364">
        <w:rPr>
          <w:rStyle w:val="normaltextrun"/>
          <w:rFonts w:cs="Calibri"/>
          <w:szCs w:val="24"/>
          <w:lang w:eastAsia="en-GB"/>
        </w:rPr>
        <w:t xml:space="preserve"> keep</w:t>
      </w:r>
      <w:r>
        <w:rPr>
          <w:rStyle w:val="normaltextrun"/>
          <w:rFonts w:cs="Calibri"/>
          <w:szCs w:val="24"/>
          <w:lang w:eastAsia="en-GB"/>
        </w:rPr>
        <w:t xml:space="preserve">ing momentum </w:t>
      </w:r>
      <w:r w:rsidRPr="00227364">
        <w:rPr>
          <w:rStyle w:val="normaltextrun"/>
          <w:rFonts w:cs="Calibri"/>
          <w:szCs w:val="24"/>
          <w:lang w:eastAsia="en-GB"/>
        </w:rPr>
        <w:t>within the U</w:t>
      </w:r>
      <w:r>
        <w:rPr>
          <w:rStyle w:val="normaltextrun"/>
          <w:rFonts w:cs="Calibri"/>
          <w:szCs w:val="24"/>
          <w:lang w:eastAsia="en-GB"/>
        </w:rPr>
        <w:t xml:space="preserve">nited </w:t>
      </w:r>
      <w:r w:rsidRPr="00227364">
        <w:rPr>
          <w:rStyle w:val="normaltextrun"/>
          <w:rFonts w:cs="Calibri"/>
          <w:szCs w:val="24"/>
          <w:lang w:eastAsia="en-GB"/>
        </w:rPr>
        <w:t>N</w:t>
      </w:r>
      <w:r>
        <w:rPr>
          <w:rStyle w:val="normaltextrun"/>
          <w:rFonts w:cs="Calibri"/>
          <w:szCs w:val="24"/>
          <w:lang w:eastAsia="en-GB"/>
        </w:rPr>
        <w:t>ations</w:t>
      </w:r>
      <w:r w:rsidRPr="00227364">
        <w:rPr>
          <w:rStyle w:val="normaltextrun"/>
          <w:rFonts w:cs="Calibri"/>
          <w:szCs w:val="24"/>
          <w:lang w:eastAsia="en-GB"/>
        </w:rPr>
        <w:t xml:space="preserve"> system to</w:t>
      </w:r>
      <w:r>
        <w:rPr>
          <w:rStyle w:val="normaltextrun"/>
          <w:rFonts w:cs="Calibri"/>
          <w:szCs w:val="24"/>
          <w:lang w:eastAsia="en-GB"/>
        </w:rPr>
        <w:t>wards</w:t>
      </w:r>
      <w:r w:rsidRPr="00227364">
        <w:rPr>
          <w:rStyle w:val="normaltextrun"/>
          <w:rFonts w:cs="Calibri"/>
          <w:szCs w:val="24"/>
          <w:lang w:eastAsia="en-GB"/>
        </w:rPr>
        <w:t xml:space="preserve"> achiev</w:t>
      </w:r>
      <w:r>
        <w:rPr>
          <w:rStyle w:val="normaltextrun"/>
          <w:rFonts w:cs="Calibri"/>
          <w:szCs w:val="24"/>
          <w:lang w:eastAsia="en-GB"/>
        </w:rPr>
        <w:t>ing</w:t>
      </w:r>
      <w:r w:rsidRPr="00227364">
        <w:rPr>
          <w:rStyle w:val="normaltextrun"/>
          <w:rFonts w:cs="Calibri"/>
          <w:szCs w:val="24"/>
          <w:lang w:eastAsia="en-GB"/>
        </w:rPr>
        <w:t xml:space="preserve"> the Sustainable Development Goals by 2030.</w:t>
      </w:r>
      <w:r>
        <w:rPr>
          <w:rStyle w:val="normaltextrun"/>
          <w:rFonts w:cs="Calibri"/>
          <w:szCs w:val="24"/>
          <w:lang w:eastAsia="en-GB"/>
        </w:rPr>
        <w:t xml:space="preserve"> </w:t>
      </w:r>
      <w:r w:rsidRPr="00227364">
        <w:rPr>
          <w:rStyle w:val="normaltextrun"/>
          <w:rFonts w:cs="Calibri"/>
          <w:szCs w:val="24"/>
          <w:lang w:eastAsia="en-GB"/>
        </w:rPr>
        <w:t>Th</w:t>
      </w:r>
      <w:r>
        <w:rPr>
          <w:rStyle w:val="normaltextrun"/>
          <w:rFonts w:cs="Calibri"/>
          <w:szCs w:val="24"/>
          <w:lang w:eastAsia="en-GB"/>
        </w:rPr>
        <w:t>ese themes w</w:t>
      </w:r>
      <w:r w:rsidRPr="00227364">
        <w:rPr>
          <w:rStyle w:val="normaltextrun"/>
          <w:rFonts w:cs="Calibri"/>
          <w:szCs w:val="24"/>
          <w:lang w:eastAsia="en-GB"/>
        </w:rPr>
        <w:t xml:space="preserve">ill be coordinated and reviewed </w:t>
      </w:r>
      <w:r>
        <w:rPr>
          <w:rStyle w:val="normaltextrun"/>
          <w:rFonts w:cs="Calibri"/>
          <w:szCs w:val="24"/>
          <w:lang w:eastAsia="en-GB"/>
        </w:rPr>
        <w:t xml:space="preserve">periodically by </w:t>
      </w:r>
      <w:r w:rsidRPr="00227364">
        <w:rPr>
          <w:rStyle w:val="normaltextrun"/>
          <w:rFonts w:cs="Calibri"/>
          <w:szCs w:val="24"/>
          <w:lang w:eastAsia="en-GB"/>
        </w:rPr>
        <w:t>CoCo.</w:t>
      </w:r>
    </w:p>
    <w:p w14:paraId="002FA78F" w14:textId="77777777" w:rsidR="00022B13" w:rsidRPr="00D621E1" w:rsidRDefault="00022B13" w:rsidP="00022B13">
      <w:pPr>
        <w:tabs>
          <w:tab w:val="clear" w:pos="567"/>
          <w:tab w:val="clear" w:pos="1701"/>
          <w:tab w:val="clear" w:pos="2268"/>
          <w:tab w:val="clear" w:pos="2835"/>
        </w:tabs>
        <w:overflowPunct/>
        <w:autoSpaceDE/>
        <w:autoSpaceDN/>
        <w:adjustRightInd/>
        <w:spacing w:after="120"/>
        <w:ind w:left="567"/>
        <w:jc w:val="both"/>
        <w:textAlignment w:val="auto"/>
        <w:rPr>
          <w:rStyle w:val="normaltextrun"/>
          <w:rFonts w:cs="Calibri"/>
          <w:szCs w:val="24"/>
          <w:lang w:eastAsia="en-GB"/>
        </w:rPr>
      </w:pPr>
      <w:r w:rsidRPr="00D621E1">
        <w:rPr>
          <w:rStyle w:val="normaltextrun"/>
          <w:rFonts w:cs="Calibri"/>
          <w:szCs w:val="24"/>
          <w:lang w:eastAsia="en-GB"/>
        </w:rPr>
        <w:t>b)</w:t>
      </w:r>
      <w:r w:rsidRPr="00D621E1">
        <w:rPr>
          <w:rStyle w:val="normaltextrun"/>
          <w:rFonts w:cs="Calibri"/>
          <w:szCs w:val="24"/>
          <w:lang w:eastAsia="en-GB"/>
        </w:rPr>
        <w:tab/>
      </w:r>
      <w:r>
        <w:rPr>
          <w:rStyle w:val="normaltextrun"/>
          <w:rFonts w:cs="Calibri"/>
          <w:szCs w:val="24"/>
          <w:lang w:eastAsia="en-GB"/>
        </w:rPr>
        <w:t>Programmatic coordination</w:t>
      </w:r>
    </w:p>
    <w:p w14:paraId="3F3BCFDF" w14:textId="77777777" w:rsidR="00022B13" w:rsidRPr="00227364"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Pr>
          <w:rStyle w:val="normaltextrun"/>
          <w:rFonts w:cs="Calibri"/>
          <w:szCs w:val="24"/>
          <w:lang w:eastAsia="en-GB"/>
        </w:rPr>
        <w:t xml:space="preserve">MCG will oversee programmatic themes to </w:t>
      </w:r>
      <w:r w:rsidRPr="00A6718D">
        <w:rPr>
          <w:rStyle w:val="normaltextrun"/>
          <w:rFonts w:cs="Calibri"/>
          <w:szCs w:val="24"/>
          <w:lang w:eastAsia="en-GB"/>
        </w:rPr>
        <w:t>ensure</w:t>
      </w:r>
      <w:r>
        <w:rPr>
          <w:rStyle w:val="normaltextrun"/>
          <w:rFonts w:cs="Calibri"/>
          <w:szCs w:val="24"/>
          <w:lang w:eastAsia="en-GB"/>
        </w:rPr>
        <w:t xml:space="preserve"> </w:t>
      </w:r>
      <w:r w:rsidRPr="00227364">
        <w:rPr>
          <w:rStyle w:val="normaltextrun"/>
          <w:rFonts w:cs="Calibri"/>
          <w:szCs w:val="24"/>
          <w:lang w:eastAsia="en-GB"/>
        </w:rPr>
        <w:t xml:space="preserve">synergies, avoid duplication of efforts, and optimize the use of resources, </w:t>
      </w:r>
      <w:r>
        <w:rPr>
          <w:rStyle w:val="normaltextrun"/>
          <w:rFonts w:cs="Calibri"/>
          <w:szCs w:val="24"/>
          <w:lang w:eastAsia="en-GB"/>
        </w:rPr>
        <w:t xml:space="preserve">as well as </w:t>
      </w:r>
      <w:r w:rsidRPr="00227364">
        <w:rPr>
          <w:rStyle w:val="normaltextrun"/>
          <w:rFonts w:cs="Calibri"/>
          <w:szCs w:val="24"/>
          <w:lang w:eastAsia="en-GB"/>
        </w:rPr>
        <w:t>leverage the</w:t>
      </w:r>
      <w:r>
        <w:rPr>
          <w:rStyle w:val="normaltextrun"/>
          <w:rFonts w:cs="Calibri"/>
          <w:szCs w:val="24"/>
          <w:lang w:eastAsia="en-GB"/>
        </w:rPr>
        <w:t>ir</w:t>
      </w:r>
      <w:r w:rsidRPr="00227364">
        <w:rPr>
          <w:rStyle w:val="normaltextrun"/>
          <w:rFonts w:cs="Calibri"/>
          <w:szCs w:val="24"/>
          <w:lang w:eastAsia="en-GB"/>
        </w:rPr>
        <w:t xml:space="preserve"> impact</w:t>
      </w:r>
      <w:r>
        <w:rPr>
          <w:rStyle w:val="normaltextrun"/>
          <w:rFonts w:cs="Calibri"/>
          <w:szCs w:val="24"/>
          <w:lang w:eastAsia="en-GB"/>
        </w:rPr>
        <w:t xml:space="preserve"> and</w:t>
      </w:r>
      <w:r w:rsidRPr="00227364">
        <w:rPr>
          <w:rStyle w:val="normaltextrun"/>
          <w:rFonts w:cs="Calibri"/>
          <w:szCs w:val="24"/>
          <w:lang w:eastAsia="en-GB"/>
        </w:rPr>
        <w:t xml:space="preserve"> enhance coordination and collaboration between the three Sectors and the General Secretariat in the implementation of activities through the regional offices.</w:t>
      </w:r>
    </w:p>
    <w:p w14:paraId="74A27D52" w14:textId="77777777" w:rsidR="00022B13" w:rsidRPr="00D621E1" w:rsidRDefault="00022B13" w:rsidP="00022B13">
      <w:pPr>
        <w:tabs>
          <w:tab w:val="clear" w:pos="567"/>
          <w:tab w:val="clear" w:pos="1701"/>
          <w:tab w:val="clear" w:pos="2268"/>
          <w:tab w:val="clear" w:pos="2835"/>
        </w:tabs>
        <w:overflowPunct/>
        <w:autoSpaceDE/>
        <w:autoSpaceDN/>
        <w:adjustRightInd/>
        <w:spacing w:after="120"/>
        <w:ind w:left="567"/>
        <w:jc w:val="both"/>
        <w:textAlignment w:val="auto"/>
        <w:rPr>
          <w:rStyle w:val="normaltextrun"/>
          <w:rFonts w:cs="Calibri"/>
          <w:szCs w:val="24"/>
          <w:lang w:eastAsia="en-GB"/>
        </w:rPr>
      </w:pPr>
      <w:r w:rsidRPr="00D621E1">
        <w:rPr>
          <w:rStyle w:val="normaltextrun"/>
          <w:rFonts w:cs="Calibri"/>
          <w:szCs w:val="24"/>
          <w:lang w:eastAsia="en-GB"/>
        </w:rPr>
        <w:t>c)</w:t>
      </w:r>
      <w:r w:rsidRPr="00D621E1">
        <w:rPr>
          <w:rStyle w:val="normaltextrun"/>
          <w:rFonts w:cs="Calibri"/>
          <w:szCs w:val="24"/>
          <w:lang w:eastAsia="en-GB"/>
        </w:rPr>
        <w:tab/>
        <w:t xml:space="preserve">Performance and </w:t>
      </w:r>
      <w:r>
        <w:rPr>
          <w:rStyle w:val="normaltextrun"/>
          <w:rFonts w:cs="Calibri"/>
          <w:szCs w:val="24"/>
          <w:lang w:eastAsia="en-GB"/>
        </w:rPr>
        <w:t>t</w:t>
      </w:r>
      <w:r w:rsidRPr="00D621E1">
        <w:rPr>
          <w:rStyle w:val="normaltextrun"/>
          <w:rFonts w:cs="Calibri"/>
          <w:szCs w:val="24"/>
          <w:lang w:eastAsia="en-GB"/>
        </w:rPr>
        <w:t xml:space="preserve">ransformation </w:t>
      </w:r>
    </w:p>
    <w:p w14:paraId="18AE9CD1" w14:textId="4F90DC0E" w:rsidR="00022B13" w:rsidRPr="00227364" w:rsidRDefault="00022B13" w:rsidP="03E3F1CE">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sidRPr="03E3F1CE">
        <w:rPr>
          <w:rStyle w:val="normaltextrun"/>
          <w:rFonts w:cs="Calibri"/>
          <w:lang w:eastAsia="en-GB"/>
        </w:rPr>
        <w:t xml:space="preserve">Following the guidance of the Secretary-General and the Directors of the Bureaux, under the lead of the Deputy Secretary-General, coordinated </w:t>
      </w:r>
      <w:r w:rsidR="36011F12" w:rsidRPr="03E3F1CE">
        <w:rPr>
          <w:rStyle w:val="normaltextrun"/>
          <w:rFonts w:cs="Calibri"/>
          <w:lang w:eastAsia="en-GB"/>
        </w:rPr>
        <w:t xml:space="preserve">operational </w:t>
      </w:r>
      <w:r w:rsidRPr="03E3F1CE">
        <w:rPr>
          <w:rStyle w:val="normaltextrun"/>
          <w:rFonts w:cs="Calibri"/>
          <w:lang w:eastAsia="en-GB"/>
        </w:rPr>
        <w:t>actions will be discussed within the D2 Group</w:t>
      </w:r>
      <w:r w:rsidRPr="03E3F1CE">
        <w:rPr>
          <w:rStyle w:val="FootnoteReference"/>
          <w:rFonts w:cs="Calibri"/>
          <w:lang w:eastAsia="en-GB"/>
        </w:rPr>
        <w:footnoteReference w:id="3"/>
      </w:r>
      <w:r w:rsidRPr="03E3F1CE">
        <w:rPr>
          <w:rStyle w:val="normaltextrun"/>
          <w:rFonts w:cs="Calibri"/>
          <w:lang w:eastAsia="en-GB"/>
        </w:rPr>
        <w:t>, and implemented to reflect the work of inter-Sector teams to achieve organizational excellence on areas that require ITU-wide collaboration and coordination.</w:t>
      </w:r>
    </w:p>
    <w:p w14:paraId="7DC2B24C" w14:textId="355FB83B" w:rsidR="00022B1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Fonts w:cs="Calibri"/>
          <w:lang w:eastAsia="en-GB"/>
        </w:rPr>
      </w:pPr>
      <w:r w:rsidRPr="156B95B0">
        <w:rPr>
          <w:rStyle w:val="normaltextrun"/>
          <w:rFonts w:cs="Calibri"/>
          <w:lang w:eastAsia="en-GB"/>
        </w:rPr>
        <w:t>1.</w:t>
      </w:r>
      <w:r>
        <w:rPr>
          <w:rStyle w:val="normaltextrun"/>
          <w:rFonts w:cs="Calibri"/>
          <w:lang w:eastAsia="en-GB"/>
        </w:rPr>
        <w:t>8</w:t>
      </w:r>
      <w:r>
        <w:tab/>
      </w:r>
      <w:r w:rsidRPr="00FF2D2D">
        <w:rPr>
          <w:rFonts w:cs="Calibri"/>
          <w:lang w:eastAsia="en-GB"/>
        </w:rPr>
        <w:t>Themes that may not be included for close coordination under any of the</w:t>
      </w:r>
      <w:r>
        <w:rPr>
          <w:rFonts w:cs="Calibri"/>
          <w:lang w:eastAsia="en-GB"/>
        </w:rPr>
        <w:t xml:space="preserve">se groups, will continue to </w:t>
      </w:r>
      <w:r w:rsidRPr="00FF2D2D">
        <w:rPr>
          <w:rFonts w:cs="Calibri"/>
          <w:lang w:eastAsia="en-GB"/>
        </w:rPr>
        <w:t xml:space="preserve">report through </w:t>
      </w:r>
      <w:r>
        <w:rPr>
          <w:rFonts w:cs="Calibri"/>
          <w:lang w:eastAsia="en-GB"/>
        </w:rPr>
        <w:t xml:space="preserve">the </w:t>
      </w:r>
      <w:r>
        <w:t xml:space="preserve">web-based platform created to present the implementation of PP Resolutions requesting regular reporting to Council (see </w:t>
      </w:r>
      <w:hyperlink r:id="rId18" w:history="1">
        <w:r w:rsidRPr="00B61D8E">
          <w:rPr>
            <w:rStyle w:val="Hyperlink"/>
          </w:rPr>
          <w:t>here</w:t>
        </w:r>
      </w:hyperlink>
      <w:r>
        <w:t>).</w:t>
      </w:r>
    </w:p>
    <w:p w14:paraId="313F0C8A" w14:textId="49E52807" w:rsidR="00022B1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sidRPr="03E3F1CE">
        <w:rPr>
          <w:rFonts w:cs="Calibri"/>
          <w:lang w:eastAsia="en-GB"/>
        </w:rPr>
        <w:t>1.9</w:t>
      </w:r>
      <w:r>
        <w:tab/>
      </w:r>
      <w:r w:rsidRPr="03E3F1CE">
        <w:rPr>
          <w:rStyle w:val="normaltextrun"/>
          <w:rFonts w:cs="Calibri"/>
          <w:lang w:eastAsia="en-GB"/>
        </w:rPr>
        <w:t xml:space="preserve">The CWG-FHR is invited to propose ways to </w:t>
      </w:r>
      <w:r w:rsidR="3B99A2AC" w:rsidRPr="03E3F1CE">
        <w:rPr>
          <w:rStyle w:val="normaltextrun"/>
          <w:rFonts w:cs="Calibri"/>
          <w:lang w:eastAsia="en-GB"/>
        </w:rPr>
        <w:t xml:space="preserve">enhance, </w:t>
      </w:r>
      <w:r w:rsidRPr="03E3F1CE">
        <w:rPr>
          <w:rStyle w:val="normaltextrun"/>
          <w:rFonts w:cs="Calibri"/>
          <w:lang w:eastAsia="en-GB"/>
        </w:rPr>
        <w:t xml:space="preserve">monitor and evaluate the implementation of inter-sectoral coordination. </w:t>
      </w:r>
    </w:p>
    <w:p w14:paraId="2D21B955" w14:textId="77777777" w:rsidR="00022B13" w:rsidRDefault="00022B13" w:rsidP="00022B13">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sectPr w:rsidR="00022B13"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pPr>
    </w:p>
    <w:p w14:paraId="1482F28F" w14:textId="77777777" w:rsidR="00022B13" w:rsidRDefault="00022B13" w:rsidP="00022B13">
      <w:pPr>
        <w:pStyle w:val="AnnexNo"/>
        <w:rPr>
          <w:rStyle w:val="normaltextrun"/>
          <w:rFonts w:cs="Calibri"/>
          <w:lang w:eastAsia="en-GB"/>
        </w:rPr>
      </w:pPr>
      <w:r>
        <w:rPr>
          <w:rStyle w:val="normaltextrun"/>
          <w:rFonts w:cs="Calibri"/>
          <w:lang w:eastAsia="en-GB"/>
        </w:rPr>
        <w:lastRenderedPageBreak/>
        <w:t>Annex 1</w:t>
      </w:r>
    </w:p>
    <w:tbl>
      <w:tblPr>
        <w:tblW w:w="14601" w:type="dxa"/>
        <w:jc w:val="center"/>
        <w:tblCellMar>
          <w:left w:w="0" w:type="dxa"/>
          <w:right w:w="0" w:type="dxa"/>
        </w:tblCellMar>
        <w:tblLook w:val="0600" w:firstRow="0" w:lastRow="0" w:firstColumn="0" w:lastColumn="0" w:noHBand="1" w:noVBand="1"/>
      </w:tblPr>
      <w:tblGrid>
        <w:gridCol w:w="2920"/>
        <w:gridCol w:w="2920"/>
        <w:gridCol w:w="2920"/>
        <w:gridCol w:w="2920"/>
        <w:gridCol w:w="2921"/>
      </w:tblGrid>
      <w:tr w:rsidR="00022B13" w:rsidRPr="00A454C1" w14:paraId="125404F0" w14:textId="77777777" w:rsidTr="00353600">
        <w:trPr>
          <w:trHeight w:val="450"/>
          <w:jc w:val="center"/>
        </w:trPr>
        <w:tc>
          <w:tcPr>
            <w:tcW w:w="14601" w:type="dxa"/>
            <w:gridSpan w:val="5"/>
            <w:tcBorders>
              <w:top w:val="nil"/>
              <w:left w:val="nil"/>
              <w:bottom w:val="single" w:sz="4" w:space="0" w:color="000000"/>
              <w:right w:val="nil"/>
            </w:tcBorders>
            <w:shd w:val="clear" w:color="auto" w:fill="auto"/>
            <w:tcMar>
              <w:top w:w="62" w:type="dxa"/>
              <w:left w:w="124" w:type="dxa"/>
              <w:bottom w:w="62" w:type="dxa"/>
              <w:right w:w="124" w:type="dxa"/>
            </w:tcMar>
            <w:hideMark/>
          </w:tcPr>
          <w:p w14:paraId="5ED19006" w14:textId="77777777" w:rsidR="00022B13"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Style w:val="normaltextrun"/>
                <w:b/>
                <w:bCs/>
                <w:sz w:val="28"/>
                <w:szCs w:val="28"/>
                <w:lang w:eastAsia="en-GB"/>
              </w:rPr>
            </w:pPr>
            <w:r w:rsidRPr="008B452D">
              <w:rPr>
                <w:rStyle w:val="normaltextrun"/>
                <w:b/>
                <w:bCs/>
                <w:sz w:val="28"/>
                <w:szCs w:val="28"/>
              </w:rPr>
              <w:t>5</w:t>
            </w:r>
            <w:r w:rsidRPr="008B452D">
              <w:rPr>
                <w:rStyle w:val="normaltextrun"/>
                <w:rFonts w:cs="Calibri"/>
                <w:b/>
                <w:bCs/>
                <w:sz w:val="28"/>
                <w:szCs w:val="28"/>
                <w:lang w:eastAsia="en-GB"/>
              </w:rPr>
              <w:t xml:space="preserve">7 out of 65 PP-22 </w:t>
            </w:r>
            <w:r w:rsidRPr="00A454C1">
              <w:rPr>
                <w:rStyle w:val="normaltextrun"/>
                <w:b/>
                <w:bCs/>
                <w:sz w:val="28"/>
                <w:szCs w:val="28"/>
                <w:lang w:eastAsia="en-GB"/>
              </w:rPr>
              <w:t>Decisions/Resolutions call for intersectoral coordination</w:t>
            </w:r>
            <w:r>
              <w:rPr>
                <w:rStyle w:val="normaltextrun"/>
                <w:b/>
                <w:bCs/>
                <w:sz w:val="28"/>
                <w:szCs w:val="28"/>
                <w:lang w:eastAsia="en-GB"/>
              </w:rPr>
              <w:t>:</w:t>
            </w:r>
            <w:r w:rsidRPr="00A454C1">
              <w:rPr>
                <w:rStyle w:val="normaltextrun"/>
                <w:b/>
                <w:bCs/>
                <w:sz w:val="28"/>
                <w:szCs w:val="28"/>
                <w:lang w:eastAsia="en-GB"/>
              </w:rPr>
              <w:t xml:space="preserve"> </w:t>
            </w:r>
          </w:p>
          <w:p w14:paraId="288F23CD" w14:textId="77777777" w:rsidR="00022B13" w:rsidRPr="005458A5"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Style w:val="normaltextrun"/>
                <w:szCs w:val="24"/>
                <w:lang w:eastAsia="en-GB"/>
              </w:rPr>
            </w:pPr>
            <w:r w:rsidRPr="00A454C1">
              <w:rPr>
                <w:rStyle w:val="normaltextrun"/>
                <w:szCs w:val="24"/>
                <w:lang w:eastAsia="en-GB"/>
              </w:rPr>
              <w:t xml:space="preserve">(in </w:t>
            </w:r>
            <w:r w:rsidRPr="00A454C1">
              <w:rPr>
                <w:rStyle w:val="normaltextrun"/>
                <w:color w:val="548DD4" w:themeColor="text2" w:themeTint="99"/>
                <w:szCs w:val="24"/>
                <w:lang w:eastAsia="en-GB"/>
              </w:rPr>
              <w:t>blue</w:t>
            </w:r>
            <w:r w:rsidRPr="00A454C1">
              <w:rPr>
                <w:rStyle w:val="normaltextrun"/>
                <w:szCs w:val="24"/>
                <w:lang w:eastAsia="en-GB"/>
              </w:rPr>
              <w:t xml:space="preserve"> those having sectors' resolutions)</w:t>
            </w:r>
          </w:p>
          <w:p w14:paraId="165D3F59"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Arial" w:hAnsi="Arial" w:cs="Arial"/>
                <w:b/>
                <w:bCs/>
                <w:sz w:val="36"/>
                <w:szCs w:val="36"/>
                <w:lang w:eastAsia="en-GB"/>
              </w:rPr>
            </w:pPr>
          </w:p>
        </w:tc>
      </w:tr>
      <w:tr w:rsidR="00022B13" w:rsidRPr="00A454C1" w14:paraId="72120A31" w14:textId="77777777" w:rsidTr="00353600">
        <w:trPr>
          <w:trHeight w:val="568"/>
          <w:jc w:val="center"/>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C4E293B"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Dec. 5 - Revenue and expenses of the Union</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D907F32"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77 – Conferences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B6C74EF"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139 - Digital Divide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ACED183"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 xml:space="preserve">Res. 176 - Exposure to electromagnetic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B485C85"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200 - Connect 2030</w:t>
            </w:r>
          </w:p>
        </w:tc>
      </w:tr>
      <w:tr w:rsidR="00022B13" w:rsidRPr="00A454C1" w14:paraId="62A2D843" w14:textId="77777777" w:rsidTr="00353600">
        <w:trPr>
          <w:trHeight w:val="568"/>
          <w:jc w:val="center"/>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91DFCA0"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Dec. 11 - Management of CWG</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E7165A8"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101 - IP Networks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F55CE92"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140 – WSIS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9E2B07F"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177 – Conformance /interoperability</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899E2EA"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203 – Broadband</w:t>
            </w:r>
          </w:p>
        </w:tc>
      </w:tr>
      <w:tr w:rsidR="00022B13" w:rsidRPr="00A454C1" w14:paraId="2131358A" w14:textId="77777777" w:rsidTr="00353600">
        <w:trPr>
          <w:trHeight w:val="568"/>
          <w:jc w:val="center"/>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C4F7775"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2 – WTPF</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FA6734F"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102 - Internet</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FA27332"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146 – ITRs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62A024E"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179 – COP</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4A74C92"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204 - Financial inclusion</w:t>
            </w:r>
          </w:p>
        </w:tc>
      </w:tr>
      <w:tr w:rsidR="00022B13" w:rsidRPr="00A454C1" w14:paraId="7C140F4C" w14:textId="77777777" w:rsidTr="00353600">
        <w:trPr>
          <w:trHeight w:val="315"/>
          <w:jc w:val="center"/>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7DFA0F5"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21 – Alternative calling</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92ECF30"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123 – BSG</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3CF4BC3"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151 – RBM</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29A642F"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180 - IPV6</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8025217"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205 – Innovation</w:t>
            </w:r>
          </w:p>
        </w:tc>
      </w:tr>
      <w:tr w:rsidR="00022B13" w:rsidRPr="00A454C1" w14:paraId="2A254770" w14:textId="77777777" w:rsidTr="00353600">
        <w:trPr>
          <w:trHeight w:val="568"/>
          <w:jc w:val="center"/>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89BD9BC"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25 - Regional Presence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DFCD656"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125 - Support to Palestine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7B7A7A9"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154 – Languages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BA7F981"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182 - Climate Change</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61B8E0C"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208 - Term of office</w:t>
            </w:r>
          </w:p>
        </w:tc>
      </w:tr>
      <w:tr w:rsidR="00022B13" w:rsidRPr="00A454C1" w14:paraId="0499AA7E" w14:textId="77777777" w:rsidTr="00353600">
        <w:trPr>
          <w:trHeight w:val="568"/>
          <w:jc w:val="center"/>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3326ECC"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30 - LDCs, SISDS,LLDC</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0D18383"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130 – Cybersecurity</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0AF3F16"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157 - Project execution</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E140AA1"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186 - Outer Space</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1E8A1F2"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209 – SMEs</w:t>
            </w:r>
          </w:p>
        </w:tc>
      </w:tr>
      <w:tr w:rsidR="00022B13" w:rsidRPr="00A454C1" w14:paraId="5E40D882" w14:textId="77777777" w:rsidTr="00353600">
        <w:trPr>
          <w:trHeight w:val="568"/>
          <w:jc w:val="center"/>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62E54B4"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48 – HRMD</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A744853"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131 - Measuring ICT</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A073DD8"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162 – IMAC</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2DC48F4"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188 – Counterfeit</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7E7AF68"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212 - Future HQ</w:t>
            </w:r>
          </w:p>
        </w:tc>
      </w:tr>
      <w:tr w:rsidR="00022B13" w:rsidRPr="00A454C1" w14:paraId="12A6F32D" w14:textId="77777777" w:rsidTr="00353600">
        <w:trPr>
          <w:trHeight w:val="568"/>
          <w:jc w:val="center"/>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8BEE81D"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64 - Non-discriminatory access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EDB8829"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133 – multilingual domains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7036ED3"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167 - Virtual meetings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9BF7E01"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themeColor="text1"/>
                <w:kern w:val="24"/>
                <w:szCs w:val="24"/>
                <w:lang w:eastAsia="en-GB"/>
              </w:rPr>
              <w:t>Res. 189 – Deter mobile theft</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251AEAE"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214 – AI</w:t>
            </w:r>
          </w:p>
        </w:tc>
      </w:tr>
      <w:tr w:rsidR="00022B13" w:rsidRPr="00A454C1" w14:paraId="1677A840" w14:textId="77777777" w:rsidTr="00353600">
        <w:trPr>
          <w:trHeight w:val="568"/>
          <w:jc w:val="center"/>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9CBAE0A"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66 - Documents and publications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5E071F4"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135 -Technical assistance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E805996"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169 – Academia</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CF98EF4"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Res.191 - Inter-sectoral coordination</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CEE2113"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215 – Pandemics</w:t>
            </w:r>
          </w:p>
        </w:tc>
      </w:tr>
      <w:tr w:rsidR="00022B13" w:rsidRPr="00A454C1" w14:paraId="3DE8825B" w14:textId="77777777" w:rsidTr="00353600">
        <w:trPr>
          <w:trHeight w:val="568"/>
          <w:jc w:val="center"/>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77E6AA2"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70 – Gender</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7CD71FD"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136 – Humanitarian</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F9AC609"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170 - Sector Members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FAC19EB"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196 – Users protection</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86B0D42"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217 - Business Continuity</w:t>
            </w:r>
          </w:p>
        </w:tc>
      </w:tr>
      <w:tr w:rsidR="00022B13" w:rsidRPr="00A454C1" w14:paraId="31874D5A" w14:textId="77777777" w:rsidTr="00353600">
        <w:trPr>
          <w:trHeight w:val="568"/>
          <w:jc w:val="center"/>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BDDADC2"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71 - Strategic Plan</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25FB702"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 xml:space="preserve">Res. 137 - Future Networks </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CFC7ECC"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175 - Accessibility</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D99455C"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4F81BD" w:themeColor="accent1"/>
                <w:kern w:val="24"/>
                <w:szCs w:val="24"/>
                <w:lang w:eastAsia="en-GB"/>
              </w:rPr>
              <w:t>Res. 197 – IoT</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C068774"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218 - Space 2030</w:t>
            </w:r>
          </w:p>
        </w:tc>
      </w:tr>
      <w:tr w:rsidR="00022B13" w:rsidRPr="00A454C1" w14:paraId="2DFFB3E3" w14:textId="77777777" w:rsidTr="00353600">
        <w:trPr>
          <w:trHeight w:val="568"/>
          <w:jc w:val="center"/>
        </w:trPr>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EAF31DD"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eastAsia="en-GB"/>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218BFA8"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val="en-US" w:eastAsia="en-GB"/>
              </w:rPr>
              <w:t> </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A7D57BD"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val="en-US" w:eastAsia="en-GB"/>
              </w:rPr>
              <w:t> </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59BC0FC"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198 – Youth</w:t>
            </w:r>
          </w:p>
        </w:tc>
        <w:tc>
          <w:tcPr>
            <w:tcW w:w="292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347366D" w14:textId="77777777" w:rsidR="00022B13" w:rsidRPr="00A454C1" w:rsidRDefault="00022B13" w:rsidP="00CF567F">
            <w:pPr>
              <w:tabs>
                <w:tab w:val="clear" w:pos="567"/>
                <w:tab w:val="clear" w:pos="1134"/>
                <w:tab w:val="clear" w:pos="1701"/>
                <w:tab w:val="clear" w:pos="2268"/>
                <w:tab w:val="clear" w:pos="2835"/>
              </w:tabs>
              <w:overflowPunct/>
              <w:autoSpaceDE/>
              <w:autoSpaceDN/>
              <w:adjustRightInd/>
              <w:spacing w:before="0"/>
              <w:textAlignment w:val="bottom"/>
              <w:rPr>
                <w:rFonts w:asciiTheme="minorHAnsi" w:hAnsiTheme="minorHAnsi" w:cstheme="minorHAnsi"/>
                <w:szCs w:val="24"/>
                <w:lang w:eastAsia="en-GB"/>
              </w:rPr>
            </w:pPr>
            <w:r w:rsidRPr="00A454C1">
              <w:rPr>
                <w:rFonts w:asciiTheme="minorHAnsi" w:hAnsiTheme="minorHAnsi" w:cstheme="minorHAnsi"/>
                <w:color w:val="000000"/>
                <w:kern w:val="24"/>
                <w:szCs w:val="24"/>
                <w:lang w:eastAsia="en-GB"/>
              </w:rPr>
              <w:t>Res. 219 - Space Sustainability</w:t>
            </w:r>
          </w:p>
        </w:tc>
      </w:tr>
    </w:tbl>
    <w:p w14:paraId="257674B4" w14:textId="62DAC26B" w:rsidR="00A514A4" w:rsidRPr="00022B13" w:rsidRDefault="00353600" w:rsidP="00353600">
      <w:pPr>
        <w:tabs>
          <w:tab w:val="clear" w:pos="567"/>
          <w:tab w:val="clear" w:pos="1134"/>
          <w:tab w:val="clear" w:pos="1701"/>
          <w:tab w:val="clear" w:pos="2268"/>
          <w:tab w:val="clear" w:pos="2835"/>
        </w:tabs>
        <w:overflowPunct/>
        <w:autoSpaceDE/>
        <w:autoSpaceDN/>
        <w:adjustRightInd/>
        <w:spacing w:before="0"/>
        <w:jc w:val="center"/>
        <w:textAlignment w:val="auto"/>
      </w:pPr>
      <w:r>
        <w:t>________________________</w:t>
      </w:r>
    </w:p>
    <w:sectPr w:rsidR="00A514A4" w:rsidRPr="00022B13" w:rsidSect="00022B13">
      <w:headerReference w:type="first" r:id="rId22"/>
      <w:footerReference w:type="first" r:id="rId23"/>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F52D6B8" w:rsidR="00EE49E8" w:rsidRDefault="00EE49E8" w:rsidP="00EE49E8">
          <w:pPr>
            <w:pStyle w:val="Header"/>
            <w:jc w:val="left"/>
            <w:rPr>
              <w:noProof/>
            </w:rPr>
          </w:pPr>
          <w:r>
            <w:rPr>
              <w:noProof/>
            </w:rPr>
            <w:t xml:space="preserve">DPS </w:t>
          </w:r>
          <w:r w:rsidR="00F47227">
            <w:rPr>
              <w:noProof/>
            </w:rPr>
            <w:t>527558</w:t>
          </w:r>
        </w:p>
      </w:tc>
      <w:tc>
        <w:tcPr>
          <w:tcW w:w="8261" w:type="dxa"/>
        </w:tcPr>
        <w:p w14:paraId="2D49E76E" w14:textId="0D127A44"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16</w:t>
          </w:r>
          <w:r w:rsidR="00A52C84" w:rsidRPr="00623AE3">
            <w:rPr>
              <w:bCs/>
            </w:rPr>
            <w:t>/</w:t>
          </w:r>
          <w:r w:rsidR="00F47227">
            <w:rPr>
              <w:bCs/>
            </w:rPr>
            <w:t>5</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2A95189"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16</w:t>
          </w:r>
          <w:r w:rsidRPr="00623AE3">
            <w:rPr>
              <w:bCs/>
            </w:rPr>
            <w:t>/</w:t>
          </w:r>
          <w:r w:rsidR="00F47227">
            <w:rPr>
              <w:bCs/>
            </w:rPr>
            <w:t>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022B13" w:rsidRPr="00784011" w14:paraId="4BF0DAF1" w14:textId="77777777" w:rsidTr="00A52C84">
      <w:trPr>
        <w:jc w:val="center"/>
      </w:trPr>
      <w:tc>
        <w:tcPr>
          <w:tcW w:w="3107" w:type="dxa"/>
          <w:vAlign w:val="center"/>
        </w:tcPr>
        <w:p w14:paraId="778469DF" w14:textId="105963B1" w:rsidR="00022B13" w:rsidRDefault="00022B13" w:rsidP="00022B13">
          <w:pPr>
            <w:pStyle w:val="Header"/>
            <w:tabs>
              <w:tab w:val="left" w:pos="4718"/>
              <w:tab w:val="right" w:pos="8505"/>
              <w:tab w:val="right" w:pos="9639"/>
            </w:tabs>
            <w:jc w:val="left"/>
            <w:rPr>
              <w:noProof/>
            </w:rPr>
          </w:pPr>
          <w:r w:rsidRPr="00022B13">
            <w:rPr>
              <w:bCs/>
            </w:rPr>
            <w:t>DPS</w:t>
          </w:r>
          <w:r w:rsidR="00F47227">
            <w:rPr>
              <w:bCs/>
            </w:rPr>
            <w:t xml:space="preserve"> 527558</w:t>
          </w:r>
        </w:p>
      </w:tc>
      <w:tc>
        <w:tcPr>
          <w:tcW w:w="6957" w:type="dxa"/>
        </w:tcPr>
        <w:p w14:paraId="2DDE8068" w14:textId="7C2BD3B4" w:rsidR="00022B13" w:rsidRPr="00E06FD5" w:rsidRDefault="00022B13"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Pr>
              <w:bCs/>
            </w:rPr>
            <w:t>WG-FHR-16</w:t>
          </w:r>
          <w:r w:rsidRPr="00623AE3">
            <w:rPr>
              <w:bCs/>
            </w:rPr>
            <w:t>/</w:t>
          </w:r>
          <w:r w:rsidR="00F47227">
            <w:rPr>
              <w:bCs/>
            </w:rPr>
            <w:t>5</w:t>
          </w:r>
          <w:r w:rsidRPr="00623AE3">
            <w:rPr>
              <w:bCs/>
            </w:rPr>
            <w:t>-E</w:t>
          </w:r>
          <w:r>
            <w:rPr>
              <w:bCs/>
            </w:rPr>
            <w:tab/>
          </w:r>
          <w:r>
            <w:fldChar w:fldCharType="begin"/>
          </w:r>
          <w:r>
            <w:instrText>PAGE</w:instrText>
          </w:r>
          <w:r>
            <w:fldChar w:fldCharType="separate"/>
          </w:r>
          <w:r>
            <w:t>1</w:t>
          </w:r>
          <w:r>
            <w:rPr>
              <w:noProof/>
            </w:rPr>
            <w:fldChar w:fldCharType="end"/>
          </w:r>
        </w:p>
      </w:tc>
    </w:tr>
  </w:tbl>
  <w:p w14:paraId="720C1C20" w14:textId="77777777" w:rsidR="00022B13" w:rsidRPr="00623AE3" w:rsidRDefault="00022B13"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 w:id="1">
    <w:p w14:paraId="4354E9A5" w14:textId="77777777" w:rsidR="00022B13" w:rsidRPr="004806A1" w:rsidRDefault="00022B13" w:rsidP="00022B13">
      <w:pPr>
        <w:pStyle w:val="FootnoteText"/>
        <w:tabs>
          <w:tab w:val="clear" w:pos="256"/>
        </w:tabs>
        <w:spacing w:before="60"/>
        <w:ind w:left="284" w:hanging="284"/>
        <w:rPr>
          <w:sz w:val="16"/>
          <w:szCs w:val="16"/>
          <w:lang w:val="en-US"/>
        </w:rPr>
      </w:pPr>
      <w:r>
        <w:rPr>
          <w:rStyle w:val="FootnoteReference"/>
        </w:rPr>
        <w:footnoteRef/>
      </w:r>
      <w:r>
        <w:t xml:space="preserve"> </w:t>
      </w:r>
      <w:r w:rsidRPr="009545F5">
        <w:rPr>
          <w:sz w:val="18"/>
          <w:szCs w:val="18"/>
          <w:lang w:val="en-US"/>
        </w:rPr>
        <w:t>The Coordination Committee (</w:t>
      </w:r>
      <w:hyperlink r:id="rId1" w:history="1">
        <w:r w:rsidRPr="009D0187">
          <w:rPr>
            <w:rStyle w:val="Hyperlink"/>
            <w:sz w:val="18"/>
            <w:szCs w:val="18"/>
            <w:lang w:val="en-US"/>
          </w:rPr>
          <w:t>CoCo</w:t>
        </w:r>
      </w:hyperlink>
      <w:r w:rsidRPr="009545F5">
        <w:rPr>
          <w:sz w:val="18"/>
          <w:szCs w:val="18"/>
          <w:lang w:val="en-US"/>
        </w:rPr>
        <w:t xml:space="preserve">) shall assist and advise the Secretary-General on all matters mentioned under the relevant provisions of Article 26 of the </w:t>
      </w:r>
      <w:r>
        <w:rPr>
          <w:sz w:val="18"/>
          <w:szCs w:val="18"/>
          <w:lang w:val="en-US"/>
        </w:rPr>
        <w:t xml:space="preserve">ITU </w:t>
      </w:r>
      <w:r w:rsidRPr="009545F5">
        <w:rPr>
          <w:sz w:val="18"/>
          <w:szCs w:val="18"/>
          <w:lang w:val="en-US"/>
        </w:rPr>
        <w:t xml:space="preserve">Constitution and the relevant Articles of the </w:t>
      </w:r>
      <w:r>
        <w:rPr>
          <w:sz w:val="18"/>
          <w:szCs w:val="18"/>
          <w:lang w:val="en-US"/>
        </w:rPr>
        <w:t xml:space="preserve">ITU </w:t>
      </w:r>
      <w:r w:rsidRPr="009545F5">
        <w:rPr>
          <w:sz w:val="18"/>
          <w:szCs w:val="18"/>
          <w:lang w:val="en-US"/>
        </w:rPr>
        <w:t xml:space="preserve">Convention (Art. 6). </w:t>
      </w:r>
      <w:r>
        <w:rPr>
          <w:sz w:val="18"/>
          <w:szCs w:val="18"/>
          <w:lang w:val="en-US"/>
        </w:rPr>
        <w:t>It is c</w:t>
      </w:r>
      <w:r w:rsidRPr="009545F5">
        <w:rPr>
          <w:sz w:val="18"/>
          <w:szCs w:val="18"/>
          <w:lang w:val="en-US"/>
        </w:rPr>
        <w:t xml:space="preserve">omposed of the five elected officials. See Basic Texts of the Union </w:t>
      </w:r>
      <w:hyperlink r:id="rId2" w:history="1">
        <w:r w:rsidRPr="009545F5">
          <w:rPr>
            <w:rStyle w:val="Hyperlink"/>
            <w:sz w:val="18"/>
            <w:szCs w:val="18"/>
            <w:lang w:val="en-US"/>
          </w:rPr>
          <w:t>here</w:t>
        </w:r>
      </w:hyperlink>
      <w:r w:rsidRPr="009545F5">
        <w:rPr>
          <w:sz w:val="18"/>
          <w:szCs w:val="18"/>
          <w:lang w:val="en-US"/>
        </w:rPr>
        <w:t>.</w:t>
      </w:r>
    </w:p>
  </w:footnote>
  <w:footnote w:id="2">
    <w:p w14:paraId="2B94364F" w14:textId="77777777" w:rsidR="00022B13" w:rsidRPr="00A84347" w:rsidRDefault="00022B13" w:rsidP="00022B13">
      <w:pPr>
        <w:pStyle w:val="FootnoteText"/>
        <w:tabs>
          <w:tab w:val="clear" w:pos="256"/>
        </w:tabs>
        <w:spacing w:before="60"/>
        <w:ind w:left="284" w:hanging="284"/>
        <w:rPr>
          <w:lang w:val="en-US"/>
        </w:rPr>
      </w:pPr>
      <w:r>
        <w:rPr>
          <w:rStyle w:val="FootnoteReference"/>
        </w:rPr>
        <w:footnoteRef/>
      </w:r>
      <w:r>
        <w:t xml:space="preserve"> </w:t>
      </w:r>
      <w:r w:rsidRPr="009545F5">
        <w:rPr>
          <w:sz w:val="18"/>
          <w:szCs w:val="18"/>
        </w:rPr>
        <w:t>The Management Coordination Group (</w:t>
      </w:r>
      <w:hyperlink r:id="rId3" w:history="1">
        <w:r w:rsidRPr="009D0187">
          <w:rPr>
            <w:rStyle w:val="Hyperlink"/>
            <w:sz w:val="18"/>
            <w:szCs w:val="18"/>
          </w:rPr>
          <w:t>MCG</w:t>
        </w:r>
      </w:hyperlink>
      <w:r w:rsidRPr="009545F5">
        <w:rPr>
          <w:sz w:val="18"/>
          <w:szCs w:val="18"/>
        </w:rPr>
        <w:t xml:space="preserve">) </w:t>
      </w:r>
      <w:r w:rsidRPr="009545F5">
        <w:rPr>
          <w:sz w:val="18"/>
          <w:szCs w:val="18"/>
          <w:lang w:val="en-US"/>
        </w:rPr>
        <w:t xml:space="preserve">prepares advice and recommendations for consideration by the Coordination Committee. It is composed of the five elected officials, the D2 posts (currently the </w:t>
      </w:r>
      <w:r>
        <w:rPr>
          <w:sz w:val="18"/>
          <w:szCs w:val="18"/>
          <w:lang w:val="en-US"/>
        </w:rPr>
        <w:t>d</w:t>
      </w:r>
      <w:r w:rsidRPr="009545F5">
        <w:rPr>
          <w:sz w:val="18"/>
          <w:szCs w:val="18"/>
          <w:lang w:val="en-US"/>
        </w:rPr>
        <w:t xml:space="preserve">eputies to the Directors of the Bureaux), and </w:t>
      </w:r>
      <w:r>
        <w:rPr>
          <w:sz w:val="18"/>
          <w:szCs w:val="18"/>
          <w:lang w:val="en-US"/>
        </w:rPr>
        <w:t>c</w:t>
      </w:r>
      <w:r w:rsidRPr="009545F5">
        <w:rPr>
          <w:sz w:val="18"/>
          <w:szCs w:val="18"/>
          <w:lang w:val="en-US"/>
        </w:rPr>
        <w:t xml:space="preserve">hiefs of </w:t>
      </w:r>
      <w:r>
        <w:rPr>
          <w:sz w:val="18"/>
          <w:szCs w:val="18"/>
          <w:lang w:val="en-US"/>
        </w:rPr>
        <w:t>the Strategic Planning and Membership Department (</w:t>
      </w:r>
      <w:r w:rsidRPr="009545F5">
        <w:rPr>
          <w:sz w:val="18"/>
          <w:szCs w:val="18"/>
          <w:lang w:val="en-US"/>
        </w:rPr>
        <w:t>SPM</w:t>
      </w:r>
      <w:r>
        <w:rPr>
          <w:sz w:val="18"/>
          <w:szCs w:val="18"/>
          <w:lang w:val="en-US"/>
        </w:rPr>
        <w:t>)</w:t>
      </w:r>
      <w:r w:rsidRPr="009545F5">
        <w:rPr>
          <w:sz w:val="18"/>
          <w:szCs w:val="18"/>
          <w:lang w:val="en-US"/>
        </w:rPr>
        <w:t>, Human Resources</w:t>
      </w:r>
      <w:r>
        <w:rPr>
          <w:sz w:val="18"/>
          <w:szCs w:val="18"/>
          <w:lang w:val="en-US"/>
        </w:rPr>
        <w:t xml:space="preserve"> Management Department (HRMD)</w:t>
      </w:r>
      <w:r w:rsidRPr="009545F5">
        <w:rPr>
          <w:sz w:val="18"/>
          <w:szCs w:val="18"/>
          <w:lang w:val="en-US"/>
        </w:rPr>
        <w:t xml:space="preserve">, </w:t>
      </w:r>
      <w:r>
        <w:rPr>
          <w:sz w:val="18"/>
          <w:szCs w:val="18"/>
          <w:lang w:val="en-US"/>
        </w:rPr>
        <w:t xml:space="preserve">the </w:t>
      </w:r>
      <w:r w:rsidRPr="009545F5">
        <w:rPr>
          <w:sz w:val="18"/>
          <w:szCs w:val="18"/>
          <w:lang w:val="en-US"/>
        </w:rPr>
        <w:t>Financ</w:t>
      </w:r>
      <w:r>
        <w:rPr>
          <w:sz w:val="18"/>
          <w:szCs w:val="18"/>
          <w:lang w:val="en-US"/>
        </w:rPr>
        <w:t>ial Resources Management Department (FRMD)</w:t>
      </w:r>
      <w:r w:rsidRPr="009545F5">
        <w:rPr>
          <w:sz w:val="18"/>
          <w:szCs w:val="18"/>
          <w:lang w:val="en-US"/>
        </w:rPr>
        <w:t xml:space="preserve"> and Legal</w:t>
      </w:r>
      <w:r>
        <w:rPr>
          <w:sz w:val="18"/>
          <w:szCs w:val="18"/>
          <w:lang w:val="en-US"/>
        </w:rPr>
        <w:t xml:space="preserve"> Affairs Unit (JUR)</w:t>
      </w:r>
      <w:r w:rsidRPr="009545F5">
        <w:rPr>
          <w:sz w:val="18"/>
          <w:szCs w:val="18"/>
          <w:lang w:val="en-US"/>
        </w:rPr>
        <w:t>.</w:t>
      </w:r>
    </w:p>
    <w:p w14:paraId="6FF44698" w14:textId="77777777" w:rsidR="00022B13" w:rsidRPr="006C7741" w:rsidRDefault="00022B13" w:rsidP="00022B13">
      <w:pPr>
        <w:pStyle w:val="FootnoteText"/>
      </w:pPr>
    </w:p>
  </w:footnote>
  <w:footnote w:id="3">
    <w:p w14:paraId="09452384" w14:textId="77777777" w:rsidR="00022B13" w:rsidRPr="00413A48" w:rsidRDefault="00022B13" w:rsidP="00022B13">
      <w:pPr>
        <w:pStyle w:val="FootnoteText"/>
        <w:rPr>
          <w:lang w:val="en-US"/>
        </w:rPr>
      </w:pPr>
      <w:r>
        <w:rPr>
          <w:rStyle w:val="FootnoteReference"/>
        </w:rPr>
        <w:footnoteRef/>
      </w:r>
      <w:r>
        <w:t xml:space="preserve"> </w:t>
      </w:r>
      <w:r w:rsidRPr="009D0187">
        <w:rPr>
          <w:sz w:val="18"/>
          <w:szCs w:val="18"/>
        </w:rPr>
        <w:t xml:space="preserve">The D2 group is composed of the </w:t>
      </w:r>
      <w:r>
        <w:rPr>
          <w:sz w:val="18"/>
          <w:szCs w:val="18"/>
        </w:rPr>
        <w:t>d</w:t>
      </w:r>
      <w:r w:rsidRPr="009D0187">
        <w:rPr>
          <w:sz w:val="18"/>
          <w:szCs w:val="18"/>
        </w:rPr>
        <w:t>eputies to the Directors of the Bureaux (D2 posts) and chaired by the Deputy Secretary-General.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488A38E">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32DAA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3F91C2C">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B51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B300F3C">
            <v:shapetype id="_x0000_t202" coordsize="21600,21600" o:spt="202" path="m,l,21600r21600,l21600,xe" w14:anchorId="4E9A2C87">
              <v:stroke joinstyle="miter"/>
              <v:path gradientshapeok="t" o:connecttype="rect"/>
            </v:shapetype>
            <v:shape id="Text Box 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v:textbox style="mso-fit-shape-to-text:t">
                <w:txbxContent>
                  <w:p w:rsidR="00130599" w:rsidP="00130599" w:rsidRDefault="00130599" w14:paraId="2B6486AB" w14:textId="2F368F98">
                    <w:pPr>
                      <w:spacing w:before="0"/>
                    </w:pPr>
                    <w:r w:rsidRPr="00F74694">
                      <w:rPr>
                        <w:b/>
                        <w:bCs/>
                        <w:szCs w:val="24"/>
                      </w:rPr>
                      <w:t xml:space="preserve">Council Working Group </w:t>
                    </w:r>
                    <w:r w:rsidRPr="00F74694" w:rsid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4C43" w14:textId="77777777" w:rsidR="00022B13" w:rsidRDefault="00022B1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4384" behindDoc="0" locked="0" layoutInCell="1" allowOverlap="1" wp14:anchorId="73E85477" wp14:editId="32FD52D7">
              <wp:simplePos x="0" y="0"/>
              <wp:positionH relativeFrom="page">
                <wp:posOffset>14605</wp:posOffset>
              </wp:positionH>
              <wp:positionV relativeFrom="topMargin">
                <wp:posOffset>555625</wp:posOffset>
              </wp:positionV>
              <wp:extent cx="93345" cy="431800"/>
              <wp:effectExtent l="0" t="0" r="190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6F5A243">
            <v:rect id="Rectangle 4" style="position:absolute;margin-left:1.15pt;margin-top:43.75pt;width:7.3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7697A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6432" behindDoc="0" locked="0" layoutInCell="1" allowOverlap="1" wp14:anchorId="3B5FD474" wp14:editId="66663184">
              <wp:simplePos x="0" y="0"/>
              <wp:positionH relativeFrom="column">
                <wp:posOffset>306754</wp:posOffset>
              </wp:positionH>
              <wp:positionV relativeFrom="paragraph">
                <wp:posOffset>-835660</wp:posOffset>
              </wp:positionV>
              <wp:extent cx="3999230" cy="471170"/>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1677EE5C" w14:textId="47A0AF9A" w:rsidR="00022B13" w:rsidRDefault="00022B13" w:rsidP="0013059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4B174A74">
            <v:shapetype id="_x0000_t202" coordsize="21600,21600" o:spt="202" path="m,l,21600r21600,l21600,xe" w14:anchorId="3B5FD474">
              <v:stroke joinstyle="miter"/>
              <v:path gradientshapeok="t" o:connecttype="rect"/>
            </v:shapetype>
            <v:shape id="_x0000_s1027" style="position:absolute;left:0;text-align:left;margin-left:24.15pt;margin-top:-65.8pt;width:314.9pt;height:3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">
              <v:textbox style="mso-fit-shape-to-text:t">
                <w:txbxContent>
                  <w:p w:rsidR="00022B13" w:rsidP="00130599" w:rsidRDefault="00022B13" w14:paraId="7845492A" w14:textId="47A0AF9A">
                    <w:pPr>
                      <w:spacing w:before="0"/>
                    </w:pPr>
                    <w:r w:rsidRPr="00F74694">
                      <w:rPr>
                        <w:b/>
                        <w:bCs/>
                        <w:szCs w:val="24"/>
                      </w:rPr>
                      <w:t xml:space="preserve">Council Working Group </w:t>
                    </w:r>
                    <w:r w:rsidRPr="00F74694">
                      <w:rPr>
                        <w:b/>
                        <w:bCs/>
                        <w:szCs w:val="24"/>
                      </w:rPr>
                      <w:br/>
                    </w:r>
                    <w:r w:rsidRPr="00F74694">
                      <w:rPr>
                        <w:b/>
                        <w:bCs/>
                        <w:szCs w:val="24"/>
                      </w:rPr>
                      <w:t xml:space="preserve">on </w:t>
                    </w:r>
                    <w:r>
                      <w:rPr>
                        <w:b/>
                        <w:bCs/>
                        <w:szCs w:val="24"/>
                      </w:rPr>
                      <w:t>Financial and Human Resources</w:t>
                    </w:r>
                    <w: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2B13"/>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04ED"/>
    <w:rsid w:val="00244F7F"/>
    <w:rsid w:val="00264425"/>
    <w:rsid w:val="00265875"/>
    <w:rsid w:val="0027303B"/>
    <w:rsid w:val="0028109B"/>
    <w:rsid w:val="002A2188"/>
    <w:rsid w:val="002B1F58"/>
    <w:rsid w:val="002C1C7A"/>
    <w:rsid w:val="002C54E2"/>
    <w:rsid w:val="0030160F"/>
    <w:rsid w:val="00320223"/>
    <w:rsid w:val="00322D0D"/>
    <w:rsid w:val="00353600"/>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C2492"/>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74EF5"/>
    <w:rsid w:val="00891503"/>
    <w:rsid w:val="008B4A6A"/>
    <w:rsid w:val="008C7E27"/>
    <w:rsid w:val="008F7448"/>
    <w:rsid w:val="0090147A"/>
    <w:rsid w:val="009173EF"/>
    <w:rsid w:val="00932906"/>
    <w:rsid w:val="00961B0B"/>
    <w:rsid w:val="00962D33"/>
    <w:rsid w:val="009B38C3"/>
    <w:rsid w:val="009C253A"/>
    <w:rsid w:val="009E17BD"/>
    <w:rsid w:val="009E485A"/>
    <w:rsid w:val="009F347C"/>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18DA"/>
    <w:rsid w:val="00CA6393"/>
    <w:rsid w:val="00CB18FF"/>
    <w:rsid w:val="00CD0C08"/>
    <w:rsid w:val="00CE03FB"/>
    <w:rsid w:val="00CE433C"/>
    <w:rsid w:val="00CF0161"/>
    <w:rsid w:val="00CF33F3"/>
    <w:rsid w:val="00D06183"/>
    <w:rsid w:val="00D22C42"/>
    <w:rsid w:val="00D464CC"/>
    <w:rsid w:val="00D5448C"/>
    <w:rsid w:val="00D65041"/>
    <w:rsid w:val="00DB00D5"/>
    <w:rsid w:val="00DB1936"/>
    <w:rsid w:val="00DB384B"/>
    <w:rsid w:val="00DC2749"/>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44C00"/>
    <w:rsid w:val="00F45D2C"/>
    <w:rsid w:val="00F46C5F"/>
    <w:rsid w:val="00F47227"/>
    <w:rsid w:val="00F632C0"/>
    <w:rsid w:val="00F71E3C"/>
    <w:rsid w:val="00F74694"/>
    <w:rsid w:val="00F91A6A"/>
    <w:rsid w:val="00F94A63"/>
    <w:rsid w:val="00FA1C28"/>
    <w:rsid w:val="00FB1279"/>
    <w:rsid w:val="00FB6B76"/>
    <w:rsid w:val="00FB7596"/>
    <w:rsid w:val="00FE4077"/>
    <w:rsid w:val="00FE500D"/>
    <w:rsid w:val="00FE77D2"/>
    <w:rsid w:val="03E3F1CE"/>
    <w:rsid w:val="27DDF2FD"/>
    <w:rsid w:val="35AEC7A7"/>
    <w:rsid w:val="36011F12"/>
    <w:rsid w:val="3A8D8407"/>
    <w:rsid w:val="3B99A2AC"/>
    <w:rsid w:val="488B8064"/>
    <w:rsid w:val="4BB7AF09"/>
    <w:rsid w:val="4F5A92E0"/>
    <w:rsid w:val="583851D5"/>
    <w:rsid w:val="6490723F"/>
    <w:rsid w:val="65F4FC43"/>
    <w:rsid w:val="69F23386"/>
    <w:rsid w:val="6B8E03E7"/>
    <w:rsid w:val="6BEF86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022B13"/>
  </w:style>
  <w:style w:type="character" w:styleId="CommentReference">
    <w:name w:val="annotation reference"/>
    <w:basedOn w:val="DefaultParagraphFont"/>
    <w:semiHidden/>
    <w:unhideWhenUsed/>
    <w:rsid w:val="00022B13"/>
    <w:rPr>
      <w:sz w:val="16"/>
      <w:szCs w:val="16"/>
    </w:rPr>
  </w:style>
  <w:style w:type="paragraph" w:styleId="CommentText">
    <w:name w:val="annotation text"/>
    <w:basedOn w:val="Normal"/>
    <w:link w:val="CommentTextChar"/>
    <w:unhideWhenUsed/>
    <w:rsid w:val="00022B13"/>
    <w:rPr>
      <w:sz w:val="20"/>
    </w:rPr>
  </w:style>
  <w:style w:type="character" w:customStyle="1" w:styleId="CommentTextChar">
    <w:name w:val="Comment Text Char"/>
    <w:basedOn w:val="DefaultParagraphFont"/>
    <w:link w:val="CommentText"/>
    <w:rsid w:val="00022B13"/>
    <w:rPr>
      <w:rFonts w:ascii="Calibri" w:hAnsi="Calibri"/>
      <w:lang w:val="en-GB" w:eastAsia="en-US"/>
    </w:rPr>
  </w:style>
  <w:style w:type="character" w:customStyle="1" w:styleId="FootnoteTextChar">
    <w:name w:val="Footnote Text Char"/>
    <w:basedOn w:val="DefaultParagraphFont"/>
    <w:link w:val="FootnoteText"/>
    <w:rsid w:val="00022B13"/>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874EF5"/>
    <w:rPr>
      <w:b/>
      <w:bCs/>
    </w:rPr>
  </w:style>
  <w:style w:type="character" w:customStyle="1" w:styleId="CommentSubjectChar">
    <w:name w:val="Comment Subject Char"/>
    <w:basedOn w:val="CommentTextChar"/>
    <w:link w:val="CommentSubject"/>
    <w:semiHidden/>
    <w:rsid w:val="00874EF5"/>
    <w:rPr>
      <w:rFonts w:ascii="Calibri" w:hAnsi="Calibri"/>
      <w:b/>
      <w:bCs/>
      <w:lang w:val="en-GB" w:eastAsia="en-US"/>
    </w:rPr>
  </w:style>
  <w:style w:type="character" w:styleId="UnresolvedMention">
    <w:name w:val="Unresolved Mention"/>
    <w:basedOn w:val="DefaultParagraphFont"/>
    <w:uiPriority w:val="99"/>
    <w:semiHidden/>
    <w:unhideWhenUsed/>
    <w:rsid w:val="00874EF5"/>
    <w:rPr>
      <w:color w:val="605E5C"/>
      <w:shd w:val="clear" w:color="auto" w:fill="E1DFDD"/>
    </w:rPr>
  </w:style>
  <w:style w:type="paragraph" w:styleId="Revision">
    <w:name w:val="Revision"/>
    <w:hidden/>
    <w:uiPriority w:val="99"/>
    <w:semiHidden/>
    <w:rsid w:val="00F91A6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027/en" TargetMode="External"/><Relationship Id="rId18" Type="http://schemas.openxmlformats.org/officeDocument/2006/relationships/hyperlink" Target="https://www.itu.int/net4/Search/CL23/Main/Read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council/Documents/basic-texts-2023/RES-191-E.pdf" TargetMode="External"/><Relationship Id="rId17" Type="http://schemas.openxmlformats.org/officeDocument/2006/relationships/hyperlink" Target="https://www.itu.int/en/general-secretariat/Pages/intersectoral-coordination.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general-secretariat/Pages/intersectoral-coordination.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27/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3-CL-C-0027/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027/en"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council/Pages/mcg.aspx" TargetMode="External"/><Relationship Id="rId2" Type="http://schemas.openxmlformats.org/officeDocument/2006/relationships/hyperlink" Target="https://www.itu.int/pub/S-CONF-PLEN-2022" TargetMode="External"/><Relationship Id="rId1" Type="http://schemas.openxmlformats.org/officeDocument/2006/relationships/hyperlink" Target="https://www.itu.int/en/council/Pages/coc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3EA2D-3136-46D4-BC6B-03CF90D1B589}">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D11BABC6-DF69-42B9-A8D5-C9268D948E40}">
  <ds:schemaRefs>
    <ds:schemaRef ds:uri="http://purl.org/dc/terms/"/>
    <ds:schemaRef ds:uri="5a9e730e-50ca-4fdd-8a7a-b4f5b57bd209"/>
    <ds:schemaRef ds:uri="http://schemas.microsoft.com/office/2006/metadata/properties"/>
    <ds:schemaRef ds:uri="http://schemas.microsoft.com/office/infopath/2007/PartnerControls"/>
    <ds:schemaRef ds:uri="http://purl.org/dc/elements/1.1/"/>
    <ds:schemaRef ds:uri="http://schemas.microsoft.com/office/2006/documentManagement/types"/>
    <ds:schemaRef ds:uri="f45bef01-bf71-4e4d-8b76-9c8a2fc829be"/>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B221095-AC1F-4DA4-A93F-7E1B851E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1446</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Strategy for Inter-Sectoral Coordination</vt:lpstr>
    </vt:vector>
  </TitlesOfParts>
  <Manager/>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for Inter-Sectoral Coordination</dc:title>
  <dc:subject>Council Working Group on Financial and Human Resources</dc:subject>
  <dc:creator/>
  <cp:keywords>CWG-FHR, C23, Council-23, C23-ADD</cp:keywords>
  <dc:description/>
  <cp:lastModifiedBy/>
  <cp:revision>1</cp:revision>
  <dcterms:created xsi:type="dcterms:W3CDTF">2023-09-11T07:22:00Z</dcterms:created>
  <dcterms:modified xsi:type="dcterms:W3CDTF">2023-09-11T07:24:00Z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772a748660ea23f68652f33871ccc1b7c4a6d5faa1376e3aacbe004a186c30fa</vt:lpwstr>
  </property>
  <property fmtid="{D5CDD505-2E9C-101B-9397-08002B2CF9AE}" pid="3" name="ContentTypeId">
    <vt:lpwstr>0x01010016B1078E3AD18D4E9484B5666A3C18CB</vt:lpwstr>
  </property>
  <property fmtid="{D5CDD505-2E9C-101B-9397-08002B2CF9AE}" pid="4" name="MediaServiceImageTags">
    <vt:lpwstr/>
  </property>
</Properties>
</file>