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F347C" w14:paraId="0043AC80" w14:textId="77777777" w:rsidTr="3D0CD30E">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87B4701"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9F347C">
              <w:rPr>
                <w:b/>
                <w:lang w:val="fr-CH"/>
              </w:rPr>
              <w:t>FHR</w:t>
            </w:r>
            <w:r w:rsidR="00A52C84" w:rsidRPr="00A52C84">
              <w:rPr>
                <w:b/>
                <w:lang w:val="fr-CH"/>
              </w:rPr>
              <w:t>-</w:t>
            </w:r>
            <w:r w:rsidR="00714742">
              <w:rPr>
                <w:b/>
                <w:lang w:val="fr-CH"/>
              </w:rPr>
              <w:t>16</w:t>
            </w:r>
            <w:r w:rsidRPr="00A52C84">
              <w:rPr>
                <w:b/>
                <w:lang w:val="fr-CH"/>
              </w:rPr>
              <w:t>/</w:t>
            </w:r>
            <w:r w:rsidR="00714742">
              <w:rPr>
                <w:b/>
                <w:lang w:val="fr-CH"/>
              </w:rPr>
              <w:t>2</w:t>
            </w:r>
          </w:p>
        </w:tc>
      </w:tr>
      <w:tr w:rsidR="00AD3606" w:rsidRPr="00813E5E" w14:paraId="789B45BA" w14:textId="77777777" w:rsidTr="3D0CD30E">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595F92A" w:rsidR="00AD3606" w:rsidRPr="00E85629" w:rsidRDefault="00487F6B" w:rsidP="00AD3606">
            <w:pPr>
              <w:tabs>
                <w:tab w:val="left" w:pos="851"/>
              </w:tabs>
              <w:spacing w:before="0"/>
              <w:jc w:val="right"/>
              <w:rPr>
                <w:b/>
              </w:rPr>
            </w:pPr>
            <w:r>
              <w:rPr>
                <w:b/>
              </w:rPr>
              <w:t>11 September</w:t>
            </w:r>
            <w:r w:rsidR="00E573A0">
              <w:rPr>
                <w:b/>
              </w:rPr>
              <w:t xml:space="preserve"> </w:t>
            </w:r>
            <w:r w:rsidR="00AD3606">
              <w:rPr>
                <w:b/>
              </w:rPr>
              <w:t>2023</w:t>
            </w:r>
          </w:p>
        </w:tc>
      </w:tr>
      <w:tr w:rsidR="00AD3606" w:rsidRPr="00813E5E" w14:paraId="58A84C4A" w14:textId="77777777" w:rsidTr="3D0CD30E">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C2CF70E" w:rsidR="00AD3606" w:rsidRPr="00E85629" w:rsidRDefault="00891503" w:rsidP="00AD3606">
            <w:pPr>
              <w:tabs>
                <w:tab w:val="left" w:pos="851"/>
              </w:tabs>
              <w:spacing w:before="0" w:line="240" w:lineRule="atLeast"/>
              <w:jc w:val="right"/>
              <w:rPr>
                <w:b/>
              </w:rPr>
            </w:pPr>
            <w:r>
              <w:rPr>
                <w:b/>
              </w:rPr>
              <w:t>English</w:t>
            </w:r>
            <w:r w:rsidR="00AA5640">
              <w:rPr>
                <w:b/>
              </w:rPr>
              <w:t xml:space="preserve"> only</w:t>
            </w:r>
          </w:p>
        </w:tc>
      </w:tr>
      <w:tr w:rsidR="00472BAD" w:rsidRPr="00813E5E" w14:paraId="12C5EF5F" w14:textId="77777777" w:rsidTr="3D0CD30E">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3D0CD30E">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3D0CD30E">
        <w:trPr>
          <w:cantSplit/>
        </w:trPr>
        <w:tc>
          <w:tcPr>
            <w:tcW w:w="9214" w:type="dxa"/>
            <w:gridSpan w:val="2"/>
            <w:tcMar>
              <w:left w:w="0" w:type="dxa"/>
            </w:tcMar>
          </w:tcPr>
          <w:p w14:paraId="47B91AA8" w14:textId="4D99AEC8" w:rsidR="00AD3606" w:rsidRPr="00813E5E" w:rsidRDefault="005A278C" w:rsidP="00DF0189">
            <w:pPr>
              <w:pStyle w:val="Subtitle1"/>
              <w:framePr w:hSpace="0" w:wrap="auto" w:hAnchor="text" w:xAlign="left" w:yAlign="inline"/>
            </w:pPr>
            <w:bookmarkStart w:id="9" w:name="dtitle1" w:colFirst="0" w:colLast="0"/>
            <w:bookmarkEnd w:id="8"/>
            <w:r>
              <w:t>IN-KIND CONTRIBUTIONS GUIDELINES</w:t>
            </w:r>
          </w:p>
        </w:tc>
      </w:tr>
      <w:tr w:rsidR="00AD3606" w:rsidRPr="00813E5E" w14:paraId="1F564D2D" w14:textId="77777777" w:rsidTr="3D0CD30E">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227EF">
              <w:rPr>
                <w:b/>
                <w:bCs/>
                <w:sz w:val="26"/>
                <w:szCs w:val="26"/>
              </w:rPr>
              <w:t>Purpose</w:t>
            </w:r>
          </w:p>
          <w:p w14:paraId="2E09FE8B" w14:textId="6D7378F3" w:rsidR="00AD3606" w:rsidRPr="00813E5E" w:rsidRDefault="00843BB0" w:rsidP="00F16BAB">
            <w:r w:rsidRPr="3D0CD30E">
              <w:rPr>
                <w:rFonts w:asciiTheme="minorHAnsi" w:eastAsiaTheme="minorEastAsia" w:hAnsiTheme="minorHAnsi" w:cstheme="minorBidi"/>
                <w:lang w:eastAsia="zh-CN"/>
              </w:rPr>
              <w:t>This document is established pursuant to the contribution by the Russian Federation at the CWG-FHR 2021 (Document CWG-FHR-12/15). At the twelfth meeting of the group (Document CWG-FHR-12/17), it was agreed that the secretariat should prepare a document setting out guidelines on in-kind contributions:</w:t>
            </w:r>
            <w:r w:rsidRPr="3D0CD30E">
              <w:rPr>
                <w:rFonts w:asciiTheme="minorHAnsi" w:eastAsia="SimSun" w:hAnsiTheme="minorHAnsi" w:cstheme="minorBidi"/>
                <w:lang w:eastAsia="zh-CN"/>
              </w:rPr>
              <w:t xml:space="preserve"> “The meeting agreed that the Russian Federation and the secretariat will work together to establish a methodology for calculating in-kind contributions and will report to the next CWG-FHR session”</w:t>
            </w:r>
            <w:r w:rsidRPr="3D0CD30E">
              <w:rPr>
                <w:rFonts w:asciiTheme="minorHAnsi" w:eastAsiaTheme="minorEastAsia" w:hAnsiTheme="minorHAnsi" w:cstheme="minorBidi"/>
                <w:lang w:eastAsia="zh-CN"/>
              </w:rPr>
              <w:t>. If these guidelines are approved by the Council, the secretariat will amend Annex 2 to the Financial Regulations and Financial Rules to reflect these guidelines on in-kind contributions</w:t>
            </w:r>
            <w:r w:rsidRPr="3D0CD30E">
              <w:rPr>
                <w:rFonts w:eastAsiaTheme="minorEastAsia" w:cs="Calibri"/>
                <w:lang w:eastAsia="zh-CN"/>
              </w:rPr>
              <w:t>.</w:t>
            </w:r>
          </w:p>
          <w:p w14:paraId="5076D5C4" w14:textId="28F00572" w:rsidR="00AD3606" w:rsidRPr="00F16BAB"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53A776F1" w14:textId="46707352" w:rsidR="00891503" w:rsidRDefault="00E573A0" w:rsidP="00F16BAB">
            <w:pPr>
              <w:spacing w:before="160"/>
            </w:pPr>
            <w:r w:rsidRPr="3D0CD30E">
              <w:rPr>
                <w:rFonts w:cs="Calibri"/>
              </w:rPr>
              <w:t xml:space="preserve">The CWG-FHR is invited to </w:t>
            </w:r>
            <w:r w:rsidRPr="3D0CD30E">
              <w:rPr>
                <w:rFonts w:cs="Calibri"/>
                <w:b/>
                <w:bCs/>
              </w:rPr>
              <w:t>approve</w:t>
            </w:r>
            <w:r w:rsidRPr="3D0CD30E">
              <w:rPr>
                <w:rFonts w:cs="Calibri"/>
              </w:rPr>
              <w:t xml:space="preserve"> this document.</w:t>
            </w:r>
          </w:p>
          <w:p w14:paraId="6AC64789" w14:textId="6D061411" w:rsidR="00891503" w:rsidRDefault="00891503" w:rsidP="00891503">
            <w:pPr>
              <w:spacing w:before="160"/>
              <w:rPr>
                <w:b/>
                <w:bCs/>
                <w:sz w:val="26"/>
                <w:szCs w:val="26"/>
              </w:rPr>
            </w:pP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D115F46" w:rsidR="00AD3606" w:rsidRDefault="00487F6B" w:rsidP="00F16BAB">
            <w:pPr>
              <w:spacing w:after="160"/>
            </w:pPr>
            <w:hyperlink r:id="rId11" w:history="1">
              <w:r w:rsidR="00E573A0" w:rsidRPr="0081585C">
                <w:rPr>
                  <w:rStyle w:val="Hyperlink"/>
                  <w:rFonts w:cstheme="minorHAnsi"/>
                  <w:bCs/>
                  <w:spacing w:val="-4"/>
                </w:rPr>
                <w:t>Nos. 486 and 487 of the ITU Convention</w:t>
              </w:r>
            </w:hyperlink>
            <w:r w:rsidR="00E573A0" w:rsidRPr="00487F6B">
              <w:rPr>
                <w:rFonts w:cstheme="minorHAnsi"/>
                <w:bCs/>
                <w:spacing w:val="-4"/>
              </w:rPr>
              <w:t>;</w:t>
            </w:r>
            <w:r w:rsidR="00E573A0" w:rsidRPr="00120CF9">
              <w:rPr>
                <w:rFonts w:cstheme="minorHAnsi"/>
                <w:bCs/>
                <w:color w:val="4F81BD" w:themeColor="accent1"/>
                <w:spacing w:val="-4"/>
              </w:rPr>
              <w:t xml:space="preserve"> </w:t>
            </w:r>
            <w:hyperlink r:id="rId12" w:history="1">
              <w:r w:rsidR="00E573A0" w:rsidRPr="00120CF9">
                <w:rPr>
                  <w:rStyle w:val="Hyperlink"/>
                  <w:rFonts w:cstheme="minorHAnsi"/>
                  <w:bCs/>
                  <w:spacing w:val="-4"/>
                </w:rPr>
                <w:t>Resolution 5 (Kyoto,1994)</w:t>
              </w:r>
            </w:hyperlink>
            <w:r w:rsidR="00E573A0" w:rsidRPr="00487F6B">
              <w:rPr>
                <w:rFonts w:cstheme="minorHAnsi"/>
                <w:bCs/>
                <w:spacing w:val="-4"/>
              </w:rPr>
              <w:t>;</w:t>
            </w:r>
            <w:r w:rsidR="00E573A0" w:rsidRPr="00457852">
              <w:rPr>
                <w:rFonts w:cstheme="minorHAnsi"/>
                <w:bCs/>
                <w:color w:val="4F81BD" w:themeColor="accent1"/>
                <w:spacing w:val="-4"/>
              </w:rPr>
              <w:t xml:space="preserve"> </w:t>
            </w:r>
            <w:hyperlink r:id="rId13" w:history="1">
              <w:r w:rsidR="00E573A0" w:rsidRPr="00F93522">
                <w:rPr>
                  <w:rStyle w:val="Hyperlink"/>
                  <w:szCs w:val="24"/>
                </w:rPr>
                <w:t>WTDC </w:t>
              </w:r>
              <w:r w:rsidR="00E573A0" w:rsidRPr="00F93522">
                <w:rPr>
                  <w:rStyle w:val="Hyperlink"/>
                  <w:w w:val="105"/>
                  <w:szCs w:val="24"/>
                </w:rPr>
                <w:t>Resolution</w:t>
              </w:r>
              <w:r w:rsidR="00E573A0" w:rsidRPr="00F93522">
                <w:rPr>
                  <w:rStyle w:val="Hyperlink"/>
                  <w:spacing w:val="-13"/>
                  <w:w w:val="105"/>
                  <w:szCs w:val="24"/>
                </w:rPr>
                <w:t xml:space="preserve"> </w:t>
              </w:r>
              <w:r w:rsidR="00E573A0" w:rsidRPr="00F93522">
                <w:rPr>
                  <w:rStyle w:val="Hyperlink"/>
                  <w:w w:val="105"/>
                  <w:szCs w:val="24"/>
                </w:rPr>
                <w:t>17</w:t>
              </w:r>
              <w:r w:rsidR="00E573A0" w:rsidRPr="00F93522">
                <w:rPr>
                  <w:rStyle w:val="Hyperlink"/>
                  <w:spacing w:val="-6"/>
                  <w:w w:val="105"/>
                  <w:szCs w:val="24"/>
                </w:rPr>
                <w:t xml:space="preserve"> </w:t>
              </w:r>
              <w:r w:rsidR="00E573A0" w:rsidRPr="00F93522">
                <w:rPr>
                  <w:rStyle w:val="Hyperlink"/>
                  <w:w w:val="105"/>
                  <w:szCs w:val="24"/>
                </w:rPr>
                <w:t>(Rev.</w:t>
              </w:r>
              <w:r w:rsidR="00E573A0" w:rsidRPr="00F93522">
                <w:rPr>
                  <w:rStyle w:val="Hyperlink"/>
                  <w:spacing w:val="-5"/>
                  <w:w w:val="105"/>
                  <w:szCs w:val="24"/>
                </w:rPr>
                <w:t xml:space="preserve"> </w:t>
              </w:r>
              <w:r w:rsidR="00E573A0" w:rsidRPr="00F93522">
                <w:rPr>
                  <w:rStyle w:val="Hyperlink"/>
                  <w:w w:val="105"/>
                  <w:szCs w:val="24"/>
                </w:rPr>
                <w:t>Buenos Aires. 2017)</w:t>
              </w:r>
            </w:hyperlink>
            <w:r w:rsidR="00E573A0" w:rsidRPr="00487F6B">
              <w:rPr>
                <w:w w:val="105"/>
                <w:szCs w:val="24"/>
              </w:rPr>
              <w:t>;</w:t>
            </w:r>
            <w:r w:rsidR="00E573A0">
              <w:rPr>
                <w:color w:val="0070C0"/>
                <w:w w:val="105"/>
                <w:szCs w:val="24"/>
              </w:rPr>
              <w:t xml:space="preserve"> </w:t>
            </w:r>
            <w:r w:rsidR="00E573A0" w:rsidRPr="00487F6B">
              <w:rPr>
                <w:w w:val="105"/>
                <w:szCs w:val="24"/>
              </w:rPr>
              <w:t xml:space="preserve">Documents </w:t>
            </w:r>
            <w:hyperlink r:id="rId14" w:history="1">
              <w:r w:rsidR="00E573A0" w:rsidRPr="0081585C">
                <w:rPr>
                  <w:rStyle w:val="Hyperlink"/>
                  <w:rFonts w:cstheme="minorHAnsi"/>
                  <w:bCs/>
                  <w:spacing w:val="-4"/>
                </w:rPr>
                <w:t>CWG-FHR-12/15</w:t>
              </w:r>
            </w:hyperlink>
            <w:r w:rsidR="00E573A0" w:rsidRPr="0081585C">
              <w:rPr>
                <w:rFonts w:cstheme="minorHAnsi"/>
                <w:bCs/>
                <w:color w:val="0070C0"/>
                <w:spacing w:val="-4"/>
              </w:rPr>
              <w:t xml:space="preserve"> </w:t>
            </w:r>
            <w:r w:rsidR="00E573A0" w:rsidRPr="00487F6B">
              <w:rPr>
                <w:rFonts w:cstheme="minorHAnsi"/>
                <w:bCs/>
                <w:spacing w:val="-4"/>
              </w:rPr>
              <w:t xml:space="preserve">and </w:t>
            </w:r>
            <w:hyperlink r:id="rId15" w:history="1">
              <w:r w:rsidR="00E573A0" w:rsidRPr="0081585C">
                <w:rPr>
                  <w:rStyle w:val="Hyperlink"/>
                  <w:rFonts w:cstheme="minorHAnsi"/>
                  <w:bCs/>
                  <w:spacing w:val="-4"/>
                </w:rPr>
                <w:t>CWG-FHR-12/1</w:t>
              </w:r>
              <w:r w:rsidR="00E573A0" w:rsidRPr="008203D6">
                <w:rPr>
                  <w:rStyle w:val="Hyperlink"/>
                  <w:rFonts w:cstheme="minorHAnsi"/>
                  <w:bCs/>
                  <w:spacing w:val="-4"/>
                </w:rPr>
                <w:t>7</w:t>
              </w:r>
            </w:hyperlink>
          </w:p>
        </w:tc>
      </w:tr>
    </w:tbl>
    <w:p w14:paraId="4CDB8B60" w14:textId="77777777" w:rsidR="00E227F3" w:rsidRPr="0081585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81585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1585C">
        <w:br w:type="page"/>
      </w:r>
    </w:p>
    <w:bookmarkEnd w:id="5"/>
    <w:bookmarkEnd w:id="10"/>
    <w:p w14:paraId="2823F741" w14:textId="77777777" w:rsidR="002E44E9" w:rsidRPr="002E44E9" w:rsidRDefault="002E44E9" w:rsidP="002E44E9">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lang w:val="en-US" w:eastAsia="en-GB"/>
        </w:rPr>
      </w:pPr>
      <w:r w:rsidRPr="002E44E9">
        <w:rPr>
          <w:rFonts w:asciiTheme="minorHAnsi" w:hAnsiTheme="minorHAnsi" w:cstheme="minorHAnsi"/>
          <w:b/>
          <w:szCs w:val="24"/>
          <w:lang w:val="en-US" w:eastAsia="en-GB"/>
        </w:rPr>
        <w:lastRenderedPageBreak/>
        <w:t>I</w:t>
      </w:r>
      <w:r w:rsidRPr="002E44E9">
        <w:rPr>
          <w:rFonts w:asciiTheme="minorHAnsi" w:hAnsiTheme="minorHAnsi" w:cstheme="minorHAnsi"/>
          <w:b/>
          <w:szCs w:val="24"/>
          <w:lang w:val="en-US" w:eastAsia="en-GB"/>
        </w:rPr>
        <w:tab/>
        <w:t>Introduction</w:t>
      </w:r>
    </w:p>
    <w:p w14:paraId="06D15228" w14:textId="77777777" w:rsidR="002E44E9" w:rsidRPr="002E44E9" w:rsidRDefault="002E44E9" w:rsidP="002E44E9">
      <w:pPr>
        <w:tabs>
          <w:tab w:val="clear" w:pos="567"/>
          <w:tab w:val="clear" w:pos="1134"/>
          <w:tab w:val="clear" w:pos="1701"/>
          <w:tab w:val="clear" w:pos="2268"/>
          <w:tab w:val="clear" w:pos="2835"/>
          <w:tab w:val="left" w:pos="693"/>
        </w:tabs>
        <w:overflowPunct/>
        <w:autoSpaceDE/>
        <w:autoSpaceDN/>
        <w:adjustRightInd/>
        <w:spacing w:after="120"/>
        <w:ind w:right="112"/>
        <w:textAlignment w:val="auto"/>
        <w:rPr>
          <w:rFonts w:asciiTheme="minorHAnsi" w:hAnsiTheme="minorHAnsi" w:cstheme="minorHAnsi"/>
          <w:color w:val="000000" w:themeColor="text1"/>
          <w:szCs w:val="24"/>
          <w:lang w:val="en-US" w:eastAsia="en-GB"/>
        </w:rPr>
      </w:pPr>
      <w:r w:rsidRPr="002E44E9">
        <w:rPr>
          <w:rFonts w:asciiTheme="minorHAnsi" w:hAnsiTheme="minorHAnsi" w:cstheme="minorHAnsi"/>
          <w:color w:val="000000" w:themeColor="text1"/>
          <w:szCs w:val="24"/>
          <w:lang w:val="en-US" w:eastAsia="en-GB"/>
        </w:rPr>
        <w:t>1.1</w:t>
      </w:r>
      <w:r w:rsidRPr="002E44E9">
        <w:rPr>
          <w:rFonts w:asciiTheme="minorHAnsi" w:hAnsiTheme="minorHAnsi" w:cstheme="minorHAnsi"/>
          <w:color w:val="000000" w:themeColor="text1"/>
          <w:szCs w:val="24"/>
          <w:lang w:val="en-US" w:eastAsia="en-GB"/>
        </w:rPr>
        <w:tab/>
        <w:t>No. 486 of the ITU Convention provides that the Financial Regulations should contain special provisions on the acceptance and use of voluntary contributions in cash or in kind, and No. 487 indicates how such contributions should be reported as part of ITU's financial statements, as well as in a separate document indicating data on each case of origin of funds, their intended use and action taken.</w:t>
      </w:r>
    </w:p>
    <w:p w14:paraId="27497E55" w14:textId="77777777" w:rsidR="002E44E9" w:rsidRPr="002E44E9" w:rsidRDefault="002E44E9" w:rsidP="002E44E9">
      <w:pPr>
        <w:tabs>
          <w:tab w:val="clear" w:pos="567"/>
          <w:tab w:val="clear" w:pos="1134"/>
          <w:tab w:val="clear" w:pos="1701"/>
          <w:tab w:val="clear" w:pos="2268"/>
          <w:tab w:val="clear" w:pos="2835"/>
          <w:tab w:val="left" w:pos="693"/>
        </w:tabs>
        <w:overflowPunct/>
        <w:autoSpaceDE/>
        <w:autoSpaceDN/>
        <w:adjustRightInd/>
        <w:spacing w:after="120"/>
        <w:ind w:right="112"/>
        <w:textAlignment w:val="auto"/>
        <w:rPr>
          <w:rFonts w:asciiTheme="minorHAnsi" w:hAnsiTheme="minorHAnsi" w:cstheme="minorHAnsi"/>
          <w:w w:val="105"/>
          <w:szCs w:val="24"/>
          <w:lang w:val="en-US" w:eastAsia="en-GB"/>
        </w:rPr>
      </w:pPr>
      <w:r w:rsidRPr="002E44E9">
        <w:rPr>
          <w:rFonts w:asciiTheme="minorHAnsi" w:hAnsiTheme="minorHAnsi" w:cstheme="minorHAnsi"/>
          <w:color w:val="000000" w:themeColor="text1"/>
          <w:szCs w:val="24"/>
          <w:lang w:val="en-US" w:eastAsia="en-GB"/>
        </w:rPr>
        <w:t>1.2</w:t>
      </w:r>
      <w:r w:rsidRPr="002E44E9">
        <w:rPr>
          <w:rFonts w:asciiTheme="minorHAnsi" w:hAnsiTheme="minorHAnsi" w:cstheme="minorHAnsi"/>
          <w:color w:val="000000" w:themeColor="text1"/>
          <w:szCs w:val="24"/>
          <w:lang w:val="en-US" w:eastAsia="en-GB"/>
        </w:rPr>
        <w:tab/>
        <w:t xml:space="preserve">Resolution 5 (Kyoto, 1994) continues to govern invitations to hold conferences, </w:t>
      </w:r>
      <w:proofErr w:type="gramStart"/>
      <w:r w:rsidRPr="002E44E9">
        <w:rPr>
          <w:rFonts w:asciiTheme="minorHAnsi" w:hAnsiTheme="minorHAnsi" w:cstheme="minorHAnsi"/>
          <w:color w:val="000000" w:themeColor="text1"/>
          <w:szCs w:val="24"/>
          <w:lang w:val="en-US" w:eastAsia="en-GB"/>
        </w:rPr>
        <w:t>assemblies</w:t>
      </w:r>
      <w:proofErr w:type="gramEnd"/>
      <w:r w:rsidRPr="002E44E9">
        <w:rPr>
          <w:rFonts w:asciiTheme="minorHAnsi" w:hAnsiTheme="minorHAnsi" w:cstheme="minorHAnsi"/>
          <w:color w:val="000000" w:themeColor="text1"/>
          <w:szCs w:val="24"/>
          <w:lang w:val="en-US" w:eastAsia="en-GB"/>
        </w:rPr>
        <w:t xml:space="preserve"> or meetings away from Geneva</w:t>
      </w:r>
      <w:r w:rsidRPr="002E44E9">
        <w:rPr>
          <w:rFonts w:ascii="Times New Roman" w:hAnsi="Times New Roman"/>
          <w:szCs w:val="24"/>
          <w:lang w:val="en-US" w:eastAsia="en-GB"/>
        </w:rPr>
        <w:t xml:space="preserve"> </w:t>
      </w:r>
      <w:r w:rsidRPr="002E44E9">
        <w:rPr>
          <w:rFonts w:asciiTheme="minorHAnsi" w:hAnsiTheme="minorHAnsi" w:cstheme="minorHAnsi"/>
          <w:color w:val="000000" w:themeColor="text1"/>
          <w:szCs w:val="24"/>
          <w:lang w:val="en-US" w:eastAsia="en-GB"/>
        </w:rPr>
        <w:t>and in the “</w:t>
      </w:r>
      <w:r w:rsidRPr="002E44E9">
        <w:rPr>
          <w:rFonts w:asciiTheme="minorHAnsi" w:hAnsiTheme="minorHAnsi" w:cstheme="minorHAnsi"/>
          <w:i/>
          <w:iCs/>
          <w:color w:val="000000" w:themeColor="text1"/>
          <w:szCs w:val="24"/>
          <w:lang w:val="en-US" w:eastAsia="en-GB"/>
        </w:rPr>
        <w:t>resolves</w:t>
      </w:r>
      <w:r w:rsidRPr="002E44E9">
        <w:rPr>
          <w:rFonts w:asciiTheme="minorHAnsi" w:hAnsiTheme="minorHAnsi" w:cstheme="minorHAnsi"/>
          <w:color w:val="000000" w:themeColor="text1"/>
          <w:szCs w:val="24"/>
          <w:lang w:val="en-US" w:eastAsia="en-GB"/>
        </w:rPr>
        <w:t>” section, establishes the conditions for the additional costs to be covered by the host, including adequate accommodation, furniture and equipment</w:t>
      </w:r>
      <w:r w:rsidRPr="002E44E9">
        <w:rPr>
          <w:rFonts w:asciiTheme="minorHAnsi" w:hAnsiTheme="minorHAnsi" w:cstheme="minorHAnsi"/>
          <w:color w:val="1F4E79"/>
          <w:szCs w:val="24"/>
          <w:lang w:val="en-US" w:eastAsia="en-GB"/>
        </w:rPr>
        <w:t>.</w:t>
      </w:r>
    </w:p>
    <w:p w14:paraId="49804664" w14:textId="77777777" w:rsidR="002E44E9" w:rsidRPr="002E44E9" w:rsidRDefault="002E44E9" w:rsidP="002E44E9">
      <w:pPr>
        <w:tabs>
          <w:tab w:val="clear" w:pos="567"/>
          <w:tab w:val="clear" w:pos="1134"/>
          <w:tab w:val="clear" w:pos="1701"/>
          <w:tab w:val="clear" w:pos="2268"/>
          <w:tab w:val="clear" w:pos="2835"/>
          <w:tab w:val="left" w:pos="693"/>
        </w:tabs>
        <w:overflowPunct/>
        <w:autoSpaceDE/>
        <w:autoSpaceDN/>
        <w:adjustRightInd/>
        <w:spacing w:after="120"/>
        <w:ind w:right="113"/>
        <w:textAlignment w:val="auto"/>
        <w:rPr>
          <w:rFonts w:asciiTheme="minorHAnsi" w:hAnsiTheme="minorHAnsi" w:cstheme="minorHAnsi"/>
          <w:w w:val="105"/>
          <w:szCs w:val="24"/>
          <w:lang w:val="en-US" w:eastAsia="en-GB"/>
        </w:rPr>
      </w:pPr>
      <w:r w:rsidRPr="002E44E9">
        <w:rPr>
          <w:rFonts w:asciiTheme="minorHAnsi" w:hAnsiTheme="minorHAnsi" w:cstheme="minorHAnsi"/>
          <w:szCs w:val="24"/>
          <w:lang w:val="en-US" w:eastAsia="en-GB"/>
        </w:rPr>
        <w:t>1.3</w:t>
      </w:r>
      <w:r w:rsidRPr="002E44E9">
        <w:rPr>
          <w:rFonts w:asciiTheme="minorHAnsi" w:hAnsiTheme="minorHAnsi" w:cstheme="minorHAnsi"/>
          <w:szCs w:val="24"/>
          <w:lang w:val="en-US" w:eastAsia="en-GB"/>
        </w:rPr>
        <w:tab/>
        <w:t xml:space="preserve">WTDC </w:t>
      </w:r>
      <w:r w:rsidRPr="002E44E9">
        <w:rPr>
          <w:rFonts w:asciiTheme="minorHAnsi" w:hAnsiTheme="minorHAnsi" w:cstheme="minorHAnsi"/>
          <w:w w:val="105"/>
          <w:szCs w:val="24"/>
          <w:lang w:val="en-US" w:eastAsia="en-GB"/>
        </w:rPr>
        <w:t>Resolution</w:t>
      </w:r>
      <w:r w:rsidRPr="002E44E9">
        <w:rPr>
          <w:rFonts w:asciiTheme="minorHAnsi" w:hAnsiTheme="minorHAnsi" w:cstheme="minorHAnsi"/>
          <w:spacing w:val="-13"/>
          <w:w w:val="105"/>
          <w:szCs w:val="24"/>
          <w:lang w:val="en-US" w:eastAsia="en-GB"/>
        </w:rPr>
        <w:t xml:space="preserve"> </w:t>
      </w:r>
      <w:r w:rsidRPr="002E44E9">
        <w:rPr>
          <w:rFonts w:asciiTheme="minorHAnsi" w:hAnsiTheme="minorHAnsi" w:cstheme="minorHAnsi"/>
          <w:w w:val="105"/>
          <w:szCs w:val="24"/>
          <w:lang w:val="en-US" w:eastAsia="en-GB"/>
        </w:rPr>
        <w:t>17</w:t>
      </w:r>
      <w:r w:rsidRPr="002E44E9">
        <w:rPr>
          <w:rFonts w:asciiTheme="minorHAnsi" w:hAnsiTheme="minorHAnsi" w:cstheme="minorHAnsi"/>
          <w:spacing w:val="-6"/>
          <w:w w:val="105"/>
          <w:szCs w:val="24"/>
          <w:lang w:val="en-US" w:eastAsia="en-GB"/>
        </w:rPr>
        <w:t xml:space="preserve"> </w:t>
      </w:r>
      <w:r w:rsidRPr="002E44E9">
        <w:rPr>
          <w:rFonts w:asciiTheme="minorHAnsi" w:hAnsiTheme="minorHAnsi" w:cstheme="minorHAnsi"/>
          <w:w w:val="105"/>
          <w:szCs w:val="24"/>
          <w:lang w:val="en-US" w:eastAsia="en-GB"/>
        </w:rPr>
        <w:t>(Rev.</w:t>
      </w:r>
      <w:r w:rsidRPr="002E44E9">
        <w:rPr>
          <w:rFonts w:asciiTheme="minorHAnsi" w:hAnsiTheme="minorHAnsi" w:cstheme="minorHAnsi"/>
          <w:spacing w:val="-5"/>
          <w:w w:val="105"/>
          <w:szCs w:val="24"/>
          <w:lang w:val="en-US" w:eastAsia="en-GB"/>
        </w:rPr>
        <w:t xml:space="preserve"> </w:t>
      </w:r>
      <w:r w:rsidRPr="002E44E9">
        <w:rPr>
          <w:rFonts w:asciiTheme="minorHAnsi" w:hAnsiTheme="minorHAnsi" w:cstheme="minorHAnsi"/>
          <w:w w:val="105"/>
          <w:szCs w:val="24"/>
          <w:lang w:val="en-US" w:eastAsia="en-GB"/>
        </w:rPr>
        <w:t>Buenos Aires. 2017)</w:t>
      </w:r>
      <w:r w:rsidRPr="002E44E9">
        <w:rPr>
          <w:rFonts w:asciiTheme="minorHAnsi" w:hAnsiTheme="minorHAnsi" w:cstheme="minorHAnsi"/>
          <w:spacing w:val="-6"/>
          <w:w w:val="105"/>
          <w:szCs w:val="24"/>
          <w:lang w:val="en-US" w:eastAsia="en-GB"/>
        </w:rPr>
        <w:t xml:space="preserve"> </w:t>
      </w:r>
      <w:r w:rsidRPr="002E44E9">
        <w:rPr>
          <w:rFonts w:asciiTheme="minorHAnsi" w:hAnsiTheme="minorHAnsi" w:cstheme="minorHAnsi"/>
          <w:w w:val="105"/>
          <w:szCs w:val="24"/>
          <w:lang w:val="en-US" w:eastAsia="en-GB"/>
        </w:rPr>
        <w:t>on</w:t>
      </w:r>
      <w:r w:rsidRPr="002E44E9">
        <w:rPr>
          <w:rFonts w:asciiTheme="minorHAnsi" w:hAnsiTheme="minorHAnsi" w:cstheme="minorHAnsi"/>
          <w:spacing w:val="-6"/>
          <w:w w:val="105"/>
          <w:szCs w:val="24"/>
          <w:lang w:val="en-US" w:eastAsia="en-GB"/>
        </w:rPr>
        <w:t xml:space="preserve"> the </w:t>
      </w:r>
      <w:r w:rsidRPr="002E44E9">
        <w:rPr>
          <w:rFonts w:asciiTheme="minorHAnsi" w:hAnsiTheme="minorHAnsi" w:cstheme="minorHAnsi"/>
          <w:w w:val="105"/>
          <w:szCs w:val="24"/>
          <w:lang w:val="en-US" w:eastAsia="en-GB"/>
        </w:rPr>
        <w:t xml:space="preserve">implementation of regionally approved initiatives at the national, regional, </w:t>
      </w:r>
      <w:proofErr w:type="gramStart"/>
      <w:r w:rsidRPr="002E44E9">
        <w:rPr>
          <w:rFonts w:asciiTheme="minorHAnsi" w:hAnsiTheme="minorHAnsi" w:cstheme="minorHAnsi"/>
          <w:w w:val="105"/>
          <w:szCs w:val="24"/>
          <w:lang w:val="en-US" w:eastAsia="en-GB"/>
        </w:rPr>
        <w:t>interregional</w:t>
      </w:r>
      <w:proofErr w:type="gramEnd"/>
      <w:r w:rsidRPr="002E44E9">
        <w:rPr>
          <w:rFonts w:asciiTheme="minorHAnsi" w:hAnsiTheme="minorHAnsi" w:cstheme="minorHAnsi"/>
          <w:w w:val="105"/>
          <w:szCs w:val="24"/>
          <w:lang w:val="en-US" w:eastAsia="en-GB"/>
        </w:rPr>
        <w:t xml:space="preserve"> and global</w:t>
      </w:r>
      <w:r w:rsidRPr="002E44E9">
        <w:rPr>
          <w:rFonts w:asciiTheme="minorHAnsi" w:hAnsiTheme="minorHAnsi" w:cstheme="minorHAnsi"/>
          <w:spacing w:val="-28"/>
          <w:w w:val="105"/>
          <w:szCs w:val="24"/>
          <w:lang w:val="en-US" w:eastAsia="en-GB"/>
        </w:rPr>
        <w:t xml:space="preserve"> </w:t>
      </w:r>
      <w:r w:rsidRPr="002E44E9">
        <w:rPr>
          <w:rFonts w:asciiTheme="minorHAnsi" w:hAnsiTheme="minorHAnsi" w:cstheme="minorHAnsi"/>
          <w:w w:val="105"/>
          <w:szCs w:val="24"/>
          <w:lang w:val="en-US" w:eastAsia="en-GB"/>
        </w:rPr>
        <w:t xml:space="preserve">levels, </w:t>
      </w:r>
      <w:r w:rsidRPr="002E44E9">
        <w:rPr>
          <w:rFonts w:asciiTheme="minorHAnsi" w:hAnsiTheme="minorHAnsi" w:cstheme="minorHAnsi"/>
          <w:i/>
          <w:w w:val="105"/>
          <w:szCs w:val="24"/>
          <w:lang w:val="en-US" w:eastAsia="en-GB"/>
        </w:rPr>
        <w:t>resolves</w:t>
      </w:r>
      <w:r w:rsidRPr="002E44E9">
        <w:rPr>
          <w:rFonts w:asciiTheme="minorHAnsi" w:hAnsiTheme="minorHAnsi" w:cstheme="minorHAnsi"/>
          <w:w w:val="105"/>
          <w:szCs w:val="24"/>
          <w:lang w:val="en-US" w:eastAsia="en-GB"/>
        </w:rPr>
        <w:t xml:space="preserve"> “… 4.  that</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Member</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States</w:t>
      </w:r>
      <w:r w:rsidRPr="002E44E9">
        <w:rPr>
          <w:rFonts w:asciiTheme="minorHAnsi" w:hAnsiTheme="minorHAnsi" w:cstheme="minorHAnsi"/>
          <w:spacing w:val="-5"/>
          <w:w w:val="105"/>
          <w:szCs w:val="24"/>
          <w:lang w:val="en-US" w:eastAsia="en-GB"/>
        </w:rPr>
        <w:t xml:space="preserve"> </w:t>
      </w:r>
      <w:r w:rsidRPr="002E44E9">
        <w:rPr>
          <w:rFonts w:asciiTheme="minorHAnsi" w:hAnsiTheme="minorHAnsi" w:cstheme="minorHAnsi"/>
          <w:w w:val="105"/>
          <w:szCs w:val="24"/>
          <w:lang w:val="en-US" w:eastAsia="en-GB"/>
        </w:rPr>
        <w:t>should</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consider</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contributing</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in-kind</w:t>
      </w:r>
      <w:r w:rsidRPr="002E44E9">
        <w:rPr>
          <w:rFonts w:asciiTheme="minorHAnsi" w:hAnsiTheme="minorHAnsi" w:cstheme="minorHAnsi"/>
          <w:spacing w:val="-6"/>
          <w:w w:val="105"/>
          <w:szCs w:val="24"/>
          <w:lang w:val="en-US" w:eastAsia="en-GB"/>
        </w:rPr>
        <w:t xml:space="preserve"> </w:t>
      </w:r>
      <w:r w:rsidRPr="002E44E9">
        <w:rPr>
          <w:rFonts w:asciiTheme="minorHAnsi" w:hAnsiTheme="minorHAnsi" w:cstheme="minorHAnsi"/>
          <w:w w:val="105"/>
          <w:szCs w:val="24"/>
          <w:lang w:val="en-US" w:eastAsia="en-GB"/>
        </w:rPr>
        <w:t>and/or</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in</w:t>
      </w:r>
      <w:r w:rsidRPr="002E44E9">
        <w:rPr>
          <w:rFonts w:asciiTheme="minorHAnsi" w:hAnsiTheme="minorHAnsi" w:cstheme="minorHAnsi"/>
          <w:spacing w:val="-4"/>
          <w:w w:val="105"/>
          <w:szCs w:val="24"/>
          <w:lang w:val="en-US" w:eastAsia="en-GB"/>
        </w:rPr>
        <w:t xml:space="preserve"> </w:t>
      </w:r>
      <w:r w:rsidRPr="002E44E9">
        <w:rPr>
          <w:rFonts w:asciiTheme="minorHAnsi" w:hAnsiTheme="minorHAnsi" w:cstheme="minorHAnsi"/>
          <w:w w:val="105"/>
          <w:szCs w:val="24"/>
          <w:lang w:val="en-US" w:eastAsia="en-GB"/>
        </w:rPr>
        <w:t xml:space="preserve">cash to the budget foreseen for implementation of these initiatives and the realization of other projects foreseen within the framework of these initiatives at the national, regional, </w:t>
      </w:r>
      <w:proofErr w:type="gramStart"/>
      <w:r w:rsidRPr="002E44E9">
        <w:rPr>
          <w:rFonts w:asciiTheme="minorHAnsi" w:hAnsiTheme="minorHAnsi" w:cstheme="minorHAnsi"/>
          <w:w w:val="105"/>
          <w:szCs w:val="24"/>
          <w:lang w:val="en-US" w:eastAsia="en-GB"/>
        </w:rPr>
        <w:t>interregional</w:t>
      </w:r>
      <w:proofErr w:type="gramEnd"/>
      <w:r w:rsidRPr="002E44E9">
        <w:rPr>
          <w:rFonts w:asciiTheme="minorHAnsi" w:hAnsiTheme="minorHAnsi" w:cstheme="minorHAnsi"/>
          <w:w w:val="105"/>
          <w:szCs w:val="24"/>
          <w:lang w:val="en-US" w:eastAsia="en-GB"/>
        </w:rPr>
        <w:t xml:space="preserve"> and global levels”. In that respect, the availability in ITU of clear and concise guidelines on the valuation of in-kind contributions, including those intended for the implementation of regional initiatives, available in the form of a single document, would assist ITU Member States and other interested parties to seek and implement the appropriate and necessary resource opportunities. The development of the methodology mentioned can also contribute to the development of the capacity of national specialists, especially in developing countries, and help to achieve the goals of ITU and the SDGs.</w:t>
      </w:r>
    </w:p>
    <w:p w14:paraId="5919370E" w14:textId="77777777" w:rsidR="002E44E9" w:rsidRPr="002E44E9" w:rsidRDefault="002E44E9" w:rsidP="002E44E9">
      <w:pPr>
        <w:tabs>
          <w:tab w:val="clear" w:pos="567"/>
          <w:tab w:val="clear" w:pos="1134"/>
          <w:tab w:val="clear" w:pos="1701"/>
          <w:tab w:val="clear" w:pos="2268"/>
          <w:tab w:val="clear" w:pos="2835"/>
          <w:tab w:val="left" w:pos="693"/>
        </w:tabs>
        <w:overflowPunct/>
        <w:autoSpaceDE/>
        <w:autoSpaceDN/>
        <w:adjustRightInd/>
        <w:spacing w:after="120"/>
        <w:ind w:right="113"/>
        <w:textAlignment w:val="auto"/>
        <w:rPr>
          <w:rFonts w:asciiTheme="minorHAnsi" w:hAnsiTheme="minorHAnsi" w:cstheme="minorHAnsi"/>
          <w:w w:val="105"/>
          <w:szCs w:val="24"/>
          <w:lang w:val="en-US" w:eastAsia="en-GB"/>
        </w:rPr>
      </w:pPr>
      <w:r w:rsidRPr="002E44E9">
        <w:rPr>
          <w:rFonts w:cs="Calibri"/>
          <w:bCs/>
          <w:szCs w:val="24"/>
          <w:lang w:val="en-US" w:eastAsia="en-GB"/>
        </w:rPr>
        <w:t>1.4</w:t>
      </w:r>
      <w:r w:rsidRPr="002E44E9">
        <w:rPr>
          <w:rFonts w:cs="Calibri"/>
          <w:bCs/>
          <w:szCs w:val="24"/>
          <w:lang w:val="en-US" w:eastAsia="en-GB"/>
        </w:rPr>
        <w:tab/>
        <w:t>It should be noted that the secondment of staff from an administration to ITU is not considered as an in-kind contribution since the said administration provides a financial contribution by funding the assignment, while the staff is subjected to ITU regulations and rules. Such funding is considered as cash contribution and is recorded as revenue with the corresponding expense.</w:t>
      </w:r>
    </w:p>
    <w:p w14:paraId="3761EDED" w14:textId="77777777" w:rsidR="002E44E9" w:rsidRPr="002E44E9" w:rsidRDefault="002E44E9" w:rsidP="002E44E9">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szCs w:val="24"/>
          <w:lang w:val="en-US" w:eastAsia="en-GB"/>
        </w:rPr>
      </w:pPr>
      <w:r w:rsidRPr="002E44E9">
        <w:rPr>
          <w:rFonts w:asciiTheme="minorHAnsi" w:eastAsia="Calibri" w:hAnsiTheme="minorHAnsi" w:cstheme="minorHAnsi"/>
          <w:szCs w:val="24"/>
          <w:lang w:val="en-US" w:eastAsia="en-GB"/>
        </w:rPr>
        <w:t>1.5</w:t>
      </w:r>
      <w:r w:rsidRPr="002E44E9">
        <w:rPr>
          <w:rFonts w:asciiTheme="minorHAnsi" w:eastAsia="Calibri" w:hAnsiTheme="minorHAnsi" w:cstheme="minorHAnsi"/>
          <w:szCs w:val="24"/>
          <w:lang w:val="en-US" w:eastAsia="en-GB"/>
        </w:rPr>
        <w:tab/>
        <w:t>These guidelines seek to offer a general definition of in-kind contributions and form part of the Financial Regulations and Financial Rules and provide for the recognition of these assets in the relevant financial and accounting statements.</w:t>
      </w:r>
    </w:p>
    <w:p w14:paraId="42F16EC5" w14:textId="77777777" w:rsidR="002E44E9" w:rsidRPr="002E44E9" w:rsidRDefault="002E44E9" w:rsidP="002E44E9">
      <w:pPr>
        <w:tabs>
          <w:tab w:val="clear" w:pos="567"/>
          <w:tab w:val="clear" w:pos="1134"/>
          <w:tab w:val="clear" w:pos="1701"/>
          <w:tab w:val="clear" w:pos="2268"/>
          <w:tab w:val="clear" w:pos="2835"/>
        </w:tabs>
        <w:overflowPunct/>
        <w:autoSpaceDE/>
        <w:autoSpaceDN/>
        <w:adjustRightInd/>
        <w:spacing w:before="360" w:after="120"/>
        <w:jc w:val="both"/>
        <w:textAlignment w:val="auto"/>
        <w:rPr>
          <w:rFonts w:asciiTheme="minorHAnsi" w:eastAsia="Calibri" w:hAnsiTheme="minorHAnsi" w:cstheme="minorHAnsi"/>
          <w:b/>
          <w:w w:val="105"/>
          <w:szCs w:val="24"/>
          <w:lang w:val="en-US" w:eastAsia="en-GB"/>
        </w:rPr>
      </w:pPr>
      <w:r w:rsidRPr="002E44E9">
        <w:rPr>
          <w:rFonts w:asciiTheme="minorHAnsi" w:eastAsia="Calibri" w:hAnsiTheme="minorHAnsi" w:cstheme="minorHAnsi"/>
          <w:b/>
          <w:w w:val="105"/>
          <w:szCs w:val="24"/>
          <w:lang w:val="en-US" w:eastAsia="en-GB"/>
        </w:rPr>
        <w:t>II</w:t>
      </w:r>
      <w:r w:rsidRPr="002E44E9">
        <w:rPr>
          <w:rFonts w:asciiTheme="minorHAnsi" w:eastAsia="Calibri" w:hAnsiTheme="minorHAnsi" w:cstheme="minorHAnsi"/>
          <w:b/>
          <w:w w:val="105"/>
          <w:szCs w:val="24"/>
          <w:lang w:val="en-US" w:eastAsia="en-GB"/>
        </w:rPr>
        <w:tab/>
        <w:t>Definition</w:t>
      </w:r>
    </w:p>
    <w:p w14:paraId="433354F5" w14:textId="77777777" w:rsidR="002E44E9" w:rsidRPr="002E44E9" w:rsidRDefault="002E44E9" w:rsidP="002E44E9">
      <w:pPr>
        <w:tabs>
          <w:tab w:val="clear" w:pos="567"/>
          <w:tab w:val="clear" w:pos="1134"/>
          <w:tab w:val="clear" w:pos="1701"/>
          <w:tab w:val="clear" w:pos="2268"/>
          <w:tab w:val="clear" w:pos="2835"/>
        </w:tabs>
        <w:overflowPunct/>
        <w:autoSpaceDE/>
        <w:autoSpaceDN/>
        <w:adjustRightInd/>
        <w:spacing w:after="120"/>
        <w:textAlignment w:val="auto"/>
        <w:rPr>
          <w:rFonts w:asciiTheme="minorHAnsi" w:eastAsia="Calibri" w:hAnsiTheme="minorHAnsi" w:cstheme="minorHAnsi"/>
          <w:bCs/>
          <w:w w:val="105"/>
          <w:szCs w:val="24"/>
          <w:lang w:val="en-US" w:eastAsia="en-GB"/>
        </w:rPr>
      </w:pPr>
      <w:r w:rsidRPr="002E44E9">
        <w:rPr>
          <w:rFonts w:asciiTheme="minorHAnsi" w:eastAsia="Calibri" w:hAnsiTheme="minorHAnsi" w:cstheme="minorHAnsi"/>
          <w:bCs/>
          <w:w w:val="105"/>
          <w:szCs w:val="24"/>
          <w:lang w:val="en-US" w:eastAsia="en-GB"/>
        </w:rPr>
        <w:t>2.1</w:t>
      </w:r>
      <w:r w:rsidRPr="002E44E9">
        <w:rPr>
          <w:rFonts w:asciiTheme="minorHAnsi" w:eastAsia="Calibri" w:hAnsiTheme="minorHAnsi" w:cstheme="minorHAnsi"/>
          <w:bCs/>
          <w:w w:val="105"/>
          <w:szCs w:val="24"/>
          <w:lang w:val="en-US" w:eastAsia="en-GB"/>
        </w:rPr>
        <w:tab/>
        <w:t>In-kind contributions are defined as non-cash contributions and may include services, goods and assets received at Field or Headquarters’ level to support ITU’s activities which can be reliably measured and audited.</w:t>
      </w:r>
      <w:r w:rsidRPr="002E44E9">
        <w:rPr>
          <w:rFonts w:asciiTheme="minorHAnsi" w:hAnsiTheme="minorHAnsi" w:cstheme="minorHAnsi"/>
          <w:szCs w:val="24"/>
          <w:lang w:val="en-US" w:eastAsia="en-GB"/>
        </w:rPr>
        <w:t xml:space="preserve"> In-kind contributions are recorded and reported in compliance with IPSAS 23. Any in-kind contribution will be recorded as revenue and offset by an equivalent amount as expense.</w:t>
      </w:r>
    </w:p>
    <w:p w14:paraId="2DDDE610" w14:textId="77777777" w:rsidR="002E44E9" w:rsidRDefault="002E44E9" w:rsidP="002E44E9">
      <w:pPr>
        <w:spacing w:after="120"/>
        <w:rPr>
          <w:rFonts w:asciiTheme="minorHAnsi" w:eastAsia="Calibri" w:hAnsiTheme="minorHAnsi" w:cstheme="minorHAnsi"/>
          <w:bCs/>
          <w:w w:val="105"/>
        </w:rPr>
      </w:pPr>
      <w:r>
        <w:rPr>
          <w:rFonts w:asciiTheme="minorHAnsi" w:eastAsia="Calibri" w:hAnsiTheme="minorHAnsi" w:cstheme="minorHAnsi"/>
          <w:bCs/>
          <w:w w:val="105"/>
        </w:rPr>
        <w:t>2.2</w:t>
      </w:r>
      <w:r>
        <w:rPr>
          <w:rFonts w:asciiTheme="minorHAnsi" w:eastAsia="Calibri" w:hAnsiTheme="minorHAnsi" w:cstheme="minorHAnsi"/>
          <w:bCs/>
          <w:w w:val="105"/>
        </w:rPr>
        <w:tab/>
        <w:t>Recognition of i</w:t>
      </w:r>
      <w:r w:rsidRPr="00887E05">
        <w:rPr>
          <w:rFonts w:asciiTheme="minorHAnsi" w:eastAsia="Calibri" w:hAnsiTheme="minorHAnsi" w:cstheme="minorHAnsi"/>
          <w:bCs/>
          <w:w w:val="105"/>
        </w:rPr>
        <w:t>n-kind contributions from Governments and</w:t>
      </w:r>
      <w:r>
        <w:rPr>
          <w:rFonts w:asciiTheme="minorHAnsi" w:eastAsia="Calibri" w:hAnsiTheme="minorHAnsi" w:cstheme="minorHAnsi"/>
          <w:bCs/>
          <w:w w:val="105"/>
        </w:rPr>
        <w:t>/</w:t>
      </w:r>
      <w:r w:rsidRPr="00887E05">
        <w:rPr>
          <w:rFonts w:asciiTheme="minorHAnsi" w:eastAsia="Calibri" w:hAnsiTheme="minorHAnsi" w:cstheme="minorHAnsi"/>
          <w:bCs/>
          <w:w w:val="105"/>
        </w:rPr>
        <w:t xml:space="preserve">or private sector entities </w:t>
      </w:r>
      <w:r>
        <w:rPr>
          <w:rFonts w:asciiTheme="minorHAnsi" w:eastAsia="Calibri" w:hAnsiTheme="minorHAnsi" w:cstheme="minorHAnsi"/>
          <w:bCs/>
          <w:w w:val="105"/>
        </w:rPr>
        <w:t>and any other entity such as United Nations agencies, etc. shall be subject to</w:t>
      </w:r>
      <w:r w:rsidRPr="00887E05">
        <w:rPr>
          <w:rFonts w:asciiTheme="minorHAnsi" w:eastAsia="Calibri" w:hAnsiTheme="minorHAnsi" w:cstheme="minorHAnsi"/>
          <w:bCs/>
          <w:w w:val="105"/>
        </w:rPr>
        <w:t xml:space="preserve"> </w:t>
      </w:r>
      <w:r>
        <w:rPr>
          <w:rFonts w:asciiTheme="minorHAnsi" w:eastAsia="Calibri" w:hAnsiTheme="minorHAnsi" w:cstheme="minorHAnsi"/>
          <w:bCs/>
          <w:w w:val="105"/>
        </w:rPr>
        <w:t xml:space="preserve">ITU Rules, Regulations, </w:t>
      </w:r>
      <w:proofErr w:type="gramStart"/>
      <w:r>
        <w:rPr>
          <w:rFonts w:asciiTheme="minorHAnsi" w:eastAsia="Calibri" w:hAnsiTheme="minorHAnsi" w:cstheme="minorHAnsi"/>
          <w:bCs/>
          <w:w w:val="105"/>
        </w:rPr>
        <w:t>Policy</w:t>
      </w:r>
      <w:proofErr w:type="gramEnd"/>
      <w:r>
        <w:rPr>
          <w:rFonts w:asciiTheme="minorHAnsi" w:eastAsia="Calibri" w:hAnsiTheme="minorHAnsi" w:cstheme="minorHAnsi"/>
          <w:bCs/>
          <w:w w:val="105"/>
        </w:rPr>
        <w:t xml:space="preserve"> and procedures, including but not limited to Rules and procedures governing the placement of contracts, principles for resource mobilization approved by Council, ITU name, logo and acronym use policy and event-related sponsorship guidelines. </w:t>
      </w:r>
    </w:p>
    <w:p w14:paraId="34CFCE67" w14:textId="1E587811" w:rsidR="002E44E9" w:rsidRDefault="002E44E9" w:rsidP="002E44E9">
      <w:pPr>
        <w:spacing w:after="120"/>
        <w:rPr>
          <w:rFonts w:asciiTheme="minorHAnsi" w:eastAsia="Calibri" w:hAnsiTheme="minorHAnsi" w:cstheme="minorHAnsi"/>
          <w:bCs/>
          <w:w w:val="105"/>
        </w:rPr>
      </w:pPr>
      <w:r>
        <w:rPr>
          <w:rFonts w:asciiTheme="minorHAnsi" w:eastAsia="Calibri" w:hAnsiTheme="minorHAnsi" w:cstheme="minorHAnsi"/>
          <w:bCs/>
          <w:w w:val="105"/>
        </w:rPr>
        <w:lastRenderedPageBreak/>
        <w:t>2.3</w:t>
      </w:r>
      <w:r>
        <w:rPr>
          <w:rFonts w:asciiTheme="minorHAnsi" w:eastAsia="Calibri" w:hAnsiTheme="minorHAnsi" w:cstheme="minorHAnsi"/>
          <w:bCs/>
          <w:w w:val="105"/>
        </w:rPr>
        <w:tab/>
        <w:t xml:space="preserve">ITU </w:t>
      </w:r>
      <w:r>
        <w:rPr>
          <w:rFonts w:asciiTheme="minorHAnsi" w:eastAsia="Calibri" w:hAnsiTheme="minorHAnsi" w:cstheme="minorHAnsi"/>
          <w:bCs/>
          <w:w w:val="105"/>
        </w:rPr>
        <w:t>will conduct</w:t>
      </w:r>
      <w:r w:rsidRPr="00887E05">
        <w:rPr>
          <w:rFonts w:asciiTheme="minorHAnsi" w:eastAsia="Calibri" w:hAnsiTheme="minorHAnsi" w:cstheme="minorHAnsi"/>
          <w:bCs/>
          <w:w w:val="105"/>
        </w:rPr>
        <w:t xml:space="preserve"> due diligence and risk assessment </w:t>
      </w:r>
      <w:r>
        <w:rPr>
          <w:rFonts w:asciiTheme="minorHAnsi" w:eastAsia="Calibri" w:hAnsiTheme="minorHAnsi" w:cstheme="minorHAnsi"/>
          <w:bCs/>
          <w:w w:val="105"/>
        </w:rPr>
        <w:t>on any non-member private sector entity, such as companies and foundations to protect the integrity and reputation of the Union</w:t>
      </w:r>
      <w:r w:rsidR="00F477DD">
        <w:rPr>
          <w:rFonts w:asciiTheme="minorHAnsi" w:eastAsia="Calibri" w:hAnsiTheme="minorHAnsi" w:cstheme="minorHAnsi"/>
          <w:bCs/>
          <w:w w:val="105"/>
        </w:rPr>
        <w:t xml:space="preserve"> before </w:t>
      </w:r>
      <w:proofErr w:type="gramStart"/>
      <w:r w:rsidR="00F477DD">
        <w:rPr>
          <w:rFonts w:asciiTheme="minorHAnsi" w:eastAsia="Calibri" w:hAnsiTheme="minorHAnsi" w:cstheme="minorHAnsi"/>
          <w:bCs/>
          <w:w w:val="105"/>
        </w:rPr>
        <w:t>entering into</w:t>
      </w:r>
      <w:proofErr w:type="gramEnd"/>
      <w:r w:rsidR="00F477DD">
        <w:rPr>
          <w:rFonts w:asciiTheme="minorHAnsi" w:eastAsia="Calibri" w:hAnsiTheme="minorHAnsi" w:cstheme="minorHAnsi"/>
          <w:bCs/>
          <w:w w:val="105"/>
        </w:rPr>
        <w:t xml:space="preserve"> a contractual relationship</w:t>
      </w:r>
      <w:r w:rsidRPr="00887E05">
        <w:rPr>
          <w:rFonts w:asciiTheme="minorHAnsi" w:eastAsia="Calibri" w:hAnsiTheme="minorHAnsi" w:cstheme="minorHAnsi"/>
          <w:bCs/>
          <w:w w:val="105"/>
        </w:rPr>
        <w:t>.</w:t>
      </w:r>
    </w:p>
    <w:p w14:paraId="232E100C" w14:textId="0B0A15C2" w:rsidR="002E44E9" w:rsidRDefault="002E44E9" w:rsidP="002E44E9">
      <w:pPr>
        <w:spacing w:after="120"/>
        <w:rPr>
          <w:rFonts w:asciiTheme="minorHAnsi" w:eastAsia="Calibri" w:hAnsiTheme="minorHAnsi" w:cstheme="minorHAnsi"/>
          <w:bCs/>
          <w:w w:val="105"/>
        </w:rPr>
      </w:pPr>
      <w:r>
        <w:rPr>
          <w:rFonts w:asciiTheme="minorHAnsi" w:eastAsia="Calibri" w:hAnsiTheme="minorHAnsi" w:cstheme="minorHAnsi"/>
          <w:bCs/>
          <w:w w:val="105"/>
        </w:rPr>
        <w:t>2.4</w:t>
      </w:r>
      <w:r>
        <w:rPr>
          <w:rFonts w:asciiTheme="minorHAnsi" w:eastAsia="Calibri" w:hAnsiTheme="minorHAnsi" w:cstheme="minorHAnsi"/>
          <w:bCs/>
          <w:w w:val="105"/>
        </w:rPr>
        <w:tab/>
      </w:r>
      <w:r w:rsidR="00F477DD">
        <w:rPr>
          <w:rFonts w:asciiTheme="minorHAnsi" w:eastAsia="Calibri" w:hAnsiTheme="minorHAnsi" w:cstheme="minorHAnsi"/>
          <w:bCs/>
          <w:w w:val="105"/>
        </w:rPr>
        <w:t>Timely and accurate r</w:t>
      </w:r>
      <w:r w:rsidRPr="00887E05">
        <w:rPr>
          <w:rFonts w:asciiTheme="minorHAnsi" w:eastAsia="Calibri" w:hAnsiTheme="minorHAnsi" w:cstheme="minorHAnsi"/>
          <w:bCs/>
          <w:w w:val="105"/>
        </w:rPr>
        <w:t>ecording of in-kind contributions is an essential component of ITU’s donor and resource management</w:t>
      </w:r>
      <w:r w:rsidR="00F477DD">
        <w:rPr>
          <w:rFonts w:asciiTheme="minorHAnsi" w:eastAsia="Calibri" w:hAnsiTheme="minorHAnsi" w:cstheme="minorHAnsi"/>
          <w:bCs/>
          <w:w w:val="105"/>
        </w:rPr>
        <w:t xml:space="preserve"> requirements. This allows ITU to meet its reporting and transparency requirements to both internal and external stakeholders</w:t>
      </w:r>
      <w:r w:rsidRPr="00887E05">
        <w:rPr>
          <w:rFonts w:asciiTheme="minorHAnsi" w:eastAsia="Calibri" w:hAnsiTheme="minorHAnsi" w:cstheme="minorHAnsi"/>
          <w:bCs/>
          <w:w w:val="105"/>
        </w:rPr>
        <w:t xml:space="preserve">. </w:t>
      </w:r>
    </w:p>
    <w:p w14:paraId="392A72E7" w14:textId="77777777" w:rsidR="002E44E9" w:rsidRDefault="002E44E9" w:rsidP="002E44E9">
      <w:pPr>
        <w:spacing w:after="120"/>
        <w:rPr>
          <w:rFonts w:asciiTheme="minorHAnsi" w:eastAsia="Calibri" w:hAnsiTheme="minorHAnsi" w:cstheme="minorHAnsi"/>
          <w:bCs/>
        </w:rPr>
      </w:pPr>
      <w:r>
        <w:rPr>
          <w:rFonts w:asciiTheme="minorHAnsi" w:eastAsia="Calibri" w:hAnsiTheme="minorHAnsi" w:cstheme="minorHAnsi"/>
          <w:bCs/>
        </w:rPr>
        <w:t>2.5</w:t>
      </w:r>
      <w:r>
        <w:rPr>
          <w:rFonts w:asciiTheme="minorHAnsi" w:eastAsia="Calibri" w:hAnsiTheme="minorHAnsi" w:cstheme="minorHAnsi"/>
          <w:bCs/>
        </w:rPr>
        <w:tab/>
        <w:t>T</w:t>
      </w:r>
      <w:r w:rsidRPr="00146D8E">
        <w:rPr>
          <w:rFonts w:asciiTheme="minorHAnsi" w:eastAsia="Calibri" w:hAnsiTheme="minorHAnsi" w:cstheme="minorHAnsi"/>
          <w:bCs/>
        </w:rPr>
        <w:t xml:space="preserve">he </w:t>
      </w:r>
      <w:r>
        <w:rPr>
          <w:rFonts w:asciiTheme="minorHAnsi" w:eastAsia="Calibri" w:hAnsiTheme="minorHAnsi" w:cstheme="minorHAnsi"/>
          <w:bCs/>
        </w:rPr>
        <w:t>ITU L</w:t>
      </w:r>
      <w:r w:rsidRPr="00146D8E">
        <w:rPr>
          <w:rFonts w:asciiTheme="minorHAnsi" w:eastAsia="Calibri" w:hAnsiTheme="minorHAnsi" w:cstheme="minorHAnsi"/>
          <w:bCs/>
        </w:rPr>
        <w:t xml:space="preserve">egal </w:t>
      </w:r>
      <w:r>
        <w:rPr>
          <w:rFonts w:asciiTheme="minorHAnsi" w:eastAsia="Calibri" w:hAnsiTheme="minorHAnsi" w:cstheme="minorHAnsi"/>
          <w:bCs/>
        </w:rPr>
        <w:t xml:space="preserve">affairs </w:t>
      </w:r>
      <w:r w:rsidRPr="00146D8E">
        <w:rPr>
          <w:rFonts w:asciiTheme="minorHAnsi" w:eastAsia="Calibri" w:hAnsiTheme="minorHAnsi" w:cstheme="minorHAnsi"/>
          <w:bCs/>
        </w:rPr>
        <w:t>unit</w:t>
      </w:r>
      <w:r w:rsidRPr="00457852">
        <w:rPr>
          <w:rFonts w:asciiTheme="minorHAnsi" w:eastAsia="Calibri" w:hAnsiTheme="minorHAnsi" w:cstheme="minorHAnsi"/>
          <w:bCs/>
        </w:rPr>
        <w:t xml:space="preserve"> </w:t>
      </w:r>
      <w:r>
        <w:rPr>
          <w:rFonts w:asciiTheme="minorHAnsi" w:eastAsia="Calibri" w:hAnsiTheme="minorHAnsi" w:cstheme="minorHAnsi"/>
          <w:bCs/>
        </w:rPr>
        <w:t>(</w:t>
      </w:r>
      <w:r w:rsidRPr="00887E05">
        <w:rPr>
          <w:rFonts w:asciiTheme="minorHAnsi" w:eastAsia="Calibri" w:hAnsiTheme="minorHAnsi" w:cstheme="minorHAnsi"/>
          <w:bCs/>
        </w:rPr>
        <w:t>JUR</w:t>
      </w:r>
      <w:r>
        <w:rPr>
          <w:rFonts w:asciiTheme="minorHAnsi" w:eastAsia="Calibri" w:hAnsiTheme="minorHAnsi" w:cstheme="minorHAnsi"/>
          <w:bCs/>
        </w:rPr>
        <w:t>)</w:t>
      </w:r>
      <w:r w:rsidRPr="00887E05">
        <w:rPr>
          <w:rFonts w:asciiTheme="minorHAnsi" w:eastAsia="Calibri" w:hAnsiTheme="minorHAnsi" w:cstheme="minorHAnsi"/>
          <w:bCs/>
        </w:rPr>
        <w:t xml:space="preserve"> </w:t>
      </w:r>
      <w:r>
        <w:rPr>
          <w:rFonts w:asciiTheme="minorHAnsi" w:eastAsia="Calibri" w:hAnsiTheme="minorHAnsi" w:cstheme="minorHAnsi"/>
          <w:bCs/>
        </w:rPr>
        <w:t xml:space="preserve">shall </w:t>
      </w:r>
      <w:r w:rsidRPr="00887E05">
        <w:rPr>
          <w:rFonts w:asciiTheme="minorHAnsi" w:eastAsia="Calibri" w:hAnsiTheme="minorHAnsi" w:cstheme="minorHAnsi"/>
          <w:bCs/>
        </w:rPr>
        <w:t>be consulted for all in</w:t>
      </w:r>
      <w:r>
        <w:rPr>
          <w:rFonts w:asciiTheme="minorHAnsi" w:eastAsia="Calibri" w:hAnsiTheme="minorHAnsi" w:cstheme="minorHAnsi"/>
          <w:bCs/>
        </w:rPr>
        <w:t>-</w:t>
      </w:r>
      <w:r w:rsidRPr="00887E05">
        <w:rPr>
          <w:rFonts w:asciiTheme="minorHAnsi" w:eastAsia="Calibri" w:hAnsiTheme="minorHAnsi" w:cstheme="minorHAnsi"/>
          <w:bCs/>
        </w:rPr>
        <w:t xml:space="preserve">kind contributions with a view to </w:t>
      </w:r>
      <w:r>
        <w:rPr>
          <w:rFonts w:asciiTheme="minorHAnsi" w:eastAsia="Calibri" w:hAnsiTheme="minorHAnsi" w:cstheme="minorHAnsi"/>
          <w:bCs/>
        </w:rPr>
        <w:t xml:space="preserve">assist in </w:t>
      </w:r>
      <w:r w:rsidRPr="00887E05">
        <w:rPr>
          <w:rFonts w:asciiTheme="minorHAnsi" w:eastAsia="Calibri" w:hAnsiTheme="minorHAnsi" w:cstheme="minorHAnsi"/>
          <w:bCs/>
        </w:rPr>
        <w:t>negotiating and drafting</w:t>
      </w:r>
      <w:r>
        <w:rPr>
          <w:rFonts w:asciiTheme="minorHAnsi" w:eastAsia="Calibri" w:hAnsiTheme="minorHAnsi" w:cstheme="minorHAnsi"/>
          <w:bCs/>
        </w:rPr>
        <w:t>,</w:t>
      </w:r>
      <w:r w:rsidRPr="00887E05">
        <w:rPr>
          <w:rFonts w:asciiTheme="minorHAnsi" w:eastAsia="Calibri" w:hAnsiTheme="minorHAnsi" w:cstheme="minorHAnsi"/>
          <w:bCs/>
        </w:rPr>
        <w:t xml:space="preserve"> a</w:t>
      </w:r>
      <w:r>
        <w:rPr>
          <w:rFonts w:asciiTheme="minorHAnsi" w:eastAsia="Calibri" w:hAnsiTheme="minorHAnsi" w:cstheme="minorHAnsi"/>
          <w:bCs/>
        </w:rPr>
        <w:t>s</w:t>
      </w:r>
      <w:r w:rsidRPr="00887E05">
        <w:rPr>
          <w:rFonts w:asciiTheme="minorHAnsi" w:eastAsia="Calibri" w:hAnsiTheme="minorHAnsi" w:cstheme="minorHAnsi"/>
          <w:bCs/>
        </w:rPr>
        <w:t xml:space="preserve"> appropriate</w:t>
      </w:r>
      <w:r>
        <w:rPr>
          <w:rFonts w:asciiTheme="minorHAnsi" w:eastAsia="Calibri" w:hAnsiTheme="minorHAnsi" w:cstheme="minorHAnsi"/>
          <w:bCs/>
        </w:rPr>
        <w:t>, an</w:t>
      </w:r>
      <w:r w:rsidRPr="00887E05">
        <w:rPr>
          <w:rFonts w:asciiTheme="minorHAnsi" w:eastAsia="Calibri" w:hAnsiTheme="minorHAnsi" w:cstheme="minorHAnsi"/>
          <w:bCs/>
        </w:rPr>
        <w:t xml:space="preserve"> agreement with the donor.</w:t>
      </w:r>
    </w:p>
    <w:p w14:paraId="2C86D9E4" w14:textId="77777777" w:rsidR="002E44E9" w:rsidRDefault="002E44E9" w:rsidP="002E44E9">
      <w:pPr>
        <w:spacing w:after="120"/>
        <w:rPr>
          <w:rFonts w:asciiTheme="minorHAnsi" w:eastAsia="Calibri" w:hAnsiTheme="minorHAnsi" w:cstheme="minorHAnsi"/>
          <w:bCs/>
          <w:w w:val="105"/>
        </w:rPr>
      </w:pPr>
      <w:r>
        <w:rPr>
          <w:rFonts w:asciiTheme="minorHAnsi" w:eastAsia="Calibri" w:hAnsiTheme="minorHAnsi" w:cstheme="minorHAnsi"/>
          <w:bCs/>
          <w:w w:val="105"/>
        </w:rPr>
        <w:t>2.6</w:t>
      </w:r>
      <w:r>
        <w:rPr>
          <w:rFonts w:asciiTheme="minorHAnsi" w:eastAsia="Calibri" w:hAnsiTheme="minorHAnsi" w:cstheme="minorHAnsi"/>
          <w:bCs/>
          <w:w w:val="105"/>
        </w:rPr>
        <w:tab/>
      </w:r>
      <w:r w:rsidRPr="00457852">
        <w:rPr>
          <w:rFonts w:asciiTheme="minorHAnsi" w:eastAsia="Calibri" w:hAnsiTheme="minorHAnsi" w:cstheme="minorHAnsi"/>
          <w:bCs/>
          <w:w w:val="105"/>
        </w:rPr>
        <w:t xml:space="preserve">There should be criteria </w:t>
      </w:r>
      <w:proofErr w:type="gramStart"/>
      <w:r w:rsidRPr="00457852">
        <w:rPr>
          <w:rFonts w:asciiTheme="minorHAnsi" w:eastAsia="Calibri" w:hAnsiTheme="minorHAnsi" w:cstheme="minorHAnsi"/>
          <w:bCs/>
          <w:w w:val="105"/>
        </w:rPr>
        <w:t>on the basis of</w:t>
      </w:r>
      <w:proofErr w:type="gramEnd"/>
      <w:r w:rsidRPr="00457852">
        <w:rPr>
          <w:rFonts w:asciiTheme="minorHAnsi" w:eastAsia="Calibri" w:hAnsiTheme="minorHAnsi" w:cstheme="minorHAnsi"/>
          <w:bCs/>
          <w:w w:val="105"/>
        </w:rPr>
        <w:t xml:space="preserve"> which in-kind contributions in ITU can be included as project resources. In this case, the main criterion is the compliance of such contributions with the goals of the project </w:t>
      </w:r>
      <w:r>
        <w:rPr>
          <w:rFonts w:asciiTheme="minorHAnsi" w:eastAsia="Calibri" w:hAnsiTheme="minorHAnsi" w:cstheme="minorHAnsi"/>
          <w:bCs/>
          <w:w w:val="105"/>
        </w:rPr>
        <w:t xml:space="preserve">or </w:t>
      </w:r>
      <w:r w:rsidRPr="008A725F">
        <w:rPr>
          <w:rFonts w:asciiTheme="minorHAnsi" w:eastAsia="Calibri" w:hAnsiTheme="minorHAnsi" w:cstheme="minorHAnsi"/>
          <w:bCs/>
          <w:w w:val="105"/>
        </w:rPr>
        <w:t>event</w:t>
      </w:r>
      <w:r>
        <w:rPr>
          <w:rFonts w:asciiTheme="minorHAnsi" w:eastAsia="Calibri" w:hAnsiTheme="minorHAnsi" w:cstheme="minorHAnsi"/>
          <w:bCs/>
          <w:w w:val="105"/>
        </w:rPr>
        <w:t xml:space="preserve"> concerned</w:t>
      </w:r>
      <w:r w:rsidRPr="00457852">
        <w:rPr>
          <w:rFonts w:asciiTheme="minorHAnsi" w:eastAsia="Calibri" w:hAnsiTheme="minorHAnsi" w:cstheme="minorHAnsi"/>
          <w:bCs/>
          <w:w w:val="105"/>
        </w:rPr>
        <w:t>.</w:t>
      </w:r>
    </w:p>
    <w:p w14:paraId="4C61CEBA" w14:textId="77777777" w:rsidR="002E44E9" w:rsidRPr="00887E05" w:rsidRDefault="002E44E9" w:rsidP="002E44E9">
      <w:pPr>
        <w:spacing w:before="360" w:after="120"/>
        <w:jc w:val="both"/>
        <w:rPr>
          <w:rFonts w:asciiTheme="minorHAnsi" w:eastAsia="Calibri" w:hAnsiTheme="minorHAnsi" w:cstheme="minorHAnsi"/>
          <w:b/>
          <w:w w:val="105"/>
        </w:rPr>
      </w:pPr>
      <w:r w:rsidRPr="00887E05">
        <w:rPr>
          <w:rFonts w:asciiTheme="minorHAnsi" w:eastAsia="Calibri" w:hAnsiTheme="minorHAnsi" w:cstheme="minorHAnsi"/>
          <w:b/>
          <w:w w:val="105"/>
        </w:rPr>
        <w:t>III</w:t>
      </w:r>
      <w:r w:rsidRPr="00887E05">
        <w:rPr>
          <w:rFonts w:asciiTheme="minorHAnsi" w:eastAsia="Calibri" w:hAnsiTheme="minorHAnsi" w:cstheme="minorHAnsi"/>
          <w:b/>
          <w:w w:val="105"/>
        </w:rPr>
        <w:tab/>
      </w:r>
      <w:r w:rsidRPr="00E82254">
        <w:rPr>
          <w:rFonts w:asciiTheme="minorHAnsi" w:eastAsia="Calibri" w:hAnsiTheme="minorHAnsi" w:cstheme="minorHAnsi"/>
          <w:b/>
          <w:w w:val="105"/>
        </w:rPr>
        <w:t>Valuation</w:t>
      </w:r>
      <w:r>
        <w:rPr>
          <w:rFonts w:asciiTheme="minorHAnsi" w:eastAsia="Calibri" w:hAnsiTheme="minorHAnsi" w:cstheme="minorHAnsi"/>
          <w:b/>
          <w:w w:val="105"/>
        </w:rPr>
        <w:t xml:space="preserve"> of the in-kind contribution</w:t>
      </w:r>
    </w:p>
    <w:p w14:paraId="5F4499AC" w14:textId="77777777" w:rsidR="002E44E9" w:rsidRDefault="002E44E9" w:rsidP="002E44E9">
      <w:pPr>
        <w:spacing w:after="120"/>
        <w:rPr>
          <w:rFonts w:asciiTheme="minorHAnsi" w:eastAsia="Calibri" w:hAnsiTheme="minorHAnsi" w:cstheme="minorHAnsi"/>
          <w:bCs/>
        </w:rPr>
      </w:pPr>
      <w:r>
        <w:rPr>
          <w:rFonts w:asciiTheme="minorHAnsi" w:eastAsia="Calibri" w:hAnsiTheme="minorHAnsi" w:cstheme="minorHAnsi"/>
          <w:bCs/>
        </w:rPr>
        <w:t>3.1</w:t>
      </w:r>
      <w:r>
        <w:rPr>
          <w:rFonts w:asciiTheme="minorHAnsi" w:eastAsia="Calibri" w:hAnsiTheme="minorHAnsi" w:cstheme="minorHAnsi"/>
          <w:bCs/>
        </w:rPr>
        <w:tab/>
      </w:r>
      <w:r w:rsidRPr="00887E05">
        <w:rPr>
          <w:rFonts w:asciiTheme="minorHAnsi" w:eastAsia="Calibri" w:hAnsiTheme="minorHAnsi" w:cstheme="minorHAnsi"/>
          <w:bCs/>
        </w:rPr>
        <w:t xml:space="preserve">Once in-kind contributions are accepted by </w:t>
      </w:r>
      <w:r>
        <w:rPr>
          <w:rFonts w:asciiTheme="minorHAnsi" w:eastAsia="Calibri" w:hAnsiTheme="minorHAnsi" w:cstheme="minorHAnsi"/>
          <w:bCs/>
        </w:rPr>
        <w:t>ITU</w:t>
      </w:r>
      <w:r w:rsidRPr="00887E05">
        <w:rPr>
          <w:rFonts w:asciiTheme="minorHAnsi" w:eastAsia="Calibri" w:hAnsiTheme="minorHAnsi" w:cstheme="minorHAnsi"/>
          <w:bCs/>
        </w:rPr>
        <w:t xml:space="preserve">, </w:t>
      </w:r>
      <w:r>
        <w:rPr>
          <w:rFonts w:asciiTheme="minorHAnsi" w:eastAsia="Calibri" w:hAnsiTheme="minorHAnsi" w:cstheme="minorHAnsi"/>
          <w:bCs/>
        </w:rPr>
        <w:t xml:space="preserve">the recognized </w:t>
      </w:r>
      <w:r w:rsidRPr="00887E05">
        <w:rPr>
          <w:rFonts w:asciiTheme="minorHAnsi" w:eastAsia="Calibri" w:hAnsiTheme="minorHAnsi" w:cstheme="minorHAnsi"/>
          <w:bCs/>
        </w:rPr>
        <w:t xml:space="preserve">revenue </w:t>
      </w:r>
      <w:r>
        <w:rPr>
          <w:rFonts w:asciiTheme="minorHAnsi" w:eastAsia="Calibri" w:hAnsiTheme="minorHAnsi" w:cstheme="minorHAnsi"/>
          <w:bCs/>
        </w:rPr>
        <w:t>shall be</w:t>
      </w:r>
      <w:r w:rsidRPr="00887E05">
        <w:rPr>
          <w:rFonts w:asciiTheme="minorHAnsi" w:eastAsia="Calibri" w:hAnsiTheme="minorHAnsi" w:cstheme="minorHAnsi"/>
          <w:bCs/>
        </w:rPr>
        <w:t xml:space="preserve"> recorded based upon the estimated fair market value of the </w:t>
      </w:r>
      <w:r>
        <w:rPr>
          <w:rFonts w:asciiTheme="minorHAnsi" w:eastAsia="Calibri" w:hAnsiTheme="minorHAnsi" w:cstheme="minorHAnsi"/>
          <w:bCs/>
        </w:rPr>
        <w:t>contribution</w:t>
      </w:r>
      <w:r w:rsidRPr="00887E05">
        <w:rPr>
          <w:rFonts w:asciiTheme="minorHAnsi" w:eastAsia="Calibri" w:hAnsiTheme="minorHAnsi" w:cstheme="minorHAnsi"/>
          <w:bCs/>
        </w:rPr>
        <w:t xml:space="preserve"> </w:t>
      </w:r>
      <w:r w:rsidRPr="00887E05">
        <w:rPr>
          <w:rFonts w:asciiTheme="minorHAnsi" w:hAnsiTheme="minorHAnsi" w:cstheme="minorHAnsi"/>
        </w:rPr>
        <w:t xml:space="preserve">or, in the absence of an active market, through an acceptable internal process </w:t>
      </w:r>
      <w:r>
        <w:rPr>
          <w:rFonts w:asciiTheme="minorHAnsi" w:hAnsiTheme="minorHAnsi" w:cstheme="minorHAnsi"/>
        </w:rPr>
        <w:t xml:space="preserve">or </w:t>
      </w:r>
      <w:r w:rsidRPr="00887E05">
        <w:rPr>
          <w:rFonts w:asciiTheme="minorHAnsi" w:hAnsiTheme="minorHAnsi" w:cstheme="minorHAnsi"/>
        </w:rPr>
        <w:t>independent professional appraisal</w:t>
      </w:r>
      <w:r>
        <w:rPr>
          <w:rFonts w:asciiTheme="minorHAnsi" w:hAnsiTheme="minorHAnsi" w:cstheme="minorHAnsi"/>
        </w:rPr>
        <w:t>.</w:t>
      </w:r>
      <w:r w:rsidRPr="00887E05">
        <w:rPr>
          <w:rFonts w:asciiTheme="minorHAnsi" w:hAnsiTheme="minorHAnsi" w:cstheme="minorHAnsi"/>
        </w:rPr>
        <w:t xml:space="preserve"> </w:t>
      </w:r>
      <w:r>
        <w:rPr>
          <w:rFonts w:asciiTheme="minorHAnsi" w:eastAsia="Calibri" w:hAnsiTheme="minorHAnsi" w:cstheme="minorHAnsi"/>
          <w:bCs/>
        </w:rPr>
        <w:t>The recognized revenue</w:t>
      </w:r>
      <w:r w:rsidRPr="00887E05">
        <w:rPr>
          <w:rFonts w:asciiTheme="minorHAnsi" w:eastAsia="Calibri" w:hAnsiTheme="minorHAnsi" w:cstheme="minorHAnsi"/>
          <w:bCs/>
        </w:rPr>
        <w:t xml:space="preserve"> </w:t>
      </w:r>
      <w:r>
        <w:rPr>
          <w:rFonts w:asciiTheme="minorHAnsi" w:eastAsia="Calibri" w:hAnsiTheme="minorHAnsi" w:cstheme="minorHAnsi"/>
          <w:bCs/>
        </w:rPr>
        <w:t>is</w:t>
      </w:r>
      <w:r w:rsidRPr="00887E05">
        <w:rPr>
          <w:rFonts w:asciiTheme="minorHAnsi" w:eastAsia="Calibri" w:hAnsiTheme="minorHAnsi" w:cstheme="minorHAnsi"/>
          <w:bCs/>
        </w:rPr>
        <w:t xml:space="preserve"> classified as</w:t>
      </w:r>
      <w:r>
        <w:rPr>
          <w:rFonts w:asciiTheme="minorHAnsi" w:eastAsia="Calibri" w:hAnsiTheme="minorHAnsi" w:cstheme="minorHAnsi"/>
          <w:bCs/>
        </w:rPr>
        <w:t xml:space="preserve"> an</w:t>
      </w:r>
      <w:r w:rsidRPr="00887E05">
        <w:rPr>
          <w:rFonts w:asciiTheme="minorHAnsi" w:eastAsia="Calibri" w:hAnsiTheme="minorHAnsi" w:cstheme="minorHAnsi"/>
          <w:bCs/>
        </w:rPr>
        <w:t xml:space="preserve"> in-kind </w:t>
      </w:r>
      <w:r>
        <w:rPr>
          <w:rFonts w:asciiTheme="minorHAnsi" w:eastAsia="Calibri" w:hAnsiTheme="minorHAnsi" w:cstheme="minorHAnsi"/>
          <w:bCs/>
        </w:rPr>
        <w:t>contribution</w:t>
      </w:r>
      <w:r w:rsidRPr="00887E05">
        <w:rPr>
          <w:rFonts w:asciiTheme="minorHAnsi" w:eastAsia="Calibri" w:hAnsiTheme="minorHAnsi" w:cstheme="minorHAnsi"/>
          <w:bCs/>
        </w:rPr>
        <w:t>.</w:t>
      </w:r>
    </w:p>
    <w:p w14:paraId="65C84F19" w14:textId="77777777" w:rsidR="002E44E9" w:rsidRDefault="002E44E9" w:rsidP="002E44E9">
      <w:pPr>
        <w:spacing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In kind services</w:t>
      </w:r>
    </w:p>
    <w:p w14:paraId="508F5656" w14:textId="77777777" w:rsidR="002E44E9" w:rsidRDefault="002E44E9" w:rsidP="002E44E9">
      <w:pPr>
        <w:spacing w:after="120"/>
        <w:rPr>
          <w:rFonts w:asciiTheme="minorHAnsi" w:eastAsia="Calibri" w:hAnsiTheme="minorHAnsi" w:cstheme="minorHAnsi"/>
          <w:bCs/>
        </w:rPr>
      </w:pPr>
      <w:r>
        <w:rPr>
          <w:rFonts w:asciiTheme="minorHAnsi" w:eastAsia="Calibri" w:hAnsiTheme="minorHAnsi" w:cstheme="minorHAnsi"/>
          <w:bCs/>
        </w:rPr>
        <w:t>3.2</w:t>
      </w:r>
      <w:r>
        <w:rPr>
          <w:rFonts w:asciiTheme="minorHAnsi" w:eastAsia="Calibri" w:hAnsiTheme="minorHAnsi" w:cstheme="minorHAnsi"/>
          <w:bCs/>
        </w:rPr>
        <w:tab/>
      </w:r>
      <w:proofErr w:type="gramStart"/>
      <w:r>
        <w:rPr>
          <w:rFonts w:asciiTheme="minorHAnsi" w:eastAsia="Calibri" w:hAnsiTheme="minorHAnsi" w:cstheme="minorHAnsi"/>
          <w:bCs/>
        </w:rPr>
        <w:t>Non-ITU</w:t>
      </w:r>
      <w:proofErr w:type="gramEnd"/>
      <w:r w:rsidRPr="00887E05">
        <w:rPr>
          <w:rFonts w:asciiTheme="minorHAnsi" w:eastAsia="Calibri" w:hAnsiTheme="minorHAnsi" w:cstheme="minorHAnsi"/>
          <w:bCs/>
        </w:rPr>
        <w:t xml:space="preserve"> personnel </w:t>
      </w:r>
      <w:r>
        <w:rPr>
          <w:rFonts w:asciiTheme="minorHAnsi" w:eastAsia="Calibri" w:hAnsiTheme="minorHAnsi" w:cstheme="minorHAnsi"/>
          <w:bCs/>
        </w:rPr>
        <w:t xml:space="preserve">assigned to a project </w:t>
      </w:r>
      <w:r w:rsidRPr="00887E05">
        <w:rPr>
          <w:rFonts w:asciiTheme="minorHAnsi" w:eastAsia="Calibri" w:hAnsiTheme="minorHAnsi" w:cstheme="minorHAnsi"/>
          <w:bCs/>
        </w:rPr>
        <w:t xml:space="preserve">are valued </w:t>
      </w:r>
      <w:r w:rsidRPr="00887E05">
        <w:rPr>
          <w:rFonts w:asciiTheme="minorHAnsi" w:eastAsia="Calibri" w:hAnsiTheme="minorHAnsi" w:cstheme="minorHAnsi"/>
          <w:bCs/>
        </w:rPr>
        <w:t>at the standard cost of an equivalent position within the</w:t>
      </w:r>
      <w:r>
        <w:rPr>
          <w:rFonts w:asciiTheme="minorHAnsi" w:eastAsia="Calibri" w:hAnsiTheme="minorHAnsi" w:cstheme="minorHAnsi"/>
          <w:bCs/>
        </w:rPr>
        <w:t xml:space="preserve"> Union.</w:t>
      </w:r>
      <w:r w:rsidRPr="0067259E">
        <w:rPr>
          <w:rFonts w:asciiTheme="minorHAnsi" w:eastAsia="Calibri" w:hAnsiTheme="minorHAnsi" w:cstheme="minorHAnsi"/>
          <w:bCs/>
        </w:rPr>
        <w:t xml:space="preserve"> </w:t>
      </w:r>
      <w:r w:rsidRPr="00887E05">
        <w:rPr>
          <w:rFonts w:asciiTheme="minorHAnsi" w:eastAsia="Calibri" w:hAnsiTheme="minorHAnsi" w:cstheme="minorHAnsi"/>
          <w:bCs/>
        </w:rPr>
        <w:t>Contributions of services and contributions of human resources (secondments) should be addressed in consultation with HRMD and JUR on a case-by-case basis.</w:t>
      </w:r>
    </w:p>
    <w:p w14:paraId="25EFFC6F" w14:textId="77777777" w:rsidR="002E44E9" w:rsidRDefault="002E44E9" w:rsidP="002E44E9">
      <w:pPr>
        <w:spacing w:after="120"/>
        <w:rPr>
          <w:rFonts w:asciiTheme="minorHAnsi" w:eastAsia="Calibri" w:hAnsiTheme="minorHAnsi" w:cstheme="minorHAnsi"/>
          <w:bCs/>
        </w:rPr>
      </w:pPr>
      <w:r w:rsidRPr="00990A64">
        <w:rPr>
          <w:rFonts w:asciiTheme="minorHAnsi" w:eastAsia="Calibri" w:hAnsiTheme="minorHAnsi" w:cstheme="minorHAnsi"/>
          <w:b/>
        </w:rPr>
        <w:t>-</w:t>
      </w:r>
      <w:r w:rsidRPr="00526AA7">
        <w:rPr>
          <w:rFonts w:asciiTheme="minorHAnsi" w:eastAsia="Calibri" w:hAnsiTheme="minorHAnsi" w:cstheme="minorHAnsi"/>
          <w:b/>
          <w:u w:val="single"/>
        </w:rPr>
        <w:t>Goods in</w:t>
      </w:r>
      <w:r>
        <w:rPr>
          <w:rFonts w:asciiTheme="minorHAnsi" w:eastAsia="Calibri" w:hAnsiTheme="minorHAnsi" w:cstheme="minorHAnsi"/>
          <w:b/>
          <w:u w:val="single"/>
        </w:rPr>
        <w:t>-</w:t>
      </w:r>
      <w:r w:rsidRPr="00526AA7">
        <w:rPr>
          <w:rFonts w:asciiTheme="minorHAnsi" w:eastAsia="Calibri" w:hAnsiTheme="minorHAnsi" w:cstheme="minorHAnsi"/>
          <w:b/>
          <w:u w:val="single"/>
        </w:rPr>
        <w:t>kind below the threshold of capitalization</w:t>
      </w:r>
      <w:r>
        <w:rPr>
          <w:rStyle w:val="FootnoteReference"/>
          <w:rFonts w:asciiTheme="minorHAnsi" w:eastAsia="Calibri" w:hAnsiTheme="minorHAnsi" w:cstheme="minorHAnsi"/>
          <w:b/>
          <w:u w:val="single"/>
        </w:rPr>
        <w:footnoteReference w:id="1"/>
      </w:r>
      <w:r>
        <w:rPr>
          <w:rFonts w:asciiTheme="minorHAnsi" w:eastAsia="Calibri" w:hAnsiTheme="minorHAnsi" w:cstheme="minorHAnsi"/>
          <w:bCs/>
        </w:rPr>
        <w:t xml:space="preserve"> </w:t>
      </w:r>
    </w:p>
    <w:p w14:paraId="02B3E3FA" w14:textId="77777777" w:rsidR="002E44E9" w:rsidRDefault="002E44E9" w:rsidP="002E44E9">
      <w:pPr>
        <w:spacing w:after="120"/>
        <w:rPr>
          <w:rFonts w:asciiTheme="minorHAnsi" w:hAnsiTheme="minorHAnsi" w:cstheme="minorHAnsi"/>
        </w:rPr>
      </w:pPr>
      <w:r>
        <w:rPr>
          <w:rFonts w:asciiTheme="minorHAnsi" w:hAnsiTheme="minorHAnsi" w:cstheme="minorHAnsi"/>
        </w:rPr>
        <w:t>3.3</w:t>
      </w:r>
      <w:r>
        <w:rPr>
          <w:rFonts w:asciiTheme="minorHAnsi" w:hAnsiTheme="minorHAnsi" w:cstheme="minorHAnsi"/>
        </w:rPr>
        <w:tab/>
      </w:r>
      <w:r w:rsidRPr="00887E05">
        <w:rPr>
          <w:rFonts w:asciiTheme="minorHAnsi" w:hAnsiTheme="minorHAnsi" w:cstheme="minorHAnsi"/>
        </w:rPr>
        <w:t>Contributions</w:t>
      </w:r>
      <w:r>
        <w:rPr>
          <w:rFonts w:asciiTheme="minorHAnsi" w:hAnsiTheme="minorHAnsi" w:cstheme="minorHAnsi"/>
        </w:rPr>
        <w:t xml:space="preserve"> of goods or equipment</w:t>
      </w:r>
      <w:r w:rsidRPr="00887E05">
        <w:rPr>
          <w:rFonts w:asciiTheme="minorHAnsi" w:hAnsiTheme="minorHAnsi" w:cstheme="minorHAnsi"/>
        </w:rPr>
        <w:t xml:space="preserve"> </w:t>
      </w:r>
      <w:r>
        <w:rPr>
          <w:rFonts w:asciiTheme="minorHAnsi" w:hAnsiTheme="minorHAnsi" w:cstheme="minorHAnsi"/>
        </w:rPr>
        <w:t xml:space="preserve">and services </w:t>
      </w:r>
      <w:r w:rsidRPr="00887E05">
        <w:rPr>
          <w:rFonts w:asciiTheme="minorHAnsi" w:hAnsiTheme="minorHAnsi" w:cstheme="minorHAnsi"/>
        </w:rPr>
        <w:t xml:space="preserve">in-kind are recorded at an amount equal to their fair market value as determined at the time of </w:t>
      </w:r>
      <w:r>
        <w:rPr>
          <w:rFonts w:asciiTheme="minorHAnsi" w:hAnsiTheme="minorHAnsi" w:cstheme="minorHAnsi"/>
        </w:rPr>
        <w:t xml:space="preserve">donation </w:t>
      </w:r>
      <w:r w:rsidRPr="00887E05">
        <w:rPr>
          <w:rFonts w:asciiTheme="minorHAnsi" w:hAnsiTheme="minorHAnsi" w:cstheme="minorHAnsi"/>
        </w:rPr>
        <w:t xml:space="preserve">based on an agreement between ITU and the contributor and upon confirmation </w:t>
      </w:r>
      <w:r>
        <w:rPr>
          <w:rFonts w:asciiTheme="minorHAnsi" w:hAnsiTheme="minorHAnsi" w:cstheme="minorHAnsi"/>
        </w:rPr>
        <w:t xml:space="preserve">of </w:t>
      </w:r>
      <w:r w:rsidRPr="00887E05">
        <w:rPr>
          <w:rFonts w:asciiTheme="minorHAnsi" w:hAnsiTheme="minorHAnsi" w:cstheme="minorHAnsi"/>
        </w:rPr>
        <w:t>recei</w:t>
      </w:r>
      <w:r>
        <w:rPr>
          <w:rFonts w:asciiTheme="minorHAnsi" w:hAnsiTheme="minorHAnsi" w:cstheme="minorHAnsi"/>
        </w:rPr>
        <w:t>pt</w:t>
      </w:r>
      <w:r w:rsidRPr="00887E05">
        <w:rPr>
          <w:rFonts w:asciiTheme="minorHAnsi" w:hAnsiTheme="minorHAnsi" w:cstheme="minorHAnsi"/>
        </w:rPr>
        <w:t xml:space="preserve"> of the goods</w:t>
      </w:r>
      <w:r>
        <w:rPr>
          <w:rFonts w:asciiTheme="minorHAnsi" w:hAnsiTheme="minorHAnsi" w:cstheme="minorHAnsi"/>
        </w:rPr>
        <w:t>/equipment/services</w:t>
      </w:r>
      <w:r w:rsidRPr="00887E05">
        <w:rPr>
          <w:rFonts w:asciiTheme="minorHAnsi" w:hAnsiTheme="minorHAnsi" w:cstheme="minorHAnsi"/>
        </w:rPr>
        <w:t>.</w:t>
      </w:r>
    </w:p>
    <w:p w14:paraId="4A3DA365" w14:textId="77777777" w:rsidR="002E44E9" w:rsidRPr="00344377" w:rsidRDefault="002E44E9" w:rsidP="002E44E9">
      <w:pPr>
        <w:spacing w:after="120"/>
        <w:rPr>
          <w:rFonts w:asciiTheme="minorHAnsi" w:hAnsiTheme="minorHAnsi" w:cstheme="minorHAnsi"/>
          <w:sz w:val="22"/>
          <w:szCs w:val="22"/>
        </w:rPr>
      </w:pPr>
      <w:r w:rsidRPr="00E45795">
        <w:rPr>
          <w:rFonts w:asciiTheme="minorHAnsi" w:hAnsiTheme="minorHAnsi" w:cstheme="minorHAnsi"/>
        </w:rPr>
        <w:t>3.4</w:t>
      </w:r>
      <w:r w:rsidRPr="00E45795">
        <w:rPr>
          <w:rFonts w:asciiTheme="minorHAnsi" w:hAnsiTheme="minorHAnsi" w:cstheme="minorHAnsi"/>
        </w:rPr>
        <w:tab/>
      </w:r>
      <w:r w:rsidRPr="00344377">
        <w:rPr>
          <w:rFonts w:asciiTheme="minorHAnsi" w:hAnsiTheme="minorHAnsi" w:cstheme="minorHAnsi"/>
        </w:rPr>
        <w:t xml:space="preserve">In the absence of an active market, the </w:t>
      </w:r>
      <w:r>
        <w:rPr>
          <w:rFonts w:asciiTheme="minorHAnsi" w:hAnsiTheme="minorHAnsi" w:cstheme="minorHAnsi"/>
        </w:rPr>
        <w:t>determination of the value to be recorded in the ITU financial statements</w:t>
      </w:r>
      <w:r w:rsidRPr="00344377">
        <w:rPr>
          <w:rFonts w:asciiTheme="minorHAnsi" w:hAnsiTheme="minorHAnsi" w:cstheme="minorHAnsi"/>
        </w:rPr>
        <w:t xml:space="preserve"> is done by</w:t>
      </w:r>
      <w:r>
        <w:rPr>
          <w:rFonts w:asciiTheme="minorHAnsi" w:hAnsiTheme="minorHAnsi" w:cstheme="minorHAnsi"/>
        </w:rPr>
        <w:t xml:space="preserve"> the project manager in consultation with</w:t>
      </w:r>
      <w:r w:rsidRPr="00344377">
        <w:rPr>
          <w:rFonts w:asciiTheme="minorHAnsi" w:hAnsiTheme="minorHAnsi" w:cstheme="minorHAnsi"/>
        </w:rPr>
        <w:t xml:space="preserve"> the Financ</w:t>
      </w:r>
      <w:r>
        <w:rPr>
          <w:rFonts w:asciiTheme="minorHAnsi" w:hAnsiTheme="minorHAnsi" w:cstheme="minorHAnsi"/>
        </w:rPr>
        <w:t>ial</w:t>
      </w:r>
      <w:r w:rsidRPr="00344377">
        <w:rPr>
          <w:rFonts w:asciiTheme="minorHAnsi" w:hAnsiTheme="minorHAnsi" w:cstheme="minorHAnsi"/>
        </w:rPr>
        <w:t xml:space="preserve"> Resource</w:t>
      </w:r>
      <w:r>
        <w:rPr>
          <w:rFonts w:asciiTheme="minorHAnsi" w:hAnsiTheme="minorHAnsi" w:cstheme="minorHAnsi"/>
        </w:rPr>
        <w:t>s</w:t>
      </w:r>
      <w:r w:rsidRPr="00344377">
        <w:rPr>
          <w:rFonts w:asciiTheme="minorHAnsi" w:hAnsiTheme="minorHAnsi" w:cstheme="minorHAnsi"/>
        </w:rPr>
        <w:t xml:space="preserve"> Management </w:t>
      </w:r>
      <w:r>
        <w:rPr>
          <w:rFonts w:asciiTheme="minorHAnsi" w:hAnsiTheme="minorHAnsi" w:cstheme="minorHAnsi"/>
        </w:rPr>
        <w:t>Department (FRMD)</w:t>
      </w:r>
      <w:r w:rsidRPr="00344377">
        <w:rPr>
          <w:rFonts w:asciiTheme="minorHAnsi" w:hAnsiTheme="minorHAnsi" w:cstheme="minorHAnsi"/>
        </w:rPr>
        <w:t xml:space="preserve">. </w:t>
      </w:r>
    </w:p>
    <w:p w14:paraId="39B22EAA" w14:textId="77777777" w:rsidR="002E44E9" w:rsidRDefault="002E44E9" w:rsidP="002E44E9">
      <w:pPr>
        <w:spacing w:after="120"/>
        <w:rPr>
          <w:rFonts w:asciiTheme="minorHAnsi" w:hAnsiTheme="minorHAnsi" w:cstheme="minorHAnsi"/>
        </w:rPr>
      </w:pPr>
      <w:r>
        <w:rPr>
          <w:rFonts w:asciiTheme="minorHAnsi" w:hAnsiTheme="minorHAnsi" w:cstheme="minorHAnsi"/>
        </w:rPr>
        <w:t>3.5</w:t>
      </w:r>
      <w:r>
        <w:rPr>
          <w:rFonts w:asciiTheme="minorHAnsi" w:hAnsiTheme="minorHAnsi" w:cstheme="minorHAnsi"/>
        </w:rPr>
        <w:tab/>
        <w:t>In-kind contributions will be treated following the relevant IPSAS accounting standard.</w:t>
      </w:r>
    </w:p>
    <w:p w14:paraId="03B4F97E" w14:textId="77777777" w:rsidR="002E44E9" w:rsidRDefault="002E44E9" w:rsidP="002E44E9">
      <w:pPr>
        <w:spacing w:after="120"/>
        <w:rPr>
          <w:rFonts w:asciiTheme="minorHAnsi" w:eastAsia="Calibri" w:hAnsiTheme="minorHAnsi" w:cstheme="minorHAnsi"/>
          <w:bCs/>
        </w:rPr>
      </w:pPr>
      <w:r>
        <w:rPr>
          <w:rFonts w:asciiTheme="minorHAnsi" w:eastAsia="Calibri" w:hAnsiTheme="minorHAnsi" w:cstheme="minorHAnsi"/>
          <w:bCs/>
        </w:rPr>
        <w:t>3.6</w:t>
      </w:r>
      <w:r>
        <w:rPr>
          <w:rFonts w:asciiTheme="minorHAnsi" w:eastAsia="Calibri" w:hAnsiTheme="minorHAnsi" w:cstheme="minorHAnsi"/>
          <w:bCs/>
        </w:rPr>
        <w:tab/>
      </w:r>
      <w:r w:rsidRPr="00887E05">
        <w:rPr>
          <w:rFonts w:asciiTheme="minorHAnsi" w:eastAsia="Calibri" w:hAnsiTheme="minorHAnsi" w:cstheme="minorHAnsi"/>
          <w:bCs/>
        </w:rPr>
        <w:t>If a contribution in</w:t>
      </w:r>
      <w:r>
        <w:rPr>
          <w:rFonts w:asciiTheme="minorHAnsi" w:eastAsia="Calibri" w:hAnsiTheme="minorHAnsi" w:cstheme="minorHAnsi"/>
          <w:bCs/>
        </w:rPr>
        <w:t>-</w:t>
      </w:r>
      <w:r w:rsidRPr="00887E05">
        <w:rPr>
          <w:rFonts w:asciiTheme="minorHAnsi" w:eastAsia="Calibri" w:hAnsiTheme="minorHAnsi" w:cstheme="minorHAnsi"/>
          <w:bCs/>
        </w:rPr>
        <w:t xml:space="preserve">kind can be accepted, </w:t>
      </w:r>
      <w:r>
        <w:rPr>
          <w:rFonts w:asciiTheme="minorHAnsi" w:eastAsia="Calibri" w:hAnsiTheme="minorHAnsi" w:cstheme="minorHAnsi"/>
          <w:bCs/>
        </w:rPr>
        <w:t xml:space="preserve">the Bureaux </w:t>
      </w:r>
      <w:r w:rsidRPr="00887E05">
        <w:rPr>
          <w:rFonts w:asciiTheme="minorHAnsi" w:eastAsia="Calibri" w:hAnsiTheme="minorHAnsi" w:cstheme="minorHAnsi"/>
          <w:bCs/>
        </w:rPr>
        <w:t xml:space="preserve">and </w:t>
      </w:r>
      <w:r>
        <w:rPr>
          <w:rFonts w:asciiTheme="minorHAnsi" w:eastAsia="Calibri" w:hAnsiTheme="minorHAnsi" w:cstheme="minorHAnsi"/>
          <w:bCs/>
        </w:rPr>
        <w:t xml:space="preserve">the </w:t>
      </w:r>
      <w:r w:rsidRPr="00887E05">
        <w:rPr>
          <w:rFonts w:asciiTheme="minorHAnsi" w:eastAsia="Calibri" w:hAnsiTheme="minorHAnsi" w:cstheme="minorHAnsi"/>
          <w:bCs/>
        </w:rPr>
        <w:t xml:space="preserve">General Secretariat departments are responsible for ensuring that adequate arrangements are made for storage (if necessary) and </w:t>
      </w:r>
      <w:r w:rsidRPr="00E82254">
        <w:rPr>
          <w:rFonts w:asciiTheme="minorHAnsi" w:eastAsia="Calibri" w:hAnsiTheme="minorHAnsi" w:cstheme="minorHAnsi"/>
          <w:bCs/>
        </w:rPr>
        <w:t>transportation.</w:t>
      </w:r>
    </w:p>
    <w:p w14:paraId="50D4000F" w14:textId="77777777" w:rsidR="002E44E9" w:rsidRPr="00887E05" w:rsidRDefault="002E44E9" w:rsidP="002E44E9">
      <w:pPr>
        <w:spacing w:after="120"/>
        <w:rPr>
          <w:rFonts w:asciiTheme="minorHAnsi" w:eastAsia="Calibri" w:hAnsiTheme="minorHAnsi" w:cstheme="minorHAnsi"/>
          <w:bCs/>
        </w:rPr>
      </w:pPr>
      <w:r>
        <w:rPr>
          <w:rFonts w:asciiTheme="minorHAnsi" w:eastAsia="Calibri" w:hAnsiTheme="minorHAnsi" w:cstheme="minorHAnsi"/>
          <w:bCs/>
        </w:rPr>
        <w:t>3.7</w:t>
      </w:r>
      <w:r>
        <w:rPr>
          <w:rFonts w:asciiTheme="minorHAnsi" w:eastAsia="Calibri" w:hAnsiTheme="minorHAnsi" w:cstheme="minorHAnsi"/>
          <w:bCs/>
        </w:rPr>
        <w:tab/>
        <w:t xml:space="preserve">The Bureaux </w:t>
      </w:r>
      <w:r w:rsidRPr="00887E05">
        <w:rPr>
          <w:rFonts w:asciiTheme="minorHAnsi" w:eastAsia="Calibri" w:hAnsiTheme="minorHAnsi" w:cstheme="minorHAnsi"/>
          <w:bCs/>
        </w:rPr>
        <w:t xml:space="preserve">and </w:t>
      </w:r>
      <w:r>
        <w:rPr>
          <w:rFonts w:asciiTheme="minorHAnsi" w:eastAsia="Calibri" w:hAnsiTheme="minorHAnsi" w:cstheme="minorHAnsi"/>
          <w:bCs/>
        </w:rPr>
        <w:t xml:space="preserve">the </w:t>
      </w:r>
      <w:r w:rsidRPr="00887E05">
        <w:rPr>
          <w:rFonts w:asciiTheme="minorHAnsi" w:eastAsia="Calibri" w:hAnsiTheme="minorHAnsi" w:cstheme="minorHAnsi"/>
          <w:bCs/>
        </w:rPr>
        <w:t>General Secretariat departments are also responsible for ensuring that the necessary funds are available to manage the</w:t>
      </w:r>
      <w:r>
        <w:rPr>
          <w:rFonts w:asciiTheme="minorHAnsi" w:eastAsia="Calibri" w:hAnsiTheme="minorHAnsi" w:cstheme="minorHAnsi"/>
          <w:bCs/>
        </w:rPr>
        <w:t xml:space="preserve"> costs of the</w:t>
      </w:r>
      <w:r w:rsidRPr="00887E05">
        <w:rPr>
          <w:rFonts w:asciiTheme="minorHAnsi" w:eastAsia="Calibri" w:hAnsiTheme="minorHAnsi" w:cstheme="minorHAnsi"/>
          <w:bCs/>
        </w:rPr>
        <w:t xml:space="preserve"> contribution in</w:t>
      </w:r>
      <w:r>
        <w:rPr>
          <w:rFonts w:asciiTheme="minorHAnsi" w:eastAsia="Calibri" w:hAnsiTheme="minorHAnsi" w:cstheme="minorHAnsi"/>
          <w:bCs/>
        </w:rPr>
        <w:t>-</w:t>
      </w:r>
      <w:r w:rsidRPr="00887E05">
        <w:rPr>
          <w:rFonts w:asciiTheme="minorHAnsi" w:eastAsia="Calibri" w:hAnsiTheme="minorHAnsi" w:cstheme="minorHAnsi"/>
          <w:bCs/>
        </w:rPr>
        <w:t xml:space="preserve">kind (including for example, to cover the cost of transportation and insurance, assistance to recipient countries, etc.). </w:t>
      </w:r>
      <w:r>
        <w:rPr>
          <w:rFonts w:asciiTheme="minorHAnsi" w:eastAsia="Calibri" w:hAnsiTheme="minorHAnsi" w:cstheme="minorHAnsi"/>
          <w:bCs/>
        </w:rPr>
        <w:t xml:space="preserve"> </w:t>
      </w:r>
      <w:r w:rsidRPr="00887E05">
        <w:rPr>
          <w:rFonts w:asciiTheme="minorHAnsi" w:eastAsia="Calibri" w:hAnsiTheme="minorHAnsi" w:cstheme="minorHAnsi"/>
          <w:bCs/>
        </w:rPr>
        <w:t xml:space="preserve">If no such funds are available, such funds should be secured in </w:t>
      </w:r>
      <w:r w:rsidRPr="00887E05">
        <w:rPr>
          <w:rFonts w:asciiTheme="minorHAnsi" w:eastAsia="Calibri" w:hAnsiTheme="minorHAnsi" w:cstheme="minorHAnsi"/>
          <w:bCs/>
        </w:rPr>
        <w:lastRenderedPageBreak/>
        <w:t>advance of the acceptance of the donation in kind (i.e., either from the entity making the donation in</w:t>
      </w:r>
      <w:r>
        <w:rPr>
          <w:rFonts w:asciiTheme="minorHAnsi" w:eastAsia="Calibri" w:hAnsiTheme="minorHAnsi" w:cstheme="minorHAnsi"/>
          <w:bCs/>
        </w:rPr>
        <w:t>-</w:t>
      </w:r>
      <w:r w:rsidRPr="00887E05">
        <w:rPr>
          <w:rFonts w:asciiTheme="minorHAnsi" w:eastAsia="Calibri" w:hAnsiTheme="minorHAnsi" w:cstheme="minorHAnsi"/>
          <w:bCs/>
        </w:rPr>
        <w:t>kind or from another source).</w:t>
      </w:r>
    </w:p>
    <w:p w14:paraId="70131C82" w14:textId="77777777" w:rsidR="002E44E9" w:rsidRDefault="002E44E9" w:rsidP="002E44E9">
      <w:pPr>
        <w:spacing w:after="120"/>
        <w:rPr>
          <w:rFonts w:asciiTheme="minorHAnsi" w:eastAsia="Calibri" w:hAnsiTheme="minorHAnsi" w:cstheme="minorHAnsi"/>
          <w:b/>
        </w:rPr>
      </w:pPr>
      <w:r w:rsidRPr="008F1DA0">
        <w:rPr>
          <w:rFonts w:asciiTheme="minorHAnsi" w:eastAsia="Calibri" w:hAnsiTheme="minorHAnsi" w:cstheme="minorHAnsi"/>
          <w:b/>
        </w:rPr>
        <w:t>-</w:t>
      </w:r>
      <w:bookmarkStart w:id="11" w:name="_Hlk71106113"/>
      <w:r w:rsidRPr="00526AA7">
        <w:rPr>
          <w:rFonts w:asciiTheme="minorHAnsi" w:eastAsia="Calibri" w:hAnsiTheme="minorHAnsi" w:cstheme="minorHAnsi"/>
          <w:b/>
          <w:u w:val="single"/>
        </w:rPr>
        <w:t>Goods in</w:t>
      </w:r>
      <w:r>
        <w:rPr>
          <w:rFonts w:asciiTheme="minorHAnsi" w:eastAsia="Calibri" w:hAnsiTheme="minorHAnsi" w:cstheme="minorHAnsi"/>
          <w:b/>
          <w:u w:val="single"/>
        </w:rPr>
        <w:t>-</w:t>
      </w:r>
      <w:r w:rsidRPr="00526AA7">
        <w:rPr>
          <w:rFonts w:asciiTheme="minorHAnsi" w:eastAsia="Calibri" w:hAnsiTheme="minorHAnsi" w:cstheme="minorHAnsi"/>
          <w:b/>
          <w:u w:val="single"/>
        </w:rPr>
        <w:t>kind above the threshold of capitalization</w:t>
      </w:r>
      <w:bookmarkEnd w:id="11"/>
    </w:p>
    <w:p w14:paraId="283997FF" w14:textId="77777777" w:rsidR="002E44E9" w:rsidRDefault="002E44E9" w:rsidP="002E44E9">
      <w:pPr>
        <w:spacing w:after="120"/>
        <w:rPr>
          <w:rFonts w:asciiTheme="minorHAnsi" w:hAnsiTheme="minorHAnsi" w:cstheme="minorHAnsi"/>
        </w:rPr>
      </w:pPr>
      <w:r>
        <w:rPr>
          <w:rFonts w:asciiTheme="minorHAnsi" w:hAnsiTheme="minorHAnsi" w:cstheme="minorHAnsi"/>
        </w:rPr>
        <w:t>3.8</w:t>
      </w:r>
      <w:r>
        <w:rPr>
          <w:rFonts w:asciiTheme="minorHAnsi" w:hAnsiTheme="minorHAnsi" w:cstheme="minorHAnsi"/>
        </w:rPr>
        <w:tab/>
        <w:t>Contributions of g</w:t>
      </w:r>
      <w:r w:rsidRPr="00887E05">
        <w:rPr>
          <w:rFonts w:asciiTheme="minorHAnsi" w:hAnsiTheme="minorHAnsi" w:cstheme="minorHAnsi"/>
        </w:rPr>
        <w:t>oods in</w:t>
      </w:r>
      <w:r>
        <w:rPr>
          <w:rFonts w:asciiTheme="minorHAnsi" w:hAnsiTheme="minorHAnsi" w:cstheme="minorHAnsi"/>
        </w:rPr>
        <w:t>-</w:t>
      </w:r>
      <w:r w:rsidRPr="00887E05">
        <w:rPr>
          <w:rFonts w:asciiTheme="minorHAnsi" w:hAnsiTheme="minorHAnsi" w:cstheme="minorHAnsi"/>
        </w:rPr>
        <w:t>kind</w:t>
      </w:r>
      <w:r>
        <w:rPr>
          <w:rFonts w:asciiTheme="minorHAnsi" w:hAnsiTheme="minorHAnsi" w:cstheme="minorHAnsi"/>
        </w:rPr>
        <w:t xml:space="preserve"> (including </w:t>
      </w:r>
      <w:r w:rsidRPr="00887E05">
        <w:rPr>
          <w:rFonts w:asciiTheme="minorHAnsi" w:hAnsiTheme="minorHAnsi" w:cstheme="minorHAnsi"/>
        </w:rPr>
        <w:t>tangible assets, such as equipment, land or buildings, and intangible assets, such as software</w:t>
      </w:r>
      <w:r>
        <w:rPr>
          <w:rFonts w:asciiTheme="minorHAnsi" w:hAnsiTheme="minorHAnsi" w:cstheme="minorHAnsi"/>
        </w:rPr>
        <w:t>)</w:t>
      </w:r>
      <w:r w:rsidRPr="00887E05">
        <w:rPr>
          <w:rFonts w:asciiTheme="minorHAnsi" w:hAnsiTheme="minorHAnsi" w:cstheme="minorHAnsi"/>
        </w:rPr>
        <w:t xml:space="preserve"> that meet the threshold for capitalization are recognized at fair value at the date of receipt.</w:t>
      </w:r>
    </w:p>
    <w:p w14:paraId="4488D359" w14:textId="77777777" w:rsidR="002E44E9" w:rsidRDefault="002E44E9" w:rsidP="002E44E9">
      <w:pPr>
        <w:spacing w:after="120"/>
        <w:rPr>
          <w:rFonts w:asciiTheme="minorHAnsi" w:hAnsiTheme="minorHAnsi" w:cstheme="minorHAnsi"/>
        </w:rPr>
      </w:pPr>
      <w:r>
        <w:rPr>
          <w:rFonts w:asciiTheme="minorHAnsi" w:hAnsiTheme="minorHAnsi" w:cstheme="minorHAnsi"/>
        </w:rPr>
        <w:t>3.9</w:t>
      </w:r>
      <w:r>
        <w:rPr>
          <w:rFonts w:asciiTheme="minorHAnsi" w:hAnsiTheme="minorHAnsi" w:cstheme="minorHAnsi"/>
        </w:rPr>
        <w:tab/>
      </w:r>
      <w:r w:rsidRPr="00434DA3">
        <w:rPr>
          <w:rFonts w:asciiTheme="minorHAnsi" w:hAnsiTheme="minorHAnsi" w:cstheme="minorHAnsi"/>
        </w:rPr>
        <w:t xml:space="preserve">In the absence of an active market, </w:t>
      </w:r>
      <w:r>
        <w:rPr>
          <w:rFonts w:asciiTheme="minorHAnsi" w:hAnsiTheme="minorHAnsi" w:cstheme="minorHAnsi"/>
        </w:rPr>
        <w:t>a</w:t>
      </w:r>
      <w:r w:rsidRPr="00434DA3">
        <w:rPr>
          <w:rFonts w:asciiTheme="minorHAnsi" w:hAnsiTheme="minorHAnsi" w:cstheme="minorHAnsi"/>
        </w:rPr>
        <w:t xml:space="preserve">bove the preset threshold, the appraisal is done </w:t>
      </w:r>
      <w:r w:rsidRPr="00BE63AF">
        <w:rPr>
          <w:rFonts w:asciiTheme="minorHAnsi" w:hAnsiTheme="minorHAnsi" w:cstheme="minorHAnsi"/>
        </w:rPr>
        <w:t>by an independent appraisal professional</w:t>
      </w:r>
      <w:r w:rsidRPr="005A6F9D">
        <w:rPr>
          <w:rFonts w:asciiTheme="minorHAnsi" w:hAnsiTheme="minorHAnsi" w:cstheme="minorHAnsi"/>
        </w:rPr>
        <w:t xml:space="preserve"> </w:t>
      </w:r>
      <w:r w:rsidRPr="00434DA3">
        <w:rPr>
          <w:rFonts w:asciiTheme="minorHAnsi" w:hAnsiTheme="minorHAnsi" w:cstheme="minorHAnsi"/>
        </w:rPr>
        <w:t xml:space="preserve">following the receipt of the </w:t>
      </w:r>
      <w:r>
        <w:rPr>
          <w:rFonts w:asciiTheme="minorHAnsi" w:hAnsiTheme="minorHAnsi" w:cstheme="minorHAnsi"/>
        </w:rPr>
        <w:t>in-kind contribution</w:t>
      </w:r>
      <w:r w:rsidRPr="00434DA3">
        <w:rPr>
          <w:rFonts w:asciiTheme="minorHAnsi" w:hAnsiTheme="minorHAnsi" w:cstheme="minorHAnsi"/>
        </w:rPr>
        <w:t xml:space="preserve"> offer.</w:t>
      </w:r>
    </w:p>
    <w:p w14:paraId="5020E2A2" w14:textId="77777777" w:rsidR="002E44E9" w:rsidRPr="00434DA3" w:rsidRDefault="002E44E9" w:rsidP="002E44E9">
      <w:pPr>
        <w:spacing w:after="120"/>
        <w:rPr>
          <w:rFonts w:asciiTheme="minorHAnsi" w:hAnsiTheme="minorHAnsi" w:cstheme="minorHAnsi"/>
          <w:sz w:val="22"/>
          <w:szCs w:val="22"/>
        </w:rPr>
      </w:pPr>
      <w:r w:rsidRPr="00E82254">
        <w:rPr>
          <w:rFonts w:asciiTheme="minorHAnsi" w:hAnsiTheme="minorHAnsi" w:cstheme="minorHAnsi"/>
        </w:rPr>
        <w:t>3.10</w:t>
      </w:r>
      <w:r w:rsidRPr="00E82254">
        <w:rPr>
          <w:rFonts w:asciiTheme="minorHAnsi" w:hAnsiTheme="minorHAnsi" w:cstheme="minorHAnsi"/>
        </w:rPr>
        <w:tab/>
        <w:t>Any</w:t>
      </w:r>
      <w:r w:rsidRPr="00434DA3">
        <w:rPr>
          <w:rFonts w:asciiTheme="minorHAnsi" w:hAnsiTheme="minorHAnsi" w:cstheme="minorHAnsi"/>
        </w:rPr>
        <w:t xml:space="preserve"> contribution in-kind of</w:t>
      </w:r>
      <w:r w:rsidRPr="00E82254">
        <w:rPr>
          <w:rFonts w:asciiTheme="minorHAnsi" w:hAnsiTheme="minorHAnsi" w:cstheme="minorHAnsi"/>
        </w:rPr>
        <w:t xml:space="preserve"> goods</w:t>
      </w:r>
      <w:r w:rsidRPr="00434DA3">
        <w:rPr>
          <w:rFonts w:asciiTheme="minorHAnsi" w:hAnsiTheme="minorHAnsi" w:cstheme="minorHAnsi"/>
        </w:rPr>
        <w:t xml:space="preserve"> or services</w:t>
      </w:r>
      <w:r w:rsidRPr="00E82254">
        <w:rPr>
          <w:rFonts w:asciiTheme="minorHAnsi" w:hAnsiTheme="minorHAnsi" w:cstheme="minorHAnsi"/>
        </w:rPr>
        <w:t xml:space="preserve"> above the threshold for a project will be recorded in line with S</w:t>
      </w:r>
      <w:r>
        <w:rPr>
          <w:rFonts w:asciiTheme="minorHAnsi" w:hAnsiTheme="minorHAnsi" w:cstheme="minorHAnsi"/>
        </w:rPr>
        <w:t>ervice Order No. 21/05 – Guidelines for procurement of assets.</w:t>
      </w:r>
    </w:p>
    <w:p w14:paraId="18A350DF" w14:textId="77777777" w:rsidR="002E44E9" w:rsidRPr="00887E05" w:rsidRDefault="002E44E9" w:rsidP="002E44E9">
      <w:pPr>
        <w:spacing w:before="360" w:after="120"/>
        <w:rPr>
          <w:rFonts w:asciiTheme="minorHAnsi" w:hAnsiTheme="minorHAnsi" w:cstheme="minorHAnsi"/>
          <w:b/>
          <w:bCs/>
        </w:rPr>
      </w:pPr>
      <w:r w:rsidRPr="00887E05">
        <w:rPr>
          <w:rFonts w:asciiTheme="minorHAnsi" w:hAnsiTheme="minorHAnsi" w:cstheme="minorHAnsi"/>
          <w:b/>
          <w:bCs/>
        </w:rPr>
        <w:t>IV</w:t>
      </w:r>
      <w:r w:rsidRPr="00887E05">
        <w:rPr>
          <w:rFonts w:asciiTheme="minorHAnsi" w:hAnsiTheme="minorHAnsi" w:cstheme="minorHAnsi"/>
          <w:b/>
          <w:bCs/>
        </w:rPr>
        <w:tab/>
        <w:t>Reporting</w:t>
      </w:r>
    </w:p>
    <w:p w14:paraId="4C6243B1" w14:textId="77777777" w:rsidR="002E44E9" w:rsidRDefault="002E44E9" w:rsidP="002E44E9">
      <w:pPr>
        <w:spacing w:after="120"/>
        <w:rPr>
          <w:rFonts w:asciiTheme="minorHAnsi" w:eastAsia="Calibri" w:hAnsiTheme="minorHAnsi" w:cstheme="minorHAnsi"/>
          <w:bCs/>
          <w:w w:val="105"/>
        </w:rPr>
      </w:pPr>
      <w:r>
        <w:rPr>
          <w:rFonts w:asciiTheme="minorHAnsi" w:eastAsia="Calibri" w:hAnsiTheme="minorHAnsi" w:cstheme="minorHAnsi"/>
          <w:bCs/>
          <w:w w:val="105"/>
        </w:rPr>
        <w:t>4.1</w:t>
      </w:r>
      <w:r>
        <w:rPr>
          <w:rFonts w:asciiTheme="minorHAnsi" w:eastAsia="Calibri" w:hAnsiTheme="minorHAnsi" w:cstheme="minorHAnsi"/>
          <w:bCs/>
          <w:w w:val="105"/>
        </w:rPr>
        <w:tab/>
      </w:r>
      <w:r w:rsidRPr="00887E05">
        <w:rPr>
          <w:rFonts w:asciiTheme="minorHAnsi" w:eastAsia="Calibri" w:hAnsiTheme="minorHAnsi" w:cstheme="minorHAnsi"/>
          <w:bCs/>
          <w:w w:val="105"/>
        </w:rPr>
        <w:t xml:space="preserve">In-kind contributions are reported in the ITU Financial </w:t>
      </w:r>
      <w:r>
        <w:rPr>
          <w:rFonts w:asciiTheme="minorHAnsi" w:eastAsia="Calibri" w:hAnsiTheme="minorHAnsi" w:cstheme="minorHAnsi"/>
          <w:bCs/>
          <w:w w:val="105"/>
        </w:rPr>
        <w:t>Operating</w:t>
      </w:r>
      <w:r w:rsidRPr="00887E05">
        <w:rPr>
          <w:rFonts w:asciiTheme="minorHAnsi" w:eastAsia="Calibri" w:hAnsiTheme="minorHAnsi" w:cstheme="minorHAnsi"/>
          <w:bCs/>
          <w:w w:val="105"/>
        </w:rPr>
        <w:t xml:space="preserve"> Report and contributions are detailed by </w:t>
      </w:r>
      <w:r>
        <w:rPr>
          <w:rFonts w:asciiTheme="minorHAnsi" w:eastAsia="Calibri" w:hAnsiTheme="minorHAnsi" w:cstheme="minorHAnsi"/>
          <w:bCs/>
          <w:w w:val="105"/>
        </w:rPr>
        <w:t xml:space="preserve">the </w:t>
      </w:r>
      <w:r w:rsidRPr="00887E05">
        <w:rPr>
          <w:rFonts w:asciiTheme="minorHAnsi" w:eastAsia="Calibri" w:hAnsiTheme="minorHAnsi" w:cstheme="minorHAnsi"/>
          <w:bCs/>
          <w:w w:val="105"/>
        </w:rPr>
        <w:t xml:space="preserve">donor in the Annex to the Financial </w:t>
      </w:r>
      <w:r>
        <w:rPr>
          <w:rFonts w:asciiTheme="minorHAnsi" w:eastAsia="Calibri" w:hAnsiTheme="minorHAnsi" w:cstheme="minorHAnsi"/>
          <w:bCs/>
          <w:w w:val="105"/>
        </w:rPr>
        <w:t>Operating</w:t>
      </w:r>
      <w:r w:rsidRPr="00887E05">
        <w:rPr>
          <w:rFonts w:asciiTheme="minorHAnsi" w:eastAsia="Calibri" w:hAnsiTheme="minorHAnsi" w:cstheme="minorHAnsi"/>
          <w:bCs/>
          <w:w w:val="105"/>
        </w:rPr>
        <w:t xml:space="preserve"> Report.</w:t>
      </w:r>
    </w:p>
    <w:p w14:paraId="70CBBE7B" w14:textId="77777777" w:rsidR="002E44E9" w:rsidRPr="001F3F8F" w:rsidRDefault="002E44E9" w:rsidP="002E44E9">
      <w:pPr>
        <w:spacing w:after="120"/>
        <w:rPr>
          <w:rFonts w:asciiTheme="minorHAnsi" w:hAnsiTheme="minorHAnsi" w:cstheme="minorHAnsi"/>
          <w:i/>
        </w:rPr>
      </w:pPr>
      <w:r w:rsidRPr="00FC6904">
        <w:rPr>
          <w:rFonts w:asciiTheme="minorHAnsi" w:hAnsiTheme="minorHAnsi" w:cstheme="minorHAnsi"/>
          <w:iCs/>
        </w:rPr>
        <w:t>4.2</w:t>
      </w:r>
      <w:r>
        <w:rPr>
          <w:rFonts w:asciiTheme="minorHAnsi" w:hAnsiTheme="minorHAnsi" w:cstheme="minorHAnsi"/>
          <w:i/>
        </w:rPr>
        <w:tab/>
      </w:r>
      <w:r w:rsidRPr="00457852">
        <w:rPr>
          <w:rFonts w:asciiTheme="minorHAnsi" w:hAnsiTheme="minorHAnsi" w:cstheme="minorHAnsi"/>
          <w:i/>
        </w:rPr>
        <w:t>As per ITU’s accounting policy, disclosed in the notes to the Financial Statements:</w:t>
      </w:r>
      <w:r w:rsidRPr="001F3F8F">
        <w:rPr>
          <w:rFonts w:asciiTheme="minorHAnsi" w:hAnsiTheme="minorHAnsi" w:cstheme="minorHAnsi"/>
          <w:i/>
        </w:rPr>
        <w:t xml:space="preserve"> </w:t>
      </w:r>
    </w:p>
    <w:p w14:paraId="53576513" w14:textId="77777777" w:rsidR="002E44E9" w:rsidRPr="00887E05" w:rsidRDefault="002E44E9" w:rsidP="002E44E9">
      <w:pPr>
        <w:spacing w:after="120"/>
        <w:rPr>
          <w:rFonts w:asciiTheme="minorHAnsi" w:hAnsiTheme="minorHAnsi" w:cstheme="minorHAnsi"/>
        </w:rPr>
      </w:pPr>
      <w:r w:rsidRPr="00887E05">
        <w:rPr>
          <w:rFonts w:asciiTheme="minorHAnsi" w:hAnsiTheme="minorHAnsi" w:cstheme="minorHAnsi"/>
        </w:rPr>
        <w:tab/>
      </w:r>
      <w:r>
        <w:rPr>
          <w:rFonts w:asciiTheme="minorHAnsi" w:hAnsiTheme="minorHAnsi" w:cstheme="minorHAnsi"/>
        </w:rPr>
        <w:t>“</w:t>
      </w:r>
      <w:r w:rsidRPr="00887E05">
        <w:rPr>
          <w:rFonts w:asciiTheme="minorHAnsi" w:hAnsiTheme="minorHAnsi" w:cstheme="minorHAnsi"/>
        </w:rPr>
        <w:t>The financial statements of ITU have been prepared on the accrual basis of accounting in accordance with the IPSAS using the historic cost convention, modified by the inclusion of investments at fair value. Where an IPSAS does not address a particular issue, the appropriate International Financial Reporting Standard has been applied</w:t>
      </w:r>
      <w:r>
        <w:rPr>
          <w:rFonts w:asciiTheme="minorHAnsi" w:hAnsiTheme="minorHAnsi" w:cstheme="minorHAnsi"/>
        </w:rPr>
        <w:t>."</w:t>
      </w:r>
    </w:p>
    <w:p w14:paraId="5ACD756C" w14:textId="77777777" w:rsidR="002E44E9" w:rsidRPr="00887E05" w:rsidRDefault="002E44E9" w:rsidP="002E44E9">
      <w:pPr>
        <w:pStyle w:val="Header"/>
        <w:snapToGrid w:val="0"/>
        <w:spacing w:before="840"/>
      </w:pPr>
      <w:r w:rsidRPr="00887E05">
        <w:rPr>
          <w:rFonts w:asciiTheme="minorHAnsi" w:hAnsiTheme="minorHAnsi" w:cstheme="minorHAnsi"/>
          <w:sz w:val="24"/>
          <w:szCs w:val="24"/>
          <w:lang w:val="en-US"/>
        </w:rPr>
        <w:t>____________</w:t>
      </w:r>
    </w:p>
    <w:p w14:paraId="257674B4" w14:textId="77777777" w:rsidR="00A514A4" w:rsidRPr="002E44E9" w:rsidRDefault="00A514A4">
      <w:pPr>
        <w:tabs>
          <w:tab w:val="clear" w:pos="567"/>
          <w:tab w:val="clear" w:pos="1134"/>
          <w:tab w:val="clear" w:pos="1701"/>
          <w:tab w:val="clear" w:pos="2268"/>
          <w:tab w:val="clear" w:pos="2835"/>
        </w:tabs>
        <w:overflowPunct/>
        <w:autoSpaceDE/>
        <w:autoSpaceDN/>
        <w:adjustRightInd/>
        <w:spacing w:before="0"/>
        <w:textAlignment w:val="auto"/>
        <w:rPr>
          <w:lang w:val="en-US"/>
        </w:rPr>
      </w:pPr>
    </w:p>
    <w:sectPr w:rsidR="00A514A4" w:rsidRPr="002E44E9"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4CAA" w14:textId="77777777" w:rsidR="009B278D" w:rsidRDefault="009B278D">
      <w:r>
        <w:separator/>
      </w:r>
    </w:p>
  </w:endnote>
  <w:endnote w:type="continuationSeparator" w:id="0">
    <w:p w14:paraId="5BAD722E" w14:textId="77777777" w:rsidR="009B278D" w:rsidRDefault="009B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943DF" w14:paraId="07402CB9" w14:textId="77777777" w:rsidTr="0042469C">
      <w:trPr>
        <w:jc w:val="center"/>
      </w:trPr>
      <w:tc>
        <w:tcPr>
          <w:tcW w:w="1803" w:type="dxa"/>
          <w:vAlign w:val="center"/>
        </w:tcPr>
        <w:p w14:paraId="727FD637" w14:textId="74CE2678" w:rsidR="00EE49E8" w:rsidRDefault="00EE49E8" w:rsidP="00EE49E8">
          <w:pPr>
            <w:pStyle w:val="Header"/>
            <w:jc w:val="left"/>
            <w:rPr>
              <w:noProof/>
            </w:rPr>
          </w:pPr>
          <w:r>
            <w:rPr>
              <w:noProof/>
            </w:rPr>
            <w:t xml:space="preserve">DPS </w:t>
          </w:r>
          <w:r w:rsidR="00AF6BE8">
            <w:rPr>
              <w:noProof/>
            </w:rPr>
            <w:t>527430</w:t>
          </w:r>
        </w:p>
      </w:tc>
      <w:tc>
        <w:tcPr>
          <w:tcW w:w="8261" w:type="dxa"/>
        </w:tcPr>
        <w:p w14:paraId="2D49E76E" w14:textId="14246D14" w:rsidR="00EE49E8" w:rsidRPr="003356EA" w:rsidRDefault="00EE49E8" w:rsidP="00A52C84">
          <w:pPr>
            <w:pStyle w:val="Header"/>
            <w:tabs>
              <w:tab w:val="left" w:pos="6028"/>
              <w:tab w:val="right" w:pos="8505"/>
              <w:tab w:val="right" w:pos="9639"/>
            </w:tabs>
            <w:jc w:val="left"/>
            <w:rPr>
              <w:rFonts w:ascii="Arial" w:hAnsi="Arial" w:cs="Arial"/>
              <w:b/>
              <w:bCs/>
              <w:szCs w:val="18"/>
              <w:lang w:val="de-DE"/>
            </w:rPr>
          </w:pPr>
          <w:r w:rsidRPr="003356EA">
            <w:rPr>
              <w:bCs/>
              <w:lang w:val="de-DE"/>
            </w:rPr>
            <w:tab/>
          </w:r>
          <w:r w:rsidR="00A52C84" w:rsidRPr="003356EA">
            <w:rPr>
              <w:bCs/>
              <w:lang w:val="de-DE"/>
            </w:rPr>
            <w:t>CWG-</w:t>
          </w:r>
          <w:r w:rsidR="009F347C" w:rsidRPr="003356EA">
            <w:rPr>
              <w:bCs/>
              <w:lang w:val="de-DE"/>
            </w:rPr>
            <w:t>FHR</w:t>
          </w:r>
          <w:r w:rsidR="00A52C84" w:rsidRPr="003356EA">
            <w:rPr>
              <w:bCs/>
              <w:lang w:val="de-DE"/>
            </w:rPr>
            <w:t>-</w:t>
          </w:r>
          <w:r w:rsidR="00CD759B">
            <w:rPr>
              <w:bCs/>
              <w:lang w:val="de-DE"/>
            </w:rPr>
            <w:t>16</w:t>
          </w:r>
          <w:r w:rsidR="00A52C84" w:rsidRPr="003356EA">
            <w:rPr>
              <w:bCs/>
              <w:lang w:val="de-DE"/>
            </w:rPr>
            <w:t>/</w:t>
          </w:r>
          <w:r w:rsidR="00CD759B">
            <w:rPr>
              <w:bCs/>
              <w:lang w:val="de-DE"/>
            </w:rPr>
            <w:t>2</w:t>
          </w:r>
          <w:r w:rsidR="00A52C84"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44006CCE" w14:textId="77777777" w:rsidR="00EE49E8" w:rsidRPr="003356EA" w:rsidRDefault="00EE49E8" w:rsidP="00EE49E8">
    <w:pPr>
      <w:pStyle w:val="Header"/>
      <w:tabs>
        <w:tab w:val="left" w:pos="8080"/>
        <w:tab w:val="right" w:pos="9072"/>
      </w:tabs>
      <w:jc w:val="left"/>
      <w:rPr>
        <w:bCs/>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943DF"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2C88C52F" w:rsidR="00EE49E8" w:rsidRPr="003356EA" w:rsidRDefault="00EE49E8" w:rsidP="00A52C84">
          <w:pPr>
            <w:pStyle w:val="Header"/>
            <w:tabs>
              <w:tab w:val="left" w:pos="4718"/>
              <w:tab w:val="right" w:pos="8505"/>
              <w:tab w:val="right" w:pos="9639"/>
            </w:tabs>
            <w:jc w:val="left"/>
            <w:rPr>
              <w:rFonts w:ascii="Arial" w:hAnsi="Arial" w:cs="Arial"/>
              <w:b/>
              <w:bCs/>
              <w:szCs w:val="18"/>
              <w:lang w:val="de-DE"/>
            </w:rPr>
          </w:pPr>
          <w:r>
            <w:rPr>
              <w:bCs/>
            </w:rPr>
            <w:tab/>
          </w:r>
          <w:r w:rsidRPr="003356EA">
            <w:rPr>
              <w:bCs/>
              <w:lang w:val="de-DE"/>
            </w:rPr>
            <w:t>C</w:t>
          </w:r>
          <w:r w:rsidR="00A52C84" w:rsidRPr="003356EA">
            <w:rPr>
              <w:bCs/>
              <w:lang w:val="de-DE"/>
            </w:rPr>
            <w:t>WG-</w:t>
          </w:r>
          <w:r w:rsidR="009F347C" w:rsidRPr="003356EA">
            <w:rPr>
              <w:bCs/>
              <w:lang w:val="de-DE"/>
            </w:rPr>
            <w:t>FHR</w:t>
          </w:r>
          <w:r w:rsidR="00A52C84" w:rsidRPr="003356EA">
            <w:rPr>
              <w:bCs/>
              <w:lang w:val="de-DE"/>
            </w:rPr>
            <w:t>-</w:t>
          </w:r>
          <w:r w:rsidR="00CD759B">
            <w:rPr>
              <w:bCs/>
              <w:lang w:val="de-DE"/>
            </w:rPr>
            <w:t>16</w:t>
          </w:r>
          <w:r w:rsidRPr="003356EA">
            <w:rPr>
              <w:bCs/>
              <w:lang w:val="de-DE"/>
            </w:rPr>
            <w:t>/</w:t>
          </w:r>
          <w:r w:rsidR="00CD759B">
            <w:rPr>
              <w:bCs/>
              <w:lang w:val="de-DE"/>
            </w:rPr>
            <w:t>2</w:t>
          </w:r>
          <w:r w:rsidRPr="003356EA">
            <w:rPr>
              <w:bCs/>
              <w:lang w:val="de-DE"/>
            </w:rPr>
            <w:t>-E</w:t>
          </w:r>
          <w:r w:rsidRPr="003356EA">
            <w:rPr>
              <w:bCs/>
              <w:lang w:val="de-DE"/>
            </w:rPr>
            <w:tab/>
          </w:r>
          <w:r>
            <w:fldChar w:fldCharType="begin"/>
          </w:r>
          <w:r w:rsidRPr="003356EA">
            <w:rPr>
              <w:lang w:val="de-DE"/>
            </w:rPr>
            <w:instrText>PAGE</w:instrText>
          </w:r>
          <w:r>
            <w:fldChar w:fldCharType="separate"/>
          </w:r>
          <w:r w:rsidRPr="003356EA">
            <w:rPr>
              <w:lang w:val="de-DE"/>
            </w:rPr>
            <w:t>1</w:t>
          </w:r>
          <w:r>
            <w:rPr>
              <w:noProof/>
            </w:rPr>
            <w:fldChar w:fldCharType="end"/>
          </w:r>
        </w:p>
      </w:tc>
    </w:tr>
  </w:tbl>
  <w:p w14:paraId="12BE588F" w14:textId="77777777" w:rsidR="00A514A4" w:rsidRPr="003356EA" w:rsidRDefault="00A514A4" w:rsidP="00EE49E8">
    <w:pPr>
      <w:pStyle w:val="Header"/>
      <w:tabs>
        <w:tab w:val="left" w:pos="8080"/>
        <w:tab w:val="right" w:pos="9072"/>
      </w:tabs>
      <w:jc w:val="right"/>
      <w:rPr>
        <w:bCs/>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83FB" w14:textId="77777777" w:rsidR="009B278D" w:rsidRDefault="009B278D">
      <w:r>
        <w:t>____________________</w:t>
      </w:r>
    </w:p>
  </w:footnote>
  <w:footnote w:type="continuationSeparator" w:id="0">
    <w:p w14:paraId="4FF28F9B" w14:textId="77777777" w:rsidR="009B278D" w:rsidRDefault="009B278D">
      <w:r>
        <w:continuationSeparator/>
      </w:r>
    </w:p>
  </w:footnote>
  <w:footnote w:id="1">
    <w:p w14:paraId="171EA32D" w14:textId="6D6F07D3" w:rsidR="002E44E9" w:rsidRPr="000D7AF0" w:rsidRDefault="002E44E9" w:rsidP="002E44E9">
      <w:pPr>
        <w:pStyle w:val="FootnoteText"/>
        <w:rPr>
          <w:szCs w:val="24"/>
          <w:lang w:val="en-US"/>
        </w:rPr>
      </w:pPr>
      <w:r w:rsidRPr="000D7AF0">
        <w:rPr>
          <w:rStyle w:val="FootnoteReference"/>
          <w:szCs w:val="24"/>
        </w:rPr>
        <w:footnoteRef/>
      </w:r>
      <w:r w:rsidRPr="000D7AF0">
        <w:rPr>
          <w:szCs w:val="24"/>
        </w:rPr>
        <w:t xml:space="preserve"> </w:t>
      </w:r>
      <w:r w:rsidR="00487F6B">
        <w:rPr>
          <w:szCs w:val="24"/>
        </w:rPr>
        <w:tab/>
      </w:r>
      <w:r w:rsidRPr="000D7AF0">
        <w:rPr>
          <w:szCs w:val="24"/>
          <w:lang w:val="en-US"/>
        </w:rPr>
        <w:t>In accordance with ITU Accounting Policy, a threshold of capitalization amounts to CHF</w:t>
      </w:r>
      <w:r>
        <w:rPr>
          <w:szCs w:val="24"/>
          <w:lang w:val="en-US"/>
        </w:rPr>
        <w:t> </w:t>
      </w:r>
      <w:r w:rsidRPr="000D7AF0">
        <w:rPr>
          <w:szCs w:val="24"/>
          <w:lang w:val="en-US"/>
        </w:rPr>
        <w:t>5’000</w:t>
      </w:r>
      <w:r>
        <w:rPr>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1E370B">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32DAA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6947AE">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3B51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5A5FA54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3356EA">
                            <w:rPr>
                              <w:sz w:val="20"/>
                            </w:rPr>
                            <w:t xml:space="preserve">Sixteenth </w:t>
                          </w:r>
                          <w:r w:rsidRPr="00130599">
                            <w:rPr>
                              <w:sz w:val="20"/>
                            </w:rPr>
                            <w:t xml:space="preserve">meeting </w:t>
                          </w:r>
                          <w:r w:rsidR="00B358B2">
                            <w:rPr>
                              <w:sz w:val="20"/>
                            </w:rPr>
                            <w:t xml:space="preserve">- </w:t>
                          </w:r>
                          <w:r w:rsidR="009F347C">
                            <w:rPr>
                              <w:sz w:val="20"/>
                            </w:rPr>
                            <w:t>11 to 13</w:t>
                          </w:r>
                          <w:r w:rsidR="00B358B2">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5A5FA54C"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3356EA">
                      <w:rPr>
                        <w:sz w:val="20"/>
                      </w:rPr>
                      <w:t xml:space="preserve">Sixteenth </w:t>
                    </w:r>
                    <w:r w:rsidRPr="00130599">
                      <w:rPr>
                        <w:sz w:val="20"/>
                      </w:rPr>
                      <w:t xml:space="preserve">meeting </w:t>
                    </w:r>
                    <w:r w:rsidR="00B358B2">
                      <w:rPr>
                        <w:sz w:val="20"/>
                      </w:rPr>
                      <w:t xml:space="preserve">- </w:t>
                    </w:r>
                    <w:r w:rsidR="009F347C">
                      <w:rPr>
                        <w:sz w:val="20"/>
                      </w:rPr>
                      <w:t>11 to 13</w:t>
                    </w:r>
                    <w:r w:rsidR="00B358B2">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20CF9"/>
    <w:rsid w:val="00130599"/>
    <w:rsid w:val="001400DC"/>
    <w:rsid w:val="00140CE1"/>
    <w:rsid w:val="00170FF5"/>
    <w:rsid w:val="0017539C"/>
    <w:rsid w:val="00175AC2"/>
    <w:rsid w:val="0017609F"/>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2E44E9"/>
    <w:rsid w:val="0030160F"/>
    <w:rsid w:val="00320223"/>
    <w:rsid w:val="00322D0D"/>
    <w:rsid w:val="003356EA"/>
    <w:rsid w:val="00361465"/>
    <w:rsid w:val="003877F5"/>
    <w:rsid w:val="003942D4"/>
    <w:rsid w:val="003958A8"/>
    <w:rsid w:val="003C2533"/>
    <w:rsid w:val="003D5A7F"/>
    <w:rsid w:val="004016E2"/>
    <w:rsid w:val="0040435A"/>
    <w:rsid w:val="004121E7"/>
    <w:rsid w:val="00416A24"/>
    <w:rsid w:val="00431D9E"/>
    <w:rsid w:val="00433CE8"/>
    <w:rsid w:val="00434A5C"/>
    <w:rsid w:val="004544D9"/>
    <w:rsid w:val="00472BAD"/>
    <w:rsid w:val="00484009"/>
    <w:rsid w:val="00487F6B"/>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278C"/>
    <w:rsid w:val="005A335D"/>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14742"/>
    <w:rsid w:val="0075051B"/>
    <w:rsid w:val="00775655"/>
    <w:rsid w:val="00793188"/>
    <w:rsid w:val="00794D34"/>
    <w:rsid w:val="007F2234"/>
    <w:rsid w:val="00813E5E"/>
    <w:rsid w:val="0081585C"/>
    <w:rsid w:val="00833CDF"/>
    <w:rsid w:val="0083581B"/>
    <w:rsid w:val="00843BB0"/>
    <w:rsid w:val="00863874"/>
    <w:rsid w:val="00864AFF"/>
    <w:rsid w:val="00865925"/>
    <w:rsid w:val="00891503"/>
    <w:rsid w:val="008B4A6A"/>
    <w:rsid w:val="008C7E27"/>
    <w:rsid w:val="008F7448"/>
    <w:rsid w:val="0090147A"/>
    <w:rsid w:val="009173EF"/>
    <w:rsid w:val="00932906"/>
    <w:rsid w:val="00961B0B"/>
    <w:rsid w:val="00962D33"/>
    <w:rsid w:val="009B278D"/>
    <w:rsid w:val="009B38C3"/>
    <w:rsid w:val="009C253A"/>
    <w:rsid w:val="009E17BD"/>
    <w:rsid w:val="009E485A"/>
    <w:rsid w:val="009F347C"/>
    <w:rsid w:val="00A04CEC"/>
    <w:rsid w:val="00A27F92"/>
    <w:rsid w:val="00A32257"/>
    <w:rsid w:val="00A36D20"/>
    <w:rsid w:val="00A514A4"/>
    <w:rsid w:val="00A52C84"/>
    <w:rsid w:val="00A55622"/>
    <w:rsid w:val="00A6702D"/>
    <w:rsid w:val="00A83502"/>
    <w:rsid w:val="00AA5640"/>
    <w:rsid w:val="00AD15B3"/>
    <w:rsid w:val="00AD3606"/>
    <w:rsid w:val="00AD4A3D"/>
    <w:rsid w:val="00AF6BE8"/>
    <w:rsid w:val="00AF6E49"/>
    <w:rsid w:val="00B04A67"/>
    <w:rsid w:val="00B0583C"/>
    <w:rsid w:val="00B358B2"/>
    <w:rsid w:val="00B40A81"/>
    <w:rsid w:val="00B44910"/>
    <w:rsid w:val="00B72267"/>
    <w:rsid w:val="00B76EB6"/>
    <w:rsid w:val="00B7737B"/>
    <w:rsid w:val="00B824C8"/>
    <w:rsid w:val="00B84B9D"/>
    <w:rsid w:val="00B943DF"/>
    <w:rsid w:val="00BC251A"/>
    <w:rsid w:val="00BD032B"/>
    <w:rsid w:val="00BE2640"/>
    <w:rsid w:val="00C01189"/>
    <w:rsid w:val="00C374DE"/>
    <w:rsid w:val="00C47AD4"/>
    <w:rsid w:val="00C52D81"/>
    <w:rsid w:val="00C55198"/>
    <w:rsid w:val="00CA6393"/>
    <w:rsid w:val="00CB18FF"/>
    <w:rsid w:val="00CD0C08"/>
    <w:rsid w:val="00CD6C7E"/>
    <w:rsid w:val="00CD759B"/>
    <w:rsid w:val="00CE03FB"/>
    <w:rsid w:val="00CE433C"/>
    <w:rsid w:val="00CF0161"/>
    <w:rsid w:val="00CF33F3"/>
    <w:rsid w:val="00D06183"/>
    <w:rsid w:val="00D22C42"/>
    <w:rsid w:val="00D464CC"/>
    <w:rsid w:val="00D65041"/>
    <w:rsid w:val="00D86F5C"/>
    <w:rsid w:val="00DB00D5"/>
    <w:rsid w:val="00DB1936"/>
    <w:rsid w:val="00DB384B"/>
    <w:rsid w:val="00DF0189"/>
    <w:rsid w:val="00E00F83"/>
    <w:rsid w:val="00E06FD5"/>
    <w:rsid w:val="00E10E80"/>
    <w:rsid w:val="00E124F0"/>
    <w:rsid w:val="00E227F3"/>
    <w:rsid w:val="00E545C6"/>
    <w:rsid w:val="00E573A0"/>
    <w:rsid w:val="00E60F04"/>
    <w:rsid w:val="00E65B24"/>
    <w:rsid w:val="00E854E4"/>
    <w:rsid w:val="00E86DBF"/>
    <w:rsid w:val="00EB0D6F"/>
    <w:rsid w:val="00EB2232"/>
    <w:rsid w:val="00EC5337"/>
    <w:rsid w:val="00ED454D"/>
    <w:rsid w:val="00EE49E8"/>
    <w:rsid w:val="00F16BAB"/>
    <w:rsid w:val="00F2150A"/>
    <w:rsid w:val="00F227EF"/>
    <w:rsid w:val="00F231D8"/>
    <w:rsid w:val="00F44C00"/>
    <w:rsid w:val="00F45D2C"/>
    <w:rsid w:val="00F46C5F"/>
    <w:rsid w:val="00F477DD"/>
    <w:rsid w:val="00F632C0"/>
    <w:rsid w:val="00F64D19"/>
    <w:rsid w:val="00F74694"/>
    <w:rsid w:val="00F76165"/>
    <w:rsid w:val="00F94A63"/>
    <w:rsid w:val="00FA1C28"/>
    <w:rsid w:val="00FB1279"/>
    <w:rsid w:val="00FB6B76"/>
    <w:rsid w:val="00FB7596"/>
    <w:rsid w:val="00FE4077"/>
    <w:rsid w:val="00FE500D"/>
    <w:rsid w:val="00FE77D2"/>
    <w:rsid w:val="25199700"/>
    <w:rsid w:val="3D0CD3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aliases w:val="ACMA 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aliases w:val="encabezado Char1"/>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HeaderChar1">
    <w:name w:val="Header Char1"/>
    <w:aliases w:val="encabezado Char"/>
    <w:basedOn w:val="DefaultParagraphFont"/>
    <w:rsid w:val="002E44E9"/>
    <w:rPr>
      <w:rFonts w:ascii="Times New Roman" w:eastAsia="Times New Roman" w:hAnsi="Times New Roman" w:cs="Times New Roman"/>
      <w:sz w:val="18"/>
      <w:szCs w:val="20"/>
      <w:lang w:val="fr-FR" w:eastAsia="en-US"/>
    </w:rPr>
  </w:style>
  <w:style w:type="character" w:customStyle="1" w:styleId="FootnoteTextChar">
    <w:name w:val="Footnote Text Char"/>
    <w:aliases w:val="ACMA Footnote Text Char"/>
    <w:basedOn w:val="DefaultParagraphFont"/>
    <w:link w:val="FootnoteText"/>
    <w:rsid w:val="002E44E9"/>
    <w:rPr>
      <w:rFonts w:ascii="Calibri" w:hAnsi="Calibri"/>
      <w:sz w:val="24"/>
      <w:lang w:val="en-GB" w:eastAsia="en-US"/>
    </w:rPr>
  </w:style>
  <w:style w:type="character" w:styleId="UnresolvedMention">
    <w:name w:val="Unresolved Mention"/>
    <w:basedOn w:val="DefaultParagraphFont"/>
    <w:uiPriority w:val="99"/>
    <w:semiHidden/>
    <w:unhideWhenUsed/>
    <w:rsid w:val="0081585C"/>
    <w:rPr>
      <w:color w:val="605E5C"/>
      <w:shd w:val="clear" w:color="auto" w:fill="E1DFDD"/>
    </w:rPr>
  </w:style>
  <w:style w:type="paragraph" w:styleId="Revision">
    <w:name w:val="Revision"/>
    <w:hidden/>
    <w:uiPriority w:val="99"/>
    <w:semiHidden/>
    <w:rsid w:val="00F477DD"/>
    <w:rPr>
      <w:rFonts w:ascii="Calibri" w:hAnsi="Calibri"/>
      <w:sz w:val="24"/>
      <w:lang w:val="en-GB" w:eastAsia="en-US"/>
    </w:rPr>
  </w:style>
  <w:style w:type="character" w:styleId="CommentReference">
    <w:name w:val="annotation reference"/>
    <w:basedOn w:val="DefaultParagraphFont"/>
    <w:semiHidden/>
    <w:unhideWhenUsed/>
    <w:rsid w:val="00F477DD"/>
    <w:rPr>
      <w:sz w:val="16"/>
      <w:szCs w:val="16"/>
    </w:rPr>
  </w:style>
  <w:style w:type="paragraph" w:styleId="CommentText">
    <w:name w:val="annotation text"/>
    <w:basedOn w:val="Normal"/>
    <w:link w:val="CommentTextChar"/>
    <w:unhideWhenUsed/>
    <w:rsid w:val="00F477DD"/>
    <w:rPr>
      <w:sz w:val="20"/>
    </w:rPr>
  </w:style>
  <w:style w:type="character" w:customStyle="1" w:styleId="CommentTextChar">
    <w:name w:val="Comment Text Char"/>
    <w:basedOn w:val="DefaultParagraphFont"/>
    <w:link w:val="CommentText"/>
    <w:rsid w:val="00F477DD"/>
    <w:rPr>
      <w:rFonts w:ascii="Calibri" w:hAnsi="Calibri"/>
      <w:lang w:val="en-GB" w:eastAsia="en-US"/>
    </w:rPr>
  </w:style>
  <w:style w:type="paragraph" w:styleId="CommentSubject">
    <w:name w:val="annotation subject"/>
    <w:basedOn w:val="CommentText"/>
    <w:next w:val="CommentText"/>
    <w:link w:val="CommentSubjectChar"/>
    <w:semiHidden/>
    <w:unhideWhenUsed/>
    <w:rsid w:val="00F477DD"/>
    <w:rPr>
      <w:b/>
      <w:bCs/>
    </w:rPr>
  </w:style>
  <w:style w:type="character" w:customStyle="1" w:styleId="CommentSubjectChar">
    <w:name w:val="Comment Subject Char"/>
    <w:basedOn w:val="CommentTextChar"/>
    <w:link w:val="CommentSubject"/>
    <w:semiHidden/>
    <w:rsid w:val="00F477D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onferences/WTDC/WTDC17/Documents/WTDC17_final_report_e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ging.itu.int/en/council/Documents/basic-texts-2023/RES-005-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Convention-E.pdf" TargetMode="External"/><Relationship Id="rId5" Type="http://schemas.openxmlformats.org/officeDocument/2006/relationships/numbering" Target="numbering.xml"/><Relationship Id="rId15" Type="http://schemas.openxmlformats.org/officeDocument/2006/relationships/hyperlink" Target="https://www.itu.int/md/S21-CWGFHR12-C-0017/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WGFHR12-C-001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12" ma:contentTypeDescription="Create a new document." ma:contentTypeScope="" ma:versionID="eb92d5b0b4bb59e2ba43b9d6a5bcaa99">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101ed44692452e17efb0035abdf2b24a"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912B-8D3A-49DC-9010-1B9ED534B05C}">
  <ds:schemaRef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f45bef01-bf71-4e4d-8b76-9c8a2fc829be"/>
    <ds:schemaRef ds:uri="http://purl.org/dc/elements/1.1/"/>
    <ds:schemaRef ds:uri="5a9e730e-50ca-4fdd-8a7a-b4f5b57bd20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5F7EB4B-57CF-482D-B6C2-A20675546F7B}">
  <ds:schemaRefs>
    <ds:schemaRef ds:uri="http://schemas.microsoft.com/sharepoint/v3/contenttype/forms"/>
  </ds:schemaRefs>
</ds:datastoreItem>
</file>

<file path=customXml/itemProps3.xml><?xml version="1.0" encoding="utf-8"?>
<ds:datastoreItem xmlns:ds="http://schemas.openxmlformats.org/officeDocument/2006/customXml" ds:itemID="{AC174427-C18C-4607-A92A-2E6DB22A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7686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In-kind contributions - survey from other organizations</vt:lpstr>
    </vt:vector>
  </TitlesOfParts>
  <Manager/>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In-kind contributions guidelines</dc:title>
  <dc:subject>Council Working Group on Financial and Human Resources</dc:subject>
  <dc:creator/>
  <cp:keywords>CWG-FHR, C23, Council-23, C23-ADD</cp:keywords>
  <dc:description/>
  <cp:lastModifiedBy/>
  <cp:revision>1</cp:revision>
  <dcterms:created xsi:type="dcterms:W3CDTF">2023-09-11T16:28:00Z</dcterms:created>
  <dcterms:modified xsi:type="dcterms:W3CDTF">2023-09-11T16:32:00Z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0x01010016B1078E3AD18D4E9484B5666A3C18CB</vt:lpwstr>
  </property>
  <property fmtid="{D5CDD505-2E9C-101B-9397-08002B2CF9AE}" pid="3" name="MediaServiceImageTags">
    <vt:lpwstr/>
  </property>
</Properties>
</file>