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C070D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0048A4C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9F347C">
              <w:rPr>
                <w:b/>
                <w:lang w:val="fr-CH"/>
              </w:rPr>
              <w:t>FHR</w:t>
            </w:r>
            <w:r w:rsidR="00A52C84" w:rsidRPr="00A52C84">
              <w:rPr>
                <w:b/>
                <w:lang w:val="fr-CH"/>
              </w:rPr>
              <w:t>-</w:t>
            </w:r>
            <w:r w:rsidR="002404ED">
              <w:rPr>
                <w:b/>
                <w:lang w:val="fr-CH"/>
              </w:rPr>
              <w:t>16</w:t>
            </w:r>
            <w:r w:rsidRPr="00A52C84">
              <w:rPr>
                <w:b/>
                <w:lang w:val="fr-CH"/>
              </w:rPr>
              <w:t>/</w:t>
            </w:r>
            <w:r w:rsidR="0064649C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578C229" w:rsidR="00AD3606" w:rsidRPr="00E85629" w:rsidRDefault="00631BF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D3465">
              <w:rPr>
                <w:b/>
              </w:rPr>
              <w:t>2</w:t>
            </w:r>
            <w:r w:rsidR="002E7F54">
              <w:rPr>
                <w:b/>
              </w:rPr>
              <w:t xml:space="preserve"> </w:t>
            </w:r>
            <w:r w:rsidR="000C2844">
              <w:rPr>
                <w:b/>
              </w:rPr>
              <w:t>September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196AA2AA" w:rsidR="00AD3606" w:rsidRPr="00E85629" w:rsidRDefault="002E7F54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0D611604" w14:textId="4122B5A7" w:rsidR="0064649C" w:rsidRPr="0064649C" w:rsidRDefault="0064649C" w:rsidP="006149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 w:rsidRPr="006149B0">
        <w:rPr>
          <w:rFonts w:eastAsia="SimSun" w:cs="Calibri"/>
          <w:bCs/>
          <w:sz w:val="28"/>
          <w:szCs w:val="28"/>
        </w:rPr>
        <w:t>DRAFT AGENDA</w:t>
      </w:r>
    </w:p>
    <w:p w14:paraId="609650D9" w14:textId="77777777" w:rsidR="0064649C" w:rsidRPr="006149B0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6149B0">
        <w:rPr>
          <w:rFonts w:eastAsia="SimSun" w:cs="Calibri"/>
          <w:b/>
          <w:sz w:val="28"/>
          <w:szCs w:val="28"/>
        </w:rPr>
        <w:t>COUNCIL WORKING GROUP ON FINANCIAL AND HUMAN RESOURCES</w:t>
      </w:r>
    </w:p>
    <w:p w14:paraId="5C908D29" w14:textId="6C68E70A" w:rsidR="0064649C" w:rsidRPr="006149B0" w:rsidRDefault="0064649C" w:rsidP="006149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6149B0">
        <w:rPr>
          <w:rFonts w:eastAsia="SimSun" w:cs="Calibri"/>
          <w:bCs/>
        </w:rPr>
        <w:t>Wednesday</w:t>
      </w:r>
      <w:r w:rsidR="00E02F6C">
        <w:rPr>
          <w:rFonts w:eastAsia="SimSun" w:cs="Calibri"/>
          <w:bCs/>
        </w:rPr>
        <w:t>,</w:t>
      </w:r>
      <w:r w:rsidRPr="006149B0">
        <w:rPr>
          <w:rFonts w:eastAsia="SimSun" w:cs="Calibri"/>
          <w:bCs/>
        </w:rPr>
        <w:t xml:space="preserve"> 11 October 2023 from 0930 – 1230 and 1430 – 1730 hours</w:t>
      </w:r>
      <w:r w:rsidR="006149B0">
        <w:rPr>
          <w:rFonts w:eastAsia="SimSun" w:cs="Calibri"/>
          <w:bCs/>
        </w:rPr>
        <w:br/>
      </w:r>
      <w:r w:rsidRPr="006149B0">
        <w:rPr>
          <w:rFonts w:eastAsia="SimSun" w:cs="Calibri"/>
          <w:bCs/>
        </w:rPr>
        <w:t>Thursday, 12 October 2023 from 0930 – 1230 and 1430 – 1730 hours</w:t>
      </w:r>
      <w:r w:rsidR="006149B0">
        <w:rPr>
          <w:rFonts w:eastAsia="SimSun" w:cs="Calibri"/>
          <w:bCs/>
        </w:rPr>
        <w:br/>
      </w:r>
      <w:r w:rsidRPr="006149B0">
        <w:rPr>
          <w:rFonts w:eastAsia="SimSun" w:cs="Calibri"/>
          <w:bCs/>
        </w:rPr>
        <w:t>and</w:t>
      </w:r>
      <w:r w:rsidR="006149B0">
        <w:rPr>
          <w:rFonts w:eastAsia="SimSun" w:cs="Calibri"/>
          <w:bCs/>
        </w:rPr>
        <w:br/>
      </w:r>
      <w:r w:rsidRPr="006149B0">
        <w:rPr>
          <w:rFonts w:eastAsia="SimSun" w:cs="Calibri"/>
          <w:bCs/>
        </w:rPr>
        <w:t>Friday</w:t>
      </w:r>
      <w:r w:rsidR="00E02F6C">
        <w:rPr>
          <w:rFonts w:eastAsia="SimSun" w:cs="Calibri"/>
          <w:bCs/>
        </w:rPr>
        <w:t>,</w:t>
      </w:r>
      <w:r w:rsidRPr="006149B0">
        <w:rPr>
          <w:rFonts w:eastAsia="SimSun" w:cs="Calibri"/>
          <w:bCs/>
        </w:rPr>
        <w:t xml:space="preserve"> 13 October 2023 from 09</w:t>
      </w:r>
      <w:r w:rsidR="00F901B7">
        <w:rPr>
          <w:rFonts w:eastAsia="SimSun" w:cs="Calibri"/>
          <w:bCs/>
        </w:rPr>
        <w:t>00</w:t>
      </w:r>
      <w:r w:rsidR="00652122">
        <w:rPr>
          <w:rFonts w:eastAsia="SimSun" w:cs="Calibri"/>
          <w:bCs/>
        </w:rPr>
        <w:t xml:space="preserve"> </w:t>
      </w:r>
      <w:r w:rsidR="00652122" w:rsidRPr="006149B0">
        <w:rPr>
          <w:rFonts w:eastAsia="SimSun" w:cs="Calibri"/>
          <w:bCs/>
        </w:rPr>
        <w:t>–</w:t>
      </w:r>
      <w:r w:rsidR="00652122">
        <w:rPr>
          <w:rFonts w:eastAsia="SimSun" w:cs="Calibri"/>
          <w:bCs/>
        </w:rPr>
        <w:t xml:space="preserve"> </w:t>
      </w:r>
      <w:r w:rsidRPr="006149B0">
        <w:rPr>
          <w:rFonts w:eastAsia="SimSun" w:cs="Calibri"/>
          <w:bCs/>
        </w:rPr>
        <w:t>12</w:t>
      </w:r>
      <w:r w:rsidR="00F901B7">
        <w:rPr>
          <w:rFonts w:eastAsia="SimSun" w:cs="Calibri"/>
          <w:bCs/>
        </w:rPr>
        <w:t>0</w:t>
      </w:r>
      <w:r w:rsidRPr="006149B0">
        <w:rPr>
          <w:rFonts w:eastAsia="SimSun" w:cs="Calibri"/>
          <w:bCs/>
        </w:rPr>
        <w:t>0 and 1430</w:t>
      </w:r>
      <w:r w:rsidR="000E59F9">
        <w:rPr>
          <w:rFonts w:eastAsia="SimSun" w:cs="Calibri"/>
          <w:bCs/>
        </w:rPr>
        <w:t xml:space="preserve"> </w:t>
      </w:r>
      <w:r w:rsidR="000E59F9" w:rsidRPr="006149B0">
        <w:rPr>
          <w:rFonts w:eastAsia="SimSun" w:cs="Calibri"/>
          <w:bCs/>
        </w:rPr>
        <w:t>–</w:t>
      </w:r>
      <w:r w:rsidR="000E59F9">
        <w:rPr>
          <w:rFonts w:eastAsia="SimSun" w:cs="Calibri"/>
          <w:bCs/>
        </w:rPr>
        <w:t xml:space="preserve"> </w:t>
      </w:r>
      <w:r w:rsidRPr="006149B0">
        <w:rPr>
          <w:rFonts w:eastAsia="SimSun" w:cs="Calibri"/>
          <w:bCs/>
        </w:rPr>
        <w:t>1730 hours</w:t>
      </w:r>
    </w:p>
    <w:p w14:paraId="30844EF6" w14:textId="77777777" w:rsidR="0064649C" w:rsidRPr="0064649C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</w:p>
    <w:p w14:paraId="5ED610E0" w14:textId="2864C4F6" w:rsidR="0064649C" w:rsidRDefault="0064649C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  <w:r w:rsidRPr="0064649C">
        <w:rPr>
          <w:rFonts w:cs="Calibri"/>
          <w:b/>
        </w:rPr>
        <w:t xml:space="preserve">Room </w:t>
      </w:r>
      <w:r>
        <w:rPr>
          <w:rFonts w:cs="Calibri"/>
          <w:b/>
        </w:rPr>
        <w:t>Popov1</w:t>
      </w:r>
      <w:r w:rsidRPr="0064649C">
        <w:rPr>
          <w:rFonts w:cs="Calibri"/>
          <w:b/>
        </w:rPr>
        <w:t>, ITU Headquarters, Geneva</w:t>
      </w:r>
    </w:p>
    <w:p w14:paraId="2249F455" w14:textId="77777777" w:rsidR="006F4E57" w:rsidRDefault="006F4E57" w:rsidP="0064649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cs="Calibri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257"/>
      </w:tblGrid>
      <w:tr w:rsidR="00ED3465" w:rsidRPr="00ED3465" w14:paraId="48EB332A" w14:textId="1B390F82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3B945C86" w14:textId="77777777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814" w:type="dxa"/>
            <w:shd w:val="clear" w:color="auto" w:fill="auto"/>
          </w:tcPr>
          <w:p w14:paraId="45AE67A2" w14:textId="290AC69A" w:rsidR="00ED3465" w:rsidRPr="00ED3465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ED3465">
              <w:rPr>
                <w:rFonts w:cs="Calibri"/>
                <w:szCs w:val="24"/>
              </w:rPr>
              <w:t>Opening remarks and approval of the agenda</w:t>
            </w:r>
          </w:p>
        </w:tc>
        <w:tc>
          <w:tcPr>
            <w:tcW w:w="2257" w:type="dxa"/>
          </w:tcPr>
          <w:p w14:paraId="4ECA7B5B" w14:textId="2FF770A0" w:rsidR="00ED3465" w:rsidRPr="00ED3465" w:rsidRDefault="00ED3465" w:rsidP="00ED3465">
            <w:pPr>
              <w:spacing w:after="120"/>
              <w:rPr>
                <w:rFonts w:cs="Calibri"/>
                <w:szCs w:val="24"/>
              </w:rPr>
            </w:pPr>
            <w:hyperlink r:id="rId8" w:history="1">
              <w:r w:rsidRPr="00ED3465">
                <w:rPr>
                  <w:rStyle w:val="Hyperlink"/>
                  <w:rFonts w:cs="Calibri"/>
                  <w:szCs w:val="24"/>
                </w:rPr>
                <w:t>CWG-FHR</w:t>
              </w:r>
              <w:r w:rsidRPr="00ED3465">
                <w:rPr>
                  <w:rStyle w:val="Hyperlink"/>
                  <w:rFonts w:cs="Calibri"/>
                  <w:szCs w:val="24"/>
                </w:rPr>
                <w:t>-</w:t>
              </w:r>
              <w:r w:rsidRPr="00ED3465">
                <w:rPr>
                  <w:rStyle w:val="Hyperlink"/>
                  <w:rFonts w:cs="Calibri"/>
                  <w:szCs w:val="24"/>
                </w:rPr>
                <w:t>16/1</w:t>
              </w:r>
            </w:hyperlink>
          </w:p>
        </w:tc>
      </w:tr>
      <w:tr w:rsidR="00ED3465" w:rsidRPr="00ED3465" w14:paraId="49AE6144" w14:textId="70BCA355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0216BBB0" w14:textId="77777777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814" w:type="dxa"/>
            <w:shd w:val="clear" w:color="auto" w:fill="auto"/>
          </w:tcPr>
          <w:p w14:paraId="3D2AF1DB" w14:textId="2150C1B1" w:rsidR="00ED3465" w:rsidRPr="00ED3465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ED3465">
              <w:rPr>
                <w:rFonts w:cs="Calibri"/>
                <w:szCs w:val="24"/>
              </w:rPr>
              <w:t xml:space="preserve">Statement by the Staff Council </w:t>
            </w:r>
          </w:p>
        </w:tc>
        <w:tc>
          <w:tcPr>
            <w:tcW w:w="2257" w:type="dxa"/>
          </w:tcPr>
          <w:p w14:paraId="338D2AC4" w14:textId="77777777" w:rsidR="00ED3465" w:rsidRPr="00ED3465" w:rsidRDefault="00ED3465" w:rsidP="00ED3465">
            <w:pPr>
              <w:spacing w:after="120"/>
              <w:rPr>
                <w:rFonts w:cs="Calibri"/>
                <w:szCs w:val="24"/>
              </w:rPr>
            </w:pPr>
            <w:r w:rsidRPr="00ED3465">
              <w:rPr>
                <w:rFonts w:cs="Calibri"/>
                <w:szCs w:val="24"/>
              </w:rPr>
              <w:t>Oral presentation</w:t>
            </w:r>
          </w:p>
        </w:tc>
      </w:tr>
      <w:tr w:rsidR="00ED3465" w:rsidRPr="00ED3465" w14:paraId="59500A5F" w14:textId="27F3BD85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41D65328" w14:textId="77777777" w:rsidR="00ED3465" w:rsidRPr="00ED3465" w:rsidRDefault="00ED3465" w:rsidP="00ED3465">
            <w:pPr>
              <w:snapToGrid w:val="0"/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814" w:type="dxa"/>
            <w:shd w:val="clear" w:color="auto" w:fill="auto"/>
          </w:tcPr>
          <w:p w14:paraId="3BAFAB4E" w14:textId="77777777" w:rsidR="00ED3465" w:rsidRPr="00ED3465" w:rsidRDefault="00ED3465" w:rsidP="00ED3465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 w:rsidRPr="00ED3465">
              <w:rPr>
                <w:rFonts w:asciiTheme="minorHAnsi" w:hAnsiTheme="minorHAnsi" w:cstheme="minorHAnsi"/>
                <w:bCs/>
                <w:szCs w:val="24"/>
              </w:rPr>
              <w:t>Human Resources:</w:t>
            </w:r>
          </w:p>
          <w:p w14:paraId="5640FD1F" w14:textId="136A9ACC" w:rsidR="00ED3465" w:rsidRPr="00ED3465" w:rsidRDefault="00ED3465" w:rsidP="00ED3465">
            <w:pPr>
              <w:pStyle w:val="ListParagraph"/>
              <w:numPr>
                <w:ilvl w:val="0"/>
                <w:numId w:val="4"/>
              </w:numPr>
              <w:tabs>
                <w:tab w:val="left" w:pos="228"/>
              </w:tabs>
              <w:snapToGrid w:val="0"/>
              <w:spacing w:after="120"/>
              <w:contextualSpacing w:val="0"/>
              <w:rPr>
                <w:rFonts w:cs="Calibri"/>
                <w:bCs/>
                <w:szCs w:val="24"/>
              </w:rPr>
            </w:pPr>
            <w:r w:rsidRPr="00ED3465">
              <w:rPr>
                <w:rFonts w:asciiTheme="minorHAnsi" w:hAnsiTheme="minorHAnsi" w:cstheme="minorHAnsi"/>
                <w:bCs/>
                <w:szCs w:val="24"/>
              </w:rPr>
              <w:t>H</w:t>
            </w:r>
            <w:proofErr w:type="spellStart"/>
            <w:r w:rsidRPr="00ED3465">
              <w:rPr>
                <w:rFonts w:ascii="Calibri" w:hAnsi="Calibri"/>
                <w:lang w:val="en-US"/>
              </w:rPr>
              <w:t>uman</w:t>
            </w:r>
            <w:proofErr w:type="spellEnd"/>
            <w:r w:rsidRPr="00ED3465">
              <w:rPr>
                <w:rFonts w:ascii="Calibri" w:hAnsi="Calibri"/>
                <w:lang w:val="en-US"/>
              </w:rPr>
              <w:t xml:space="preserve"> Resources Reporting and Statistics</w:t>
            </w:r>
            <w:r w:rsidRPr="00ED3465" w:rsidDel="00447E2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4D390589" w14:textId="77777777" w:rsidR="00ED3465" w:rsidRPr="00ED3465" w:rsidRDefault="00ED3465" w:rsidP="00ED3465">
            <w:pPr>
              <w:spacing w:after="120"/>
            </w:pPr>
          </w:p>
          <w:p w14:paraId="0206C8BF" w14:textId="6FF6B698" w:rsidR="00ED3465" w:rsidRPr="00ED3465" w:rsidRDefault="00ED3465" w:rsidP="00ED3465">
            <w:pPr>
              <w:spacing w:after="120"/>
              <w:rPr>
                <w:rFonts w:cs="Calibri"/>
                <w:szCs w:val="24"/>
                <w:u w:val="single"/>
              </w:rPr>
            </w:pPr>
            <w:hyperlink r:id="rId9" w:history="1">
              <w:r w:rsidRPr="00ED3465">
                <w:rPr>
                  <w:rStyle w:val="Hyperlink"/>
                  <w:rFonts w:cs="Calibri"/>
                  <w:szCs w:val="24"/>
                </w:rPr>
                <w:t>CWG-FHR-16</w:t>
              </w:r>
              <w:r w:rsidRPr="00ED3465">
                <w:rPr>
                  <w:rStyle w:val="Hyperlink"/>
                  <w:rFonts w:cs="Calibri"/>
                  <w:szCs w:val="24"/>
                </w:rPr>
                <w:t>/</w:t>
              </w:r>
              <w:r w:rsidRPr="00ED3465">
                <w:rPr>
                  <w:rStyle w:val="Hyperlink"/>
                  <w:rFonts w:cs="Calibri"/>
                  <w:szCs w:val="24"/>
                </w:rPr>
                <w:t>9</w:t>
              </w:r>
            </w:hyperlink>
          </w:p>
        </w:tc>
      </w:tr>
      <w:tr w:rsidR="00ED3465" w:rsidRPr="00ED3465" w14:paraId="0CC52F9D" w14:textId="24DF1C5F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55523160" w14:textId="3D865732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814" w:type="dxa"/>
            <w:shd w:val="clear" w:color="auto" w:fill="auto"/>
          </w:tcPr>
          <w:p w14:paraId="7BFEF57E" w14:textId="3EDC497C" w:rsidR="00ED3465" w:rsidRPr="00C049DF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cs="Calibri"/>
                <w:szCs w:val="24"/>
              </w:rPr>
            </w:pPr>
            <w:r w:rsidRPr="00C049DF">
              <w:rPr>
                <w:rFonts w:cs="Calibri"/>
                <w:szCs w:val="24"/>
              </w:rPr>
              <w:t>Finance:</w:t>
            </w:r>
          </w:p>
          <w:p w14:paraId="3BBD5B13" w14:textId="6F154659" w:rsidR="00ED3465" w:rsidRPr="00C049DF" w:rsidRDefault="00ED3465" w:rsidP="00ED3465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</w:tabs>
              <w:spacing w:after="120"/>
              <w:contextualSpacing w:val="0"/>
              <w:rPr>
                <w:rFonts w:ascii="Calibri" w:hAnsi="Calibri" w:cs="Calibri"/>
                <w:szCs w:val="24"/>
                <w:lang w:val="en-US"/>
              </w:rPr>
            </w:pPr>
            <w:r w:rsidRPr="00C049DF">
              <w:rPr>
                <w:rFonts w:ascii="Calibri" w:hAnsi="Calibri" w:cs="Calibri"/>
                <w:bCs/>
                <w:szCs w:val="24"/>
              </w:rPr>
              <w:t>Provisional forecast of the budget 2023 implementation</w:t>
            </w:r>
          </w:p>
          <w:p w14:paraId="69E68BAB" w14:textId="60669D1F" w:rsidR="00ED3465" w:rsidRPr="00C049DF" w:rsidRDefault="00ED3465" w:rsidP="00ED3465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napToGrid w:val="0"/>
              <w:spacing w:after="120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C049DF">
              <w:rPr>
                <w:rFonts w:ascii="Calibri" w:hAnsi="Calibri" w:cs="Calibri"/>
                <w:szCs w:val="24"/>
                <w:lang w:val="en-US"/>
              </w:rPr>
              <w:t>In-kind contributions guidelines</w:t>
            </w:r>
          </w:p>
          <w:p w14:paraId="4D3D0E49" w14:textId="3AF6D1C0" w:rsidR="00ED3465" w:rsidRPr="00C049DF" w:rsidRDefault="00ED3465" w:rsidP="00ED3465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napToGrid w:val="0"/>
              <w:spacing w:after="120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C049DF">
              <w:rPr>
                <w:rFonts w:ascii="Calibri" w:hAnsi="Calibri" w:cs="Calibri"/>
                <w:szCs w:val="24"/>
                <w14:ligatures w14:val="standardContextual"/>
              </w:rPr>
              <w:t>In-kind contributions - survey from other organizations</w:t>
            </w:r>
          </w:p>
        </w:tc>
        <w:tc>
          <w:tcPr>
            <w:tcW w:w="2257" w:type="dxa"/>
          </w:tcPr>
          <w:p w14:paraId="243D83E4" w14:textId="77777777" w:rsidR="00ED3465" w:rsidRPr="00C049DF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</w:p>
          <w:p w14:paraId="57F783A0" w14:textId="77777777" w:rsidR="00ED3465" w:rsidRPr="00C049DF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C049DF">
              <w:rPr>
                <w:rFonts w:cs="Calibri"/>
                <w:bCs/>
                <w:szCs w:val="24"/>
              </w:rPr>
              <w:t>Oral presentation</w:t>
            </w:r>
          </w:p>
          <w:p w14:paraId="34BED327" w14:textId="53755981" w:rsidR="00ED3465" w:rsidRPr="00C049DF" w:rsidRDefault="00ED3465" w:rsidP="00ED3465">
            <w:pPr>
              <w:spacing w:after="120"/>
              <w:rPr>
                <w:rStyle w:val="Hyperlink"/>
                <w:rFonts w:cs="Calibri"/>
                <w:szCs w:val="24"/>
              </w:rPr>
            </w:pPr>
            <w:hyperlink r:id="rId10" w:history="1">
              <w:r w:rsidRPr="00C049DF">
                <w:rPr>
                  <w:rStyle w:val="Hyperlink"/>
                  <w:rFonts w:cs="Calibri"/>
                  <w:szCs w:val="24"/>
                </w:rPr>
                <w:t>CW</w:t>
              </w:r>
              <w:r w:rsidRPr="00C049DF">
                <w:rPr>
                  <w:rStyle w:val="Hyperlink"/>
                  <w:rFonts w:cs="Calibri"/>
                  <w:szCs w:val="24"/>
                </w:rPr>
                <w:t>G</w:t>
              </w:r>
              <w:r w:rsidRPr="00C049DF">
                <w:rPr>
                  <w:rStyle w:val="Hyperlink"/>
                  <w:rFonts w:cs="Calibri"/>
                  <w:szCs w:val="24"/>
                </w:rPr>
                <w:t>-FH</w:t>
              </w:r>
              <w:r w:rsidRPr="00C049DF">
                <w:rPr>
                  <w:rStyle w:val="Hyperlink"/>
                  <w:rFonts w:cs="Calibri"/>
                  <w:szCs w:val="24"/>
                </w:rPr>
                <w:t>R</w:t>
              </w:r>
              <w:r w:rsidRPr="00C049DF">
                <w:rPr>
                  <w:rStyle w:val="Hyperlink"/>
                  <w:rFonts w:cs="Calibri"/>
                  <w:szCs w:val="24"/>
                </w:rPr>
                <w:t>-16/2</w:t>
              </w:r>
            </w:hyperlink>
          </w:p>
          <w:p w14:paraId="66F9808B" w14:textId="46255009" w:rsidR="00ED3465" w:rsidRPr="00C049DF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  <w:hyperlink r:id="rId11" w:history="1">
              <w:r w:rsidRPr="00C049DF">
                <w:rPr>
                  <w:rStyle w:val="Hyperlink"/>
                  <w:rFonts w:cs="Calibri"/>
                  <w:szCs w:val="24"/>
                </w:rPr>
                <w:t>CWG-F</w:t>
              </w:r>
              <w:r w:rsidRPr="00C049DF">
                <w:rPr>
                  <w:rStyle w:val="Hyperlink"/>
                  <w:rFonts w:cs="Calibri"/>
                  <w:szCs w:val="24"/>
                </w:rPr>
                <w:t>H</w:t>
              </w:r>
              <w:r w:rsidRPr="00C049DF">
                <w:rPr>
                  <w:rStyle w:val="Hyperlink"/>
                  <w:rFonts w:cs="Calibri"/>
                  <w:szCs w:val="24"/>
                </w:rPr>
                <w:t>R-16/INF/2</w:t>
              </w:r>
            </w:hyperlink>
          </w:p>
        </w:tc>
      </w:tr>
      <w:tr w:rsidR="00ED3465" w:rsidRPr="00ED3465" w14:paraId="0A971FD1" w14:textId="07593085" w:rsidTr="00ED3465">
        <w:trPr>
          <w:trHeight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BC0F" w14:textId="667CD144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75DA" w14:textId="595C41A5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ED3465">
              <w:rPr>
                <w:rFonts w:asciiTheme="minorHAnsi" w:hAnsiTheme="minorHAnsi" w:cstheme="minorHAnsi"/>
                <w:szCs w:val="24"/>
              </w:rPr>
              <w:t>Towards a resource mobilization strategy: outcomes of the ITU World Café on revenue generation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CFA" w14:textId="4BB103BD" w:rsidR="00ED3465" w:rsidRPr="00ED3465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  <w:hyperlink r:id="rId12" w:history="1">
              <w:r w:rsidRPr="00ED3465">
                <w:rPr>
                  <w:rStyle w:val="Hyperlink"/>
                  <w:rFonts w:cs="Calibri"/>
                  <w:szCs w:val="24"/>
                </w:rPr>
                <w:t>CW</w:t>
              </w:r>
              <w:r w:rsidRPr="00ED3465">
                <w:rPr>
                  <w:rStyle w:val="Hyperlink"/>
                  <w:rFonts w:cs="Calibri"/>
                  <w:szCs w:val="24"/>
                </w:rPr>
                <w:t>G</w:t>
              </w:r>
              <w:r w:rsidRPr="00ED3465">
                <w:rPr>
                  <w:rStyle w:val="Hyperlink"/>
                  <w:rFonts w:cs="Calibri"/>
                  <w:szCs w:val="24"/>
                </w:rPr>
                <w:t>-FHR-16/11</w:t>
              </w:r>
            </w:hyperlink>
          </w:p>
        </w:tc>
      </w:tr>
      <w:tr w:rsidR="00ED3465" w:rsidRPr="00ED3465" w14:paraId="6B3BA990" w14:textId="00650339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132DA6BB" w14:textId="155AADD5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814" w:type="dxa"/>
            <w:shd w:val="clear" w:color="auto" w:fill="auto"/>
          </w:tcPr>
          <w:p w14:paraId="5A3A9591" w14:textId="737C6B8A" w:rsidR="00ED3465" w:rsidRPr="00ED3465" w:rsidRDefault="00ED3465" w:rsidP="00ED3465">
            <w:pPr>
              <w:spacing w:after="120"/>
              <w:rPr>
                <w:rFonts w:cs="Calibri"/>
                <w:bCs/>
                <w:szCs w:val="24"/>
              </w:rPr>
            </w:pPr>
            <w:r w:rsidRPr="00ED3465">
              <w:rPr>
                <w:rFonts w:cs="Calibri"/>
                <w:bCs/>
                <w:szCs w:val="24"/>
              </w:rPr>
              <w:t xml:space="preserve">Accountability: </w:t>
            </w:r>
          </w:p>
          <w:p w14:paraId="59620A2F" w14:textId="7FD495C4" w:rsidR="00ED3465" w:rsidRPr="00ED3465" w:rsidRDefault="00ED3465" w:rsidP="00ED3465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</w:tabs>
              <w:spacing w:after="120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D3465">
              <w:rPr>
                <w:rFonts w:ascii="Calibri" w:hAnsi="Calibri" w:cs="Calibri"/>
                <w:bCs/>
              </w:rPr>
              <w:t>Presentation on risk management and compliance activities</w:t>
            </w:r>
          </w:p>
        </w:tc>
        <w:tc>
          <w:tcPr>
            <w:tcW w:w="2257" w:type="dxa"/>
          </w:tcPr>
          <w:p w14:paraId="0724800A" w14:textId="77777777" w:rsidR="00ED3465" w:rsidRPr="00ED3465" w:rsidRDefault="00ED3465" w:rsidP="00ED3465">
            <w:pPr>
              <w:snapToGrid w:val="0"/>
              <w:spacing w:after="120"/>
              <w:rPr>
                <w:rFonts w:cs="Calibri"/>
                <w:szCs w:val="24"/>
                <w:u w:val="single"/>
              </w:rPr>
            </w:pPr>
          </w:p>
          <w:p w14:paraId="212D8B09" w14:textId="3EC144BD" w:rsidR="00ED3465" w:rsidRPr="00ED3465" w:rsidRDefault="00ED3465" w:rsidP="00ED3465">
            <w:pPr>
              <w:spacing w:after="120"/>
              <w:rPr>
                <w:rFonts w:cs="Calibri"/>
                <w:szCs w:val="24"/>
                <w:u w:val="single"/>
              </w:rPr>
            </w:pPr>
            <w:hyperlink r:id="rId13" w:history="1">
              <w:r w:rsidRPr="00ED3465">
                <w:rPr>
                  <w:rStyle w:val="Hyperlink"/>
                  <w:rFonts w:cs="Calibri"/>
                  <w:szCs w:val="24"/>
                </w:rPr>
                <w:t>CWG-FHR-</w:t>
              </w:r>
              <w:r w:rsidRPr="00ED3465">
                <w:rPr>
                  <w:rStyle w:val="Hyperlink"/>
                  <w:rFonts w:cs="Calibri"/>
                  <w:szCs w:val="24"/>
                </w:rPr>
                <w:t>1</w:t>
              </w:r>
              <w:r w:rsidRPr="00ED3465">
                <w:rPr>
                  <w:rStyle w:val="Hyperlink"/>
                  <w:rFonts w:cs="Calibri"/>
                  <w:szCs w:val="24"/>
                </w:rPr>
                <w:t>6/4</w:t>
              </w:r>
            </w:hyperlink>
          </w:p>
        </w:tc>
      </w:tr>
    </w:tbl>
    <w:p w14:paraId="44C657FF" w14:textId="77777777" w:rsidR="00976D59" w:rsidRDefault="00976D59">
      <w: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02"/>
        <w:gridCol w:w="12"/>
        <w:gridCol w:w="2257"/>
      </w:tblGrid>
      <w:tr w:rsidR="00ED3465" w:rsidRPr="00ED3465" w14:paraId="7FE4E5AB" w14:textId="1E71C59C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4D36543A" w14:textId="2F596AE6" w:rsidR="00ED3465" w:rsidRPr="00ED3465" w:rsidRDefault="00F4787F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lastRenderedPageBreak/>
              <w:t>7</w:t>
            </w:r>
          </w:p>
        </w:tc>
        <w:tc>
          <w:tcPr>
            <w:tcW w:w="7802" w:type="dxa"/>
            <w:shd w:val="clear" w:color="auto" w:fill="auto"/>
          </w:tcPr>
          <w:p w14:paraId="64912A17" w14:textId="43B210D4" w:rsidR="00ED3465" w:rsidRPr="00ED3465" w:rsidRDefault="00ED3465" w:rsidP="00ED3465">
            <w:pPr>
              <w:pStyle w:val="ListParagraph"/>
              <w:tabs>
                <w:tab w:val="clear" w:pos="794"/>
              </w:tabs>
              <w:snapToGrid w:val="0"/>
              <w:spacing w:after="120"/>
              <w:ind w:left="40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D3465">
              <w:rPr>
                <w:rFonts w:asciiTheme="minorHAnsi" w:hAnsiTheme="minorHAnsi" w:cstheme="minorHAnsi"/>
                <w:color w:val="000000"/>
                <w:szCs w:val="24"/>
              </w:rPr>
              <w:t xml:space="preserve">Progress report on the Union’s headquarters premises project </w:t>
            </w:r>
          </w:p>
          <w:p w14:paraId="0D784351" w14:textId="03249726" w:rsidR="00ED3465" w:rsidRPr="00ED3465" w:rsidRDefault="00ED3465" w:rsidP="00ED3465">
            <w:pPr>
              <w:pStyle w:val="ListParagraph"/>
              <w:tabs>
                <w:tab w:val="clear" w:pos="794"/>
              </w:tabs>
              <w:snapToGrid w:val="0"/>
              <w:spacing w:after="120"/>
              <w:ind w:left="40"/>
              <w:contextualSpacing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ED3465">
              <w:rPr>
                <w:rFonts w:asciiTheme="minorHAnsi" w:hAnsiTheme="minorHAnsi" w:cstheme="minorHAnsi"/>
                <w:color w:val="000000"/>
                <w:szCs w:val="24"/>
              </w:rPr>
              <w:t>MSAG Report</w:t>
            </w:r>
          </w:p>
        </w:tc>
        <w:tc>
          <w:tcPr>
            <w:tcW w:w="2269" w:type="dxa"/>
            <w:gridSpan w:val="2"/>
          </w:tcPr>
          <w:p w14:paraId="7615F38D" w14:textId="4DA4A5FC" w:rsidR="00ED3465" w:rsidRPr="00ED3465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  <w:hyperlink r:id="rId14" w:history="1">
              <w:r w:rsidRPr="00ED3465">
                <w:rPr>
                  <w:rStyle w:val="Hyperlink"/>
                  <w:rFonts w:cs="Calibri"/>
                  <w:szCs w:val="24"/>
                  <w:lang w:val="en-US"/>
                </w:rPr>
                <w:t>CWG-FHR-1</w:t>
              </w:r>
              <w:r w:rsidRPr="00ED3465">
                <w:rPr>
                  <w:rStyle w:val="Hyperlink"/>
                  <w:rFonts w:cs="Calibri"/>
                  <w:szCs w:val="24"/>
                  <w:lang w:val="en-US"/>
                </w:rPr>
                <w:t>6</w:t>
              </w:r>
              <w:r w:rsidRPr="00ED3465">
                <w:rPr>
                  <w:rStyle w:val="Hyperlink"/>
                  <w:rFonts w:cs="Calibri"/>
                  <w:szCs w:val="24"/>
                  <w:lang w:val="en-US"/>
                </w:rPr>
                <w:t>/15</w:t>
              </w:r>
            </w:hyperlink>
          </w:p>
          <w:p w14:paraId="59BB4222" w14:textId="022820F3" w:rsidR="00ED3465" w:rsidRPr="00ED3465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</w:p>
        </w:tc>
      </w:tr>
      <w:tr w:rsidR="00ED3465" w:rsidRPr="00ED3465" w14:paraId="761D9EF0" w14:textId="348861DB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267550AB" w14:textId="47F3B96C" w:rsidR="00ED3465" w:rsidRPr="00ED3465" w:rsidRDefault="00F4787F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8</w:t>
            </w:r>
          </w:p>
        </w:tc>
        <w:tc>
          <w:tcPr>
            <w:tcW w:w="7802" w:type="dxa"/>
            <w:shd w:val="clear" w:color="auto" w:fill="auto"/>
          </w:tcPr>
          <w:p w14:paraId="7DA46BE9" w14:textId="742A8354" w:rsidR="00ED3465" w:rsidRPr="00ED3465" w:rsidRDefault="00ED3465" w:rsidP="00ED3465">
            <w:pPr>
              <w:tabs>
                <w:tab w:val="left" w:pos="228"/>
              </w:tabs>
              <w:snapToGrid w:val="0"/>
              <w:spacing w:after="120"/>
              <w:rPr>
                <w:color w:val="000000"/>
                <w:szCs w:val="24"/>
              </w:rPr>
            </w:pPr>
            <w:r w:rsidRPr="00ED3465">
              <w:rPr>
                <w:rFonts w:asciiTheme="minorHAnsi" w:hAnsiTheme="minorHAnsi" w:cstheme="minorHAnsi"/>
                <w:lang w:val="en-US"/>
              </w:rPr>
              <w:t>Report on cybersecurity framework and internal IT controls within ITU</w:t>
            </w:r>
          </w:p>
        </w:tc>
        <w:tc>
          <w:tcPr>
            <w:tcW w:w="2269" w:type="dxa"/>
            <w:gridSpan w:val="2"/>
          </w:tcPr>
          <w:p w14:paraId="27CCC7E7" w14:textId="33A8E100" w:rsidR="00ED3465" w:rsidRPr="00ED3465" w:rsidRDefault="00ED3465" w:rsidP="00ED3465">
            <w:pPr>
              <w:spacing w:after="120"/>
              <w:rPr>
                <w:rFonts w:cs="Calibri"/>
                <w:szCs w:val="24"/>
                <w:lang w:val="en-US"/>
              </w:rPr>
            </w:pPr>
            <w:hyperlink r:id="rId15" w:history="1">
              <w:r w:rsidRPr="00ED3465">
                <w:rPr>
                  <w:rStyle w:val="Hyperlink"/>
                  <w:rFonts w:cs="Calibri"/>
                  <w:szCs w:val="24"/>
                </w:rPr>
                <w:t>CWG-FHR</w:t>
              </w:r>
              <w:r w:rsidRPr="00ED3465">
                <w:rPr>
                  <w:rStyle w:val="Hyperlink"/>
                  <w:rFonts w:cs="Calibri"/>
                  <w:szCs w:val="24"/>
                </w:rPr>
                <w:t>-</w:t>
              </w:r>
              <w:r w:rsidRPr="00ED3465">
                <w:rPr>
                  <w:rStyle w:val="Hyperlink"/>
                  <w:rFonts w:cs="Calibri"/>
                  <w:szCs w:val="24"/>
                </w:rPr>
                <w:t>16/6</w:t>
              </w:r>
            </w:hyperlink>
          </w:p>
        </w:tc>
      </w:tr>
      <w:tr w:rsidR="00ED3465" w:rsidRPr="00ED3465" w14:paraId="76947E9F" w14:textId="0D03428B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1816B6B4" w14:textId="3B0DF79D" w:rsidR="00ED3465" w:rsidRPr="00ED3465" w:rsidRDefault="00F4787F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9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3A6BD8F4" w14:textId="0128B04E" w:rsidR="00ED3465" w:rsidRPr="00ED3465" w:rsidRDefault="00ED3465" w:rsidP="00ED3465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 w:rsidRPr="00ED3465">
              <w:rPr>
                <w:rFonts w:asciiTheme="minorHAnsi" w:hAnsiTheme="minorHAnsi" w:cstheme="minorHAnsi"/>
                <w:lang w:val="en-US"/>
              </w:rPr>
              <w:t>Strengthening the Regional Presence (Resolution 25 (Rev. Bucharest, 2022)) - Criteria for Establishing Future Area Offices</w:t>
            </w:r>
          </w:p>
        </w:tc>
        <w:tc>
          <w:tcPr>
            <w:tcW w:w="2257" w:type="dxa"/>
          </w:tcPr>
          <w:p w14:paraId="566EE002" w14:textId="53AF5902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16" w:history="1">
              <w:r w:rsidRPr="00ED3465">
                <w:rPr>
                  <w:rStyle w:val="Hyperlink"/>
                  <w:rFonts w:cs="Calibri"/>
                  <w:szCs w:val="24"/>
                </w:rPr>
                <w:t>CWG</w:t>
              </w:r>
              <w:r w:rsidRPr="00ED3465">
                <w:rPr>
                  <w:rStyle w:val="Hyperlink"/>
                  <w:rFonts w:cs="Calibri"/>
                  <w:szCs w:val="24"/>
                </w:rPr>
                <w:t>-</w:t>
              </w:r>
              <w:r w:rsidRPr="00ED3465">
                <w:rPr>
                  <w:rStyle w:val="Hyperlink"/>
                  <w:rFonts w:cs="Calibri"/>
                  <w:szCs w:val="24"/>
                </w:rPr>
                <w:t>FHR-16/1</w:t>
              </w:r>
              <w:r w:rsidRPr="00ED3465">
                <w:rPr>
                  <w:rStyle w:val="Hyperlink"/>
                </w:rPr>
                <w:t>0</w:t>
              </w:r>
            </w:hyperlink>
          </w:p>
        </w:tc>
      </w:tr>
      <w:tr w:rsidR="00ED3465" w:rsidRPr="00ED3465" w14:paraId="04E5512A" w14:textId="501463B6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39CA880F" w14:textId="5572A0FA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0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14092F95" w14:textId="2D4E3C2E" w:rsidR="00ED3465" w:rsidRPr="00675DA0" w:rsidRDefault="00ED3465" w:rsidP="00675DA0">
            <w:pPr>
              <w:tabs>
                <w:tab w:val="left" w:pos="215"/>
              </w:tabs>
              <w:snapToGrid w:val="0"/>
              <w:spacing w:after="120"/>
              <w:rPr>
                <w:rFonts w:cs="Calibri"/>
                <w:szCs w:val="24"/>
              </w:rPr>
            </w:pPr>
            <w:r w:rsidRPr="00ED3465">
              <w:rPr>
                <w:rFonts w:cs="Calibri"/>
                <w:szCs w:val="24"/>
              </w:rPr>
              <w:t xml:space="preserve">Operational transformation </w:t>
            </w:r>
          </w:p>
          <w:p w14:paraId="067EF30D" w14:textId="71810AB4" w:rsidR="00ED3465" w:rsidRPr="00ED3465" w:rsidRDefault="00ED3465" w:rsidP="00ED3465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napToGrid w:val="0"/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ED3465">
              <w:rPr>
                <w:rFonts w:asciiTheme="minorHAnsi" w:hAnsiTheme="minorHAnsi" w:cstheme="minorHAnsi"/>
                <w:bCs/>
                <w:szCs w:val="24"/>
              </w:rPr>
              <w:t>Proposed amendments to the Financial Regulations and Financial Rules</w:t>
            </w:r>
            <w:r w:rsidR="006540E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F4787F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6540E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F4787F">
              <w:rPr>
                <w:rFonts w:asciiTheme="minorHAnsi" w:hAnsiTheme="minorHAnsi" w:cstheme="minorHAnsi"/>
                <w:bCs/>
                <w:szCs w:val="24"/>
              </w:rPr>
              <w:t>Edition 2018</w:t>
            </w:r>
          </w:p>
          <w:p w14:paraId="081EEEF1" w14:textId="474392E9" w:rsidR="00ED3465" w:rsidRPr="00ED3465" w:rsidRDefault="00ED3465" w:rsidP="00ED3465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</w:tabs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ED3465">
              <w:rPr>
                <w:rFonts w:asciiTheme="minorHAnsi" w:hAnsiTheme="minorHAnsi" w:cstheme="minorHAnsi"/>
                <w:bCs/>
                <w:szCs w:val="24"/>
              </w:rPr>
              <w:t>Proposal of an oversight charter</w:t>
            </w:r>
          </w:p>
        </w:tc>
        <w:tc>
          <w:tcPr>
            <w:tcW w:w="2257" w:type="dxa"/>
          </w:tcPr>
          <w:p w14:paraId="2BFC26C6" w14:textId="4EED3817" w:rsidR="00ED3465" w:rsidRPr="00ED3465" w:rsidRDefault="00F4787F" w:rsidP="00ED3465">
            <w:pPr>
              <w:snapToGrid w:val="0"/>
              <w:spacing w:after="120"/>
              <w:rPr>
                <w:rFonts w:cs="Calibri"/>
              </w:rPr>
            </w:pPr>
            <w:hyperlink r:id="rId17" w:history="1">
              <w:r w:rsidRPr="00ED3465">
                <w:rPr>
                  <w:rStyle w:val="Hyperlink"/>
                  <w:rFonts w:cs="Calibri"/>
                  <w:szCs w:val="24"/>
                </w:rPr>
                <w:t>CWG-FHR-16/</w:t>
              </w:r>
              <w:r>
                <w:rPr>
                  <w:rStyle w:val="Hyperlink"/>
                  <w:rFonts w:cs="Calibri"/>
                  <w:szCs w:val="24"/>
                </w:rPr>
                <w:t>8</w:t>
              </w:r>
            </w:hyperlink>
          </w:p>
          <w:p w14:paraId="567F6E85" w14:textId="1BD130EF" w:rsidR="00F4787F" w:rsidRDefault="00ED3465" w:rsidP="00ED3465">
            <w:pPr>
              <w:snapToGrid w:val="0"/>
              <w:spacing w:after="120"/>
            </w:pPr>
            <w:hyperlink r:id="rId18" w:history="1">
              <w:r w:rsidRPr="00ED3465">
                <w:rPr>
                  <w:rStyle w:val="Hyperlink"/>
                  <w:rFonts w:cs="Calibri"/>
                  <w:szCs w:val="24"/>
                </w:rPr>
                <w:t>CWG</w:t>
              </w:r>
              <w:r w:rsidRPr="00ED3465">
                <w:rPr>
                  <w:rStyle w:val="Hyperlink"/>
                  <w:rFonts w:cs="Calibri"/>
                  <w:szCs w:val="24"/>
                </w:rPr>
                <w:t>-</w:t>
              </w:r>
              <w:r w:rsidRPr="00ED3465">
                <w:rPr>
                  <w:rStyle w:val="Hyperlink"/>
                  <w:rFonts w:cs="Calibri"/>
                  <w:szCs w:val="24"/>
                </w:rPr>
                <w:t>FHR-16/3</w:t>
              </w:r>
            </w:hyperlink>
            <w:r w:rsidR="00F4787F">
              <w:rPr>
                <w:rStyle w:val="Hyperlink"/>
                <w:rFonts w:cs="Calibri"/>
                <w:szCs w:val="24"/>
              </w:rPr>
              <w:br/>
            </w:r>
          </w:p>
          <w:p w14:paraId="25C154F7" w14:textId="74F0D745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19" w:history="1">
              <w:r w:rsidRPr="00ED3465">
                <w:rPr>
                  <w:rStyle w:val="Hyperlink"/>
                </w:rPr>
                <w:t>CWG</w:t>
              </w:r>
              <w:r w:rsidRPr="00ED3465">
                <w:rPr>
                  <w:rStyle w:val="Hyperlink"/>
                </w:rPr>
                <w:t>-</w:t>
              </w:r>
              <w:r w:rsidRPr="00ED3465">
                <w:rPr>
                  <w:rStyle w:val="Hyperlink"/>
                </w:rPr>
                <w:t>FHR-16/14</w:t>
              </w:r>
            </w:hyperlink>
          </w:p>
        </w:tc>
      </w:tr>
      <w:tr w:rsidR="00ED3465" w:rsidRPr="00ED3465" w14:paraId="733827CA" w14:textId="38B3B873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526FA72D" w14:textId="0A5321BE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802" w:type="dxa"/>
            <w:shd w:val="clear" w:color="auto" w:fill="auto"/>
          </w:tcPr>
          <w:p w14:paraId="206D47DF" w14:textId="5ED6D5F1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ED3465">
              <w:rPr>
                <w:rFonts w:asciiTheme="minorHAnsi" w:hAnsiTheme="minorHAnsi" w:cstheme="minorHAnsi"/>
                <w:szCs w:val="24"/>
              </w:rPr>
              <w:t>Implementation of Resolution 167 (Rev. Bucharest, 2022) of the Plenipotentiary Conference from 2024 and beyond</w:t>
            </w:r>
          </w:p>
        </w:tc>
        <w:tc>
          <w:tcPr>
            <w:tcW w:w="2269" w:type="dxa"/>
            <w:gridSpan w:val="2"/>
          </w:tcPr>
          <w:p w14:paraId="1B6B01FE" w14:textId="0723057D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20" w:history="1">
              <w:r w:rsidRPr="00ED3465">
                <w:rPr>
                  <w:rStyle w:val="Hyperlink"/>
                  <w:rFonts w:cs="Calibri"/>
                  <w:szCs w:val="24"/>
                </w:rPr>
                <w:t>CW</w:t>
              </w:r>
              <w:r w:rsidRPr="00ED3465">
                <w:rPr>
                  <w:rStyle w:val="Hyperlink"/>
                  <w:rFonts w:cs="Calibri"/>
                  <w:szCs w:val="24"/>
                </w:rPr>
                <w:t>G</w:t>
              </w:r>
              <w:r w:rsidRPr="00ED3465">
                <w:rPr>
                  <w:rStyle w:val="Hyperlink"/>
                  <w:rFonts w:cs="Calibri"/>
                  <w:szCs w:val="24"/>
                </w:rPr>
                <w:t>-FHR-16/7</w:t>
              </w:r>
            </w:hyperlink>
          </w:p>
        </w:tc>
      </w:tr>
      <w:tr w:rsidR="00ED3465" w:rsidRPr="00ED3465" w14:paraId="795A9CBE" w14:textId="69208CB0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6B236C93" w14:textId="3235C308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49092ABA" w14:textId="46EC1C27" w:rsidR="00ED3465" w:rsidRPr="00ED3465" w:rsidRDefault="00ED3465" w:rsidP="00ED34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bCs/>
                <w:szCs w:val="24"/>
              </w:rPr>
            </w:pPr>
            <w:r w:rsidRPr="00ED3465">
              <w:rPr>
                <w14:ligatures w14:val="standardContextual"/>
              </w:rPr>
              <w:t>Strategy for Inter-Sectoral Coordination</w:t>
            </w:r>
          </w:p>
        </w:tc>
        <w:tc>
          <w:tcPr>
            <w:tcW w:w="2257" w:type="dxa"/>
          </w:tcPr>
          <w:p w14:paraId="7FB90DFD" w14:textId="3BD1D510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21" w:history="1">
              <w:r w:rsidRPr="00ED3465">
                <w:rPr>
                  <w:rStyle w:val="Hyperlink"/>
                  <w:rFonts w:cs="Calibri"/>
                  <w:szCs w:val="24"/>
                </w:rPr>
                <w:t>CWG-FHR-16</w:t>
              </w:r>
              <w:r w:rsidRPr="00ED3465">
                <w:rPr>
                  <w:rStyle w:val="Hyperlink"/>
                  <w:rFonts w:cs="Calibri"/>
                  <w:szCs w:val="24"/>
                </w:rPr>
                <w:t>/</w:t>
              </w:r>
              <w:r w:rsidRPr="00ED3465">
                <w:rPr>
                  <w:rStyle w:val="Hyperlink"/>
                  <w:rFonts w:cs="Calibri"/>
                  <w:szCs w:val="24"/>
                </w:rPr>
                <w:t>5</w:t>
              </w:r>
            </w:hyperlink>
          </w:p>
        </w:tc>
      </w:tr>
      <w:tr w:rsidR="00ED3465" w:rsidRPr="00ED3465" w14:paraId="1EFAE851" w14:textId="53DDE187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38EB389F" w14:textId="1D16C0A2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6DD7C40C" w14:textId="481E4128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cs="Calibri"/>
              </w:rPr>
            </w:pPr>
            <w:r w:rsidRPr="00ED3465">
              <w:rPr>
                <w:rFonts w:cs="Calibri"/>
              </w:rPr>
              <w:t>The development of the report on the One ITU implementation</w:t>
            </w:r>
          </w:p>
          <w:p w14:paraId="32E7FAF6" w14:textId="4AB71CC6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cs="Calibri"/>
              </w:rPr>
            </w:pPr>
            <w:r w:rsidRPr="00ED3465">
              <w:rPr>
                <w:rFonts w:cs="Calibri"/>
              </w:rPr>
              <w:t>The use of the "One ITU" concept</w:t>
            </w:r>
          </w:p>
        </w:tc>
        <w:tc>
          <w:tcPr>
            <w:tcW w:w="2257" w:type="dxa"/>
          </w:tcPr>
          <w:p w14:paraId="2A389DCB" w14:textId="1B08B12C" w:rsidR="00ED3465" w:rsidRPr="00ED3465" w:rsidRDefault="00ED3465" w:rsidP="00ED3465">
            <w:pPr>
              <w:snapToGrid w:val="0"/>
              <w:spacing w:after="120"/>
            </w:pPr>
            <w:hyperlink r:id="rId22" w:history="1">
              <w:r w:rsidRPr="00ED3465">
                <w:rPr>
                  <w:rStyle w:val="Hyperlink"/>
                </w:rPr>
                <w:t>CWG-FHR-</w:t>
              </w:r>
              <w:r w:rsidRPr="00ED3465">
                <w:rPr>
                  <w:rStyle w:val="Hyperlink"/>
                </w:rPr>
                <w:t>1</w:t>
              </w:r>
              <w:r w:rsidRPr="00ED3465">
                <w:rPr>
                  <w:rStyle w:val="Hyperlink"/>
                </w:rPr>
                <w:t>6/13</w:t>
              </w:r>
            </w:hyperlink>
          </w:p>
          <w:p w14:paraId="089388FC" w14:textId="74382D8E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23" w:history="1">
              <w:r w:rsidRPr="00ED3465">
                <w:rPr>
                  <w:rStyle w:val="Hyperlink"/>
                  <w:rFonts w:cs="Calibri"/>
                </w:rPr>
                <w:t>CWG-FHR-16/</w:t>
              </w:r>
              <w:r w:rsidRPr="00ED3465">
                <w:rPr>
                  <w:rStyle w:val="Hyperlink"/>
                  <w:rFonts w:cs="Calibri"/>
                </w:rPr>
                <w:t>I</w:t>
              </w:r>
              <w:r w:rsidRPr="00ED3465">
                <w:rPr>
                  <w:rStyle w:val="Hyperlink"/>
                  <w:rFonts w:cs="Calibri"/>
                </w:rPr>
                <w:t>NF/1</w:t>
              </w:r>
            </w:hyperlink>
          </w:p>
        </w:tc>
      </w:tr>
      <w:tr w:rsidR="00ED3465" w:rsidRPr="00ED3465" w14:paraId="26164600" w14:textId="69ADF80B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75013DF4" w14:textId="598B5FCE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4BB2C2FC" w14:textId="75819F72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cs="Calibri"/>
              </w:rPr>
            </w:pPr>
            <w:r w:rsidRPr="00ED3465">
              <w:rPr>
                <w:rFonts w:cs="Calibri"/>
              </w:rPr>
              <w:t xml:space="preserve">Review of the list of exempted entities </w:t>
            </w:r>
          </w:p>
        </w:tc>
        <w:tc>
          <w:tcPr>
            <w:tcW w:w="2257" w:type="dxa"/>
          </w:tcPr>
          <w:p w14:paraId="23EF1571" w14:textId="3E17BE6A" w:rsidR="00ED3465" w:rsidRPr="00ED3465" w:rsidRDefault="00ED3465" w:rsidP="00ED3465">
            <w:pPr>
              <w:snapToGrid w:val="0"/>
              <w:spacing w:after="120"/>
              <w:rPr>
                <w:rFonts w:cs="Calibri"/>
              </w:rPr>
            </w:pPr>
            <w:hyperlink r:id="rId24" w:history="1">
              <w:r w:rsidRPr="00ED3465">
                <w:rPr>
                  <w:rStyle w:val="Hyperlink"/>
                  <w:rFonts w:cs="Calibri"/>
                </w:rPr>
                <w:t>CWG-FH</w:t>
              </w:r>
              <w:r w:rsidRPr="00ED3465">
                <w:rPr>
                  <w:rStyle w:val="Hyperlink"/>
                  <w:rFonts w:cs="Calibri"/>
                </w:rPr>
                <w:t>R</w:t>
              </w:r>
              <w:r w:rsidRPr="00ED3465">
                <w:rPr>
                  <w:rStyle w:val="Hyperlink"/>
                  <w:rFonts w:cs="Calibri"/>
                </w:rPr>
                <w:t>-16/12</w:t>
              </w:r>
            </w:hyperlink>
          </w:p>
        </w:tc>
      </w:tr>
      <w:tr w:rsidR="00ED3465" w:rsidRPr="00ED3465" w14:paraId="35931F0C" w14:textId="0ABDF59B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02258D4C" w14:textId="0C56689C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75AA59BF" w14:textId="7A13F684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lang w:val="en-US"/>
              </w:rPr>
            </w:pPr>
            <w:r w:rsidRPr="00ED3465">
              <w:rPr>
                <w:lang w:val="en-US"/>
              </w:rPr>
              <w:t xml:space="preserve">Council </w:t>
            </w:r>
            <w:r w:rsidR="00F4787F">
              <w:rPr>
                <w:lang w:val="en-US"/>
              </w:rPr>
              <w:t>i</w:t>
            </w:r>
            <w:r w:rsidRPr="00ED3465">
              <w:rPr>
                <w:lang w:val="en-US"/>
              </w:rPr>
              <w:t xml:space="preserve">mprovements </w:t>
            </w:r>
          </w:p>
        </w:tc>
        <w:tc>
          <w:tcPr>
            <w:tcW w:w="2257" w:type="dxa"/>
          </w:tcPr>
          <w:p w14:paraId="2341FCFC" w14:textId="4E1E3DB0" w:rsidR="00ED3465" w:rsidRPr="00ED3465" w:rsidRDefault="00F4787F" w:rsidP="00ED3465">
            <w:pPr>
              <w:spacing w:after="120"/>
              <w:rPr>
                <w:rStyle w:val="Hyperlink"/>
                <w:rFonts w:cs="Calibri"/>
                <w:szCs w:val="24"/>
              </w:rPr>
            </w:pPr>
            <w:hyperlink r:id="rId25" w:history="1">
              <w:r w:rsidR="00ED3465" w:rsidRPr="00F4787F">
                <w:rPr>
                  <w:rStyle w:val="Hyperlink"/>
                  <w:rFonts w:cs="Calibri"/>
                  <w:szCs w:val="24"/>
                </w:rPr>
                <w:t>CWG-FHR-1</w:t>
              </w:r>
              <w:r w:rsidR="00ED3465" w:rsidRPr="00F4787F">
                <w:rPr>
                  <w:rStyle w:val="Hyperlink"/>
                  <w:rFonts w:cs="Calibri"/>
                  <w:szCs w:val="24"/>
                </w:rPr>
                <w:t>6</w:t>
              </w:r>
              <w:r w:rsidR="00ED3465" w:rsidRPr="00F4787F">
                <w:rPr>
                  <w:rStyle w:val="Hyperlink"/>
                  <w:rFonts w:cs="Calibri"/>
                  <w:szCs w:val="24"/>
                </w:rPr>
                <w:t>/INF/</w:t>
              </w:r>
              <w:r w:rsidRPr="00F4787F">
                <w:rPr>
                  <w:rStyle w:val="Hyperlink"/>
                  <w:rFonts w:cs="Calibri"/>
                  <w:szCs w:val="24"/>
                </w:rPr>
                <w:t>3</w:t>
              </w:r>
            </w:hyperlink>
          </w:p>
        </w:tc>
      </w:tr>
      <w:tr w:rsidR="00ED3465" w:rsidRPr="00ED3465" w14:paraId="40AAD6A6" w14:textId="464C7118" w:rsidTr="00ED3465">
        <w:trPr>
          <w:trHeight w:val="567"/>
        </w:trPr>
        <w:tc>
          <w:tcPr>
            <w:tcW w:w="703" w:type="dxa"/>
            <w:shd w:val="clear" w:color="auto" w:fill="auto"/>
          </w:tcPr>
          <w:p w14:paraId="61FFED94" w14:textId="643B75AF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324A3B48" w14:textId="77777777" w:rsidR="00ED3465" w:rsidRPr="00ED3465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cs="Calibri"/>
              </w:rPr>
            </w:pPr>
            <w:r w:rsidRPr="00ED3465">
              <w:rPr>
                <w:rFonts w:cs="Calibri"/>
              </w:rPr>
              <w:t>Other business</w:t>
            </w:r>
          </w:p>
        </w:tc>
        <w:tc>
          <w:tcPr>
            <w:tcW w:w="2257" w:type="dxa"/>
          </w:tcPr>
          <w:p w14:paraId="64D0FDF0" w14:textId="212FF2A0" w:rsidR="00ED3465" w:rsidRPr="00ED3465" w:rsidRDefault="00ED3465" w:rsidP="00ED3465">
            <w:pPr>
              <w:snapToGrid w:val="0"/>
              <w:spacing w:after="120"/>
              <w:jc w:val="center"/>
              <w:rPr>
                <w:rFonts w:cs="Calibri"/>
              </w:rPr>
            </w:pPr>
          </w:p>
        </w:tc>
      </w:tr>
      <w:tr w:rsidR="00ED3465" w:rsidRPr="004414EF" w14:paraId="6CF33E3D" w14:textId="51C13F63" w:rsidTr="00ED3465">
        <w:trPr>
          <w:trHeight w:val="515"/>
        </w:trPr>
        <w:tc>
          <w:tcPr>
            <w:tcW w:w="703" w:type="dxa"/>
            <w:shd w:val="clear" w:color="auto" w:fill="auto"/>
          </w:tcPr>
          <w:p w14:paraId="74F97ECF" w14:textId="29052E9C" w:rsidR="00ED3465" w:rsidRPr="00ED3465" w:rsidRDefault="00ED3465" w:rsidP="00ED3465">
            <w:pPr>
              <w:spacing w:after="120"/>
              <w:jc w:val="center"/>
              <w:rPr>
                <w:rFonts w:cs="Calibri"/>
                <w:b/>
                <w:szCs w:val="24"/>
              </w:rPr>
            </w:pPr>
            <w:r w:rsidRPr="00ED3465">
              <w:rPr>
                <w:rFonts w:cs="Calibri"/>
                <w:b/>
                <w:szCs w:val="24"/>
              </w:rPr>
              <w:t>1</w:t>
            </w:r>
            <w:r w:rsidR="00F4787F">
              <w:rPr>
                <w:rFonts w:cs="Calibri"/>
                <w:b/>
                <w:szCs w:val="24"/>
              </w:rPr>
              <w:t>7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2282C99B" w14:textId="77777777" w:rsidR="00ED3465" w:rsidRPr="004414EF" w:rsidRDefault="00ED3465" w:rsidP="00ED3465">
            <w:pPr>
              <w:tabs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cs="Calibri"/>
              </w:rPr>
            </w:pPr>
            <w:r w:rsidRPr="00ED3465">
              <w:rPr>
                <w:rFonts w:cs="Calibri"/>
                <w:bCs/>
              </w:rPr>
              <w:t>Next meeting</w:t>
            </w:r>
          </w:p>
        </w:tc>
        <w:tc>
          <w:tcPr>
            <w:tcW w:w="2257" w:type="dxa"/>
          </w:tcPr>
          <w:p w14:paraId="0E7D0346" w14:textId="77777777" w:rsidR="00ED3465" w:rsidRPr="00B12D79" w:rsidRDefault="00ED3465" w:rsidP="00F4787F">
            <w:pPr>
              <w:snapToGrid w:val="0"/>
              <w:spacing w:after="120"/>
              <w:jc w:val="center"/>
              <w:rPr>
                <w:rFonts w:cs="Calibri"/>
                <w:bCs/>
                <w:szCs w:val="24"/>
                <w:u w:val="single"/>
              </w:rPr>
            </w:pPr>
          </w:p>
        </w:tc>
      </w:tr>
    </w:tbl>
    <w:bookmarkEnd w:id="3"/>
    <w:bookmarkEnd w:id="4"/>
    <w:bookmarkEnd w:id="5"/>
    <w:bookmarkEnd w:id="8"/>
    <w:p w14:paraId="364D9EAB" w14:textId="46FA16AA" w:rsidR="006F4E57" w:rsidRPr="00ED3465" w:rsidRDefault="00ED3465" w:rsidP="00ED346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840"/>
        <w:jc w:val="center"/>
        <w:rPr>
          <w:rFonts w:cs="Calibri"/>
          <w:bCs/>
        </w:rPr>
      </w:pPr>
      <w:r w:rsidRPr="00ED3465">
        <w:rPr>
          <w:rFonts w:cs="Calibri"/>
          <w:bCs/>
        </w:rPr>
        <w:t>_____________________</w:t>
      </w:r>
    </w:p>
    <w:sectPr w:rsidR="006F4E57" w:rsidRPr="00ED3465" w:rsidSect="00ED3465">
      <w:footerReference w:type="default" r:id="rId26"/>
      <w:headerReference w:type="first" r:id="rId27"/>
      <w:footerReference w:type="first" r:id="rId28"/>
      <w:pgSz w:w="11907" w:h="16834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3C7D" w14:textId="77777777" w:rsidR="00C54184" w:rsidRDefault="00C54184">
      <w:r>
        <w:separator/>
      </w:r>
    </w:p>
  </w:endnote>
  <w:endnote w:type="continuationSeparator" w:id="0">
    <w:p w14:paraId="43A20378" w14:textId="77777777" w:rsidR="00C54184" w:rsidRDefault="00C5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D9F92A8" w:rsidR="00EE49E8" w:rsidRDefault="00ED3465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527081</w:t>
          </w:r>
        </w:p>
      </w:tc>
      <w:tc>
        <w:tcPr>
          <w:tcW w:w="8261" w:type="dxa"/>
        </w:tcPr>
        <w:p w14:paraId="2D49E76E" w14:textId="33429A0A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="00A52C84"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506AE32A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16</w:t>
          </w:r>
          <w:r w:rsidRPr="00623AE3">
            <w:rPr>
              <w:bCs/>
            </w:rPr>
            <w:t>/</w:t>
          </w:r>
          <w:r w:rsidR="0064649C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F6AB" w14:textId="77777777" w:rsidR="00C54184" w:rsidRDefault="00C54184">
      <w:r>
        <w:t>____________________</w:t>
      </w:r>
    </w:p>
  </w:footnote>
  <w:footnote w:type="continuationSeparator" w:id="0">
    <w:p w14:paraId="03E9F8A8" w14:textId="77777777" w:rsidR="00C54184" w:rsidRDefault="00C5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8C5C02D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404ED">
                            <w:rPr>
                              <w:sz w:val="20"/>
                            </w:rPr>
                            <w:t>Sixteenth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9F347C">
                            <w:rPr>
                              <w:sz w:val="20"/>
                            </w:rPr>
                            <w:t>11 to 13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8C5C02D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404ED">
                      <w:rPr>
                        <w:sz w:val="20"/>
                      </w:rPr>
                      <w:t>Sixteenth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9F347C">
                      <w:rPr>
                        <w:sz w:val="20"/>
                      </w:rPr>
                      <w:t>11 to 13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42F5B"/>
    <w:multiLevelType w:val="hybridMultilevel"/>
    <w:tmpl w:val="F69417D6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6B14"/>
    <w:multiLevelType w:val="hybridMultilevel"/>
    <w:tmpl w:val="62EA4552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342C"/>
    <w:multiLevelType w:val="hybridMultilevel"/>
    <w:tmpl w:val="C8F04196"/>
    <w:lvl w:ilvl="0" w:tplc="CF7687E4">
      <w:start w:val="8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933EE"/>
    <w:multiLevelType w:val="hybridMultilevel"/>
    <w:tmpl w:val="83EA1F1C"/>
    <w:lvl w:ilvl="0" w:tplc="67B867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792093458">
    <w:abstractNumId w:val="2"/>
  </w:num>
  <w:num w:numId="3" w16cid:durableId="1012026425">
    <w:abstractNumId w:val="4"/>
  </w:num>
  <w:num w:numId="4" w16cid:durableId="1533685096">
    <w:abstractNumId w:val="1"/>
  </w:num>
  <w:num w:numId="5" w16cid:durableId="145632296">
    <w:abstractNumId w:val="6"/>
  </w:num>
  <w:num w:numId="6" w16cid:durableId="1268612683">
    <w:abstractNumId w:val="3"/>
  </w:num>
  <w:num w:numId="7" w16cid:durableId="1492208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34062"/>
    <w:rsid w:val="00057336"/>
    <w:rsid w:val="00063016"/>
    <w:rsid w:val="00066795"/>
    <w:rsid w:val="00067892"/>
    <w:rsid w:val="00076AF6"/>
    <w:rsid w:val="00085CF2"/>
    <w:rsid w:val="000B1705"/>
    <w:rsid w:val="000C2844"/>
    <w:rsid w:val="000C5490"/>
    <w:rsid w:val="000D75B2"/>
    <w:rsid w:val="000E59F9"/>
    <w:rsid w:val="001121F5"/>
    <w:rsid w:val="001215AC"/>
    <w:rsid w:val="00130599"/>
    <w:rsid w:val="001400DC"/>
    <w:rsid w:val="00140CE1"/>
    <w:rsid w:val="001565A9"/>
    <w:rsid w:val="0017539C"/>
    <w:rsid w:val="00175AC2"/>
    <w:rsid w:val="0017609F"/>
    <w:rsid w:val="0019043A"/>
    <w:rsid w:val="001A7D1D"/>
    <w:rsid w:val="001B51DD"/>
    <w:rsid w:val="001C628E"/>
    <w:rsid w:val="001E0F7B"/>
    <w:rsid w:val="001E427A"/>
    <w:rsid w:val="002119FD"/>
    <w:rsid w:val="002130E0"/>
    <w:rsid w:val="002404ED"/>
    <w:rsid w:val="00244F7F"/>
    <w:rsid w:val="002503CB"/>
    <w:rsid w:val="00264425"/>
    <w:rsid w:val="00265875"/>
    <w:rsid w:val="0027303B"/>
    <w:rsid w:val="0028109B"/>
    <w:rsid w:val="002A0A3F"/>
    <w:rsid w:val="002A2188"/>
    <w:rsid w:val="002B1F58"/>
    <w:rsid w:val="002C0BA0"/>
    <w:rsid w:val="002C1C7A"/>
    <w:rsid w:val="002C54E2"/>
    <w:rsid w:val="002D6BB8"/>
    <w:rsid w:val="002E7F54"/>
    <w:rsid w:val="003001C4"/>
    <w:rsid w:val="0030160F"/>
    <w:rsid w:val="00320223"/>
    <w:rsid w:val="00320D41"/>
    <w:rsid w:val="00322D0D"/>
    <w:rsid w:val="00361465"/>
    <w:rsid w:val="00371442"/>
    <w:rsid w:val="003877F5"/>
    <w:rsid w:val="003942D4"/>
    <w:rsid w:val="003958A8"/>
    <w:rsid w:val="003C2533"/>
    <w:rsid w:val="003D5258"/>
    <w:rsid w:val="003D5A7F"/>
    <w:rsid w:val="004016E2"/>
    <w:rsid w:val="0040435A"/>
    <w:rsid w:val="00416A24"/>
    <w:rsid w:val="00431D9E"/>
    <w:rsid w:val="00433CE8"/>
    <w:rsid w:val="00434A5C"/>
    <w:rsid w:val="00434E27"/>
    <w:rsid w:val="00447E29"/>
    <w:rsid w:val="00451E34"/>
    <w:rsid w:val="004527C0"/>
    <w:rsid w:val="004544D9"/>
    <w:rsid w:val="00472BAD"/>
    <w:rsid w:val="00475C81"/>
    <w:rsid w:val="00484009"/>
    <w:rsid w:val="00490E72"/>
    <w:rsid w:val="00491157"/>
    <w:rsid w:val="004921C8"/>
    <w:rsid w:val="00495B0B"/>
    <w:rsid w:val="004A1B8B"/>
    <w:rsid w:val="004A56CA"/>
    <w:rsid w:val="004D1851"/>
    <w:rsid w:val="004D599D"/>
    <w:rsid w:val="004E2EA5"/>
    <w:rsid w:val="004E3AEB"/>
    <w:rsid w:val="0050223C"/>
    <w:rsid w:val="005243FF"/>
    <w:rsid w:val="005411FD"/>
    <w:rsid w:val="00560D19"/>
    <w:rsid w:val="00564FBC"/>
    <w:rsid w:val="005800BC"/>
    <w:rsid w:val="00582442"/>
    <w:rsid w:val="005A335D"/>
    <w:rsid w:val="005C6BE3"/>
    <w:rsid w:val="005E2BD5"/>
    <w:rsid w:val="005F3269"/>
    <w:rsid w:val="006149B0"/>
    <w:rsid w:val="00623AE3"/>
    <w:rsid w:val="00631BFC"/>
    <w:rsid w:val="0064649C"/>
    <w:rsid w:val="0064737F"/>
    <w:rsid w:val="00652122"/>
    <w:rsid w:val="006535F1"/>
    <w:rsid w:val="006540E2"/>
    <w:rsid w:val="0065557D"/>
    <w:rsid w:val="00660D50"/>
    <w:rsid w:val="00662984"/>
    <w:rsid w:val="006716BB"/>
    <w:rsid w:val="00675DA0"/>
    <w:rsid w:val="0069783B"/>
    <w:rsid w:val="006A73BE"/>
    <w:rsid w:val="006B1859"/>
    <w:rsid w:val="006B6680"/>
    <w:rsid w:val="006B6DCC"/>
    <w:rsid w:val="006E587F"/>
    <w:rsid w:val="006F4E57"/>
    <w:rsid w:val="00702DEF"/>
    <w:rsid w:val="00706861"/>
    <w:rsid w:val="0075051B"/>
    <w:rsid w:val="007542FB"/>
    <w:rsid w:val="00775655"/>
    <w:rsid w:val="007815AC"/>
    <w:rsid w:val="00793188"/>
    <w:rsid w:val="00794D34"/>
    <w:rsid w:val="007A399A"/>
    <w:rsid w:val="0080472C"/>
    <w:rsid w:val="00813E5E"/>
    <w:rsid w:val="008251A6"/>
    <w:rsid w:val="0083581B"/>
    <w:rsid w:val="00842973"/>
    <w:rsid w:val="00846D56"/>
    <w:rsid w:val="0085717E"/>
    <w:rsid w:val="008605FF"/>
    <w:rsid w:val="00863874"/>
    <w:rsid w:val="00863F2B"/>
    <w:rsid w:val="00864AFF"/>
    <w:rsid w:val="00865925"/>
    <w:rsid w:val="00882D8C"/>
    <w:rsid w:val="00883333"/>
    <w:rsid w:val="00891503"/>
    <w:rsid w:val="008B4A6A"/>
    <w:rsid w:val="008C7E27"/>
    <w:rsid w:val="008F7448"/>
    <w:rsid w:val="0090147A"/>
    <w:rsid w:val="00904F09"/>
    <w:rsid w:val="009173EF"/>
    <w:rsid w:val="00932906"/>
    <w:rsid w:val="00961B0B"/>
    <w:rsid w:val="00962D33"/>
    <w:rsid w:val="00976D59"/>
    <w:rsid w:val="0099420A"/>
    <w:rsid w:val="009B38C3"/>
    <w:rsid w:val="009B3C42"/>
    <w:rsid w:val="009C253A"/>
    <w:rsid w:val="009C2B58"/>
    <w:rsid w:val="009E17BD"/>
    <w:rsid w:val="009E485A"/>
    <w:rsid w:val="009F347C"/>
    <w:rsid w:val="00A04CEC"/>
    <w:rsid w:val="00A122EB"/>
    <w:rsid w:val="00A256BC"/>
    <w:rsid w:val="00A27F92"/>
    <w:rsid w:val="00A32257"/>
    <w:rsid w:val="00A36D20"/>
    <w:rsid w:val="00A514A4"/>
    <w:rsid w:val="00A52C84"/>
    <w:rsid w:val="00A55622"/>
    <w:rsid w:val="00A56244"/>
    <w:rsid w:val="00A83502"/>
    <w:rsid w:val="00A97C0D"/>
    <w:rsid w:val="00AA3038"/>
    <w:rsid w:val="00AA45F3"/>
    <w:rsid w:val="00AC070D"/>
    <w:rsid w:val="00AC5284"/>
    <w:rsid w:val="00AC6DF4"/>
    <w:rsid w:val="00AD15B3"/>
    <w:rsid w:val="00AD3606"/>
    <w:rsid w:val="00AD4A3D"/>
    <w:rsid w:val="00AD5287"/>
    <w:rsid w:val="00AE5736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85523"/>
    <w:rsid w:val="00BB6141"/>
    <w:rsid w:val="00BC251A"/>
    <w:rsid w:val="00BD032B"/>
    <w:rsid w:val="00BE2640"/>
    <w:rsid w:val="00C01189"/>
    <w:rsid w:val="00C049DF"/>
    <w:rsid w:val="00C374DE"/>
    <w:rsid w:val="00C47AD4"/>
    <w:rsid w:val="00C52D81"/>
    <w:rsid w:val="00C54184"/>
    <w:rsid w:val="00C55198"/>
    <w:rsid w:val="00C75C0B"/>
    <w:rsid w:val="00CA0BDF"/>
    <w:rsid w:val="00CA6393"/>
    <w:rsid w:val="00CB18FF"/>
    <w:rsid w:val="00CC542E"/>
    <w:rsid w:val="00CD0C08"/>
    <w:rsid w:val="00CE03FB"/>
    <w:rsid w:val="00CE433C"/>
    <w:rsid w:val="00CF0161"/>
    <w:rsid w:val="00CF33F3"/>
    <w:rsid w:val="00D06183"/>
    <w:rsid w:val="00D22C42"/>
    <w:rsid w:val="00D40745"/>
    <w:rsid w:val="00D464CC"/>
    <w:rsid w:val="00D5508E"/>
    <w:rsid w:val="00D618F6"/>
    <w:rsid w:val="00D65041"/>
    <w:rsid w:val="00D70E7D"/>
    <w:rsid w:val="00D9059B"/>
    <w:rsid w:val="00D93F15"/>
    <w:rsid w:val="00DA7EB5"/>
    <w:rsid w:val="00DB00D5"/>
    <w:rsid w:val="00DB1936"/>
    <w:rsid w:val="00DB384B"/>
    <w:rsid w:val="00DE1967"/>
    <w:rsid w:val="00DF0189"/>
    <w:rsid w:val="00E02F6C"/>
    <w:rsid w:val="00E04287"/>
    <w:rsid w:val="00E06FD5"/>
    <w:rsid w:val="00E10E80"/>
    <w:rsid w:val="00E124F0"/>
    <w:rsid w:val="00E1601E"/>
    <w:rsid w:val="00E227F3"/>
    <w:rsid w:val="00E545C6"/>
    <w:rsid w:val="00E55A61"/>
    <w:rsid w:val="00E60F04"/>
    <w:rsid w:val="00E65B24"/>
    <w:rsid w:val="00E66D2F"/>
    <w:rsid w:val="00E854E4"/>
    <w:rsid w:val="00E86DBF"/>
    <w:rsid w:val="00E90F68"/>
    <w:rsid w:val="00EA57E3"/>
    <w:rsid w:val="00EA5BAB"/>
    <w:rsid w:val="00EB0D6F"/>
    <w:rsid w:val="00EB2232"/>
    <w:rsid w:val="00EC5337"/>
    <w:rsid w:val="00ED3465"/>
    <w:rsid w:val="00ED454D"/>
    <w:rsid w:val="00ED54DE"/>
    <w:rsid w:val="00EE07BC"/>
    <w:rsid w:val="00EE49E8"/>
    <w:rsid w:val="00EF3D0B"/>
    <w:rsid w:val="00F12DDE"/>
    <w:rsid w:val="00F16BAB"/>
    <w:rsid w:val="00F2150A"/>
    <w:rsid w:val="00F231D8"/>
    <w:rsid w:val="00F44C00"/>
    <w:rsid w:val="00F45D2C"/>
    <w:rsid w:val="00F46C5F"/>
    <w:rsid w:val="00F4787F"/>
    <w:rsid w:val="00F632C0"/>
    <w:rsid w:val="00F74694"/>
    <w:rsid w:val="00F901B7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F4E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A7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7E2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WGFHR16-C-0001/en" TargetMode="External"/><Relationship Id="rId13" Type="http://schemas.openxmlformats.org/officeDocument/2006/relationships/hyperlink" Target="https://www.itu.int/md/S23-CWGFHR16-C-0004/en" TargetMode="External"/><Relationship Id="rId18" Type="http://schemas.openxmlformats.org/officeDocument/2006/relationships/hyperlink" Target="https://www.itu.int/md/S23-CWGFHR16-C-0003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WGFHR16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WGFHR16-C-0011/en" TargetMode="External"/><Relationship Id="rId17" Type="http://schemas.openxmlformats.org/officeDocument/2006/relationships/hyperlink" Target="https://www.itu.int/md/S23-CWGFHR16-C-0008/en" TargetMode="External"/><Relationship Id="rId25" Type="http://schemas.openxmlformats.org/officeDocument/2006/relationships/hyperlink" Target="https://www.itu.int/md/S23-CWGFHR16-INF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WGFHR16-C-0010/en" TargetMode="External"/><Relationship Id="rId20" Type="http://schemas.openxmlformats.org/officeDocument/2006/relationships/hyperlink" Target="https://www.itu.int/md/S23-CWGFHR16-C-0007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WGFHR16-INF-0002/en" TargetMode="External"/><Relationship Id="rId24" Type="http://schemas.openxmlformats.org/officeDocument/2006/relationships/hyperlink" Target="https://www.itu.int/md/S23-CWGFHR16-C-001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WGFHR16-C-0006/en" TargetMode="External"/><Relationship Id="rId23" Type="http://schemas.openxmlformats.org/officeDocument/2006/relationships/hyperlink" Target="https://www.itu.int/md/S23-CWGFHR16-INF-0001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23-CWGFHR16-C-0002/en" TargetMode="External"/><Relationship Id="rId19" Type="http://schemas.openxmlformats.org/officeDocument/2006/relationships/hyperlink" Target="https://www.itu.int/md/S23-CWGFHR16-C-00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WGFHR16-C-0009/en" TargetMode="External"/><Relationship Id="rId14" Type="http://schemas.openxmlformats.org/officeDocument/2006/relationships/hyperlink" Target="https://www.itu.int/md/S23-CWGFHR16-C-0015/en" TargetMode="External"/><Relationship Id="rId22" Type="http://schemas.openxmlformats.org/officeDocument/2006/relationships/hyperlink" Target="https://www.itu.int/md/S23-CWGFHR16-C-0013/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3049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Financial and Human Resources</dc:subject>
  <dc:creator/>
  <cp:keywords>CWG-FHR, C23, Council-23, C23-ADD</cp:keywords>
  <dc:description/>
  <cp:lastModifiedBy/>
  <cp:revision>1</cp:revision>
  <dcterms:created xsi:type="dcterms:W3CDTF">2023-09-12T06:45:00Z</dcterms:created>
  <dcterms:modified xsi:type="dcterms:W3CDTF">2023-09-12T07:33:00Z</dcterms:modified>
  <cp:category>Conference document</cp:category>
</cp:coreProperties>
</file>