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7D09DEB9"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2201046F" w:rsidR="00AD3606" w:rsidRPr="00E85629" w:rsidRDefault="00AD3606" w:rsidP="00472BAD">
            <w:pPr>
              <w:tabs>
                <w:tab w:val="left" w:pos="851"/>
              </w:tabs>
              <w:spacing w:before="0" w:line="240" w:lineRule="atLeast"/>
              <w:jc w:val="right"/>
              <w:rPr>
                <w:b/>
              </w:rPr>
            </w:pPr>
            <w:r>
              <w:rPr>
                <w:b/>
              </w:rPr>
              <w:t>Document C23/</w:t>
            </w:r>
            <w:r w:rsidR="0003265E">
              <w:rPr>
                <w:b/>
              </w:rPr>
              <w:t>INF/8</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7E68A43" w:rsidR="00AD3606" w:rsidRPr="00E85629" w:rsidRDefault="009136BF" w:rsidP="00AD3606">
            <w:pPr>
              <w:tabs>
                <w:tab w:val="left" w:pos="851"/>
              </w:tabs>
              <w:spacing w:before="0"/>
              <w:jc w:val="right"/>
              <w:rPr>
                <w:b/>
              </w:rPr>
            </w:pPr>
            <w:r>
              <w:rPr>
                <w:b/>
              </w:rPr>
              <w:t>9</w:t>
            </w:r>
            <w:r w:rsidR="0003265E">
              <w:rPr>
                <w:b/>
              </w:rPr>
              <w:t xml:space="preserve">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EB26ADF" w:rsidR="00AD3606" w:rsidRPr="00E85629" w:rsidRDefault="00AD3606" w:rsidP="00AD3606">
            <w:pPr>
              <w:tabs>
                <w:tab w:val="left" w:pos="851"/>
              </w:tabs>
              <w:spacing w:before="0" w:line="240" w:lineRule="atLeast"/>
              <w:jc w:val="right"/>
              <w:rPr>
                <w:b/>
              </w:rPr>
            </w:pPr>
            <w:r>
              <w:rPr>
                <w:b/>
              </w:rPr>
              <w:t>English</w:t>
            </w:r>
            <w:r w:rsidR="0003265E">
              <w:rPr>
                <w:b/>
              </w:rPr>
              <w:t xml:space="preserve"> only</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69AB90D1" w:rsidR="00AD3606" w:rsidRPr="00813E5E" w:rsidRDefault="002F190B" w:rsidP="00DF0189">
            <w:pPr>
              <w:pStyle w:val="Subtitle"/>
              <w:framePr w:hSpace="0" w:wrap="auto" w:hAnchor="text" w:xAlign="left" w:yAlign="inline"/>
            </w:pPr>
            <w:bookmarkStart w:id="5" w:name="dtitle1" w:colFirst="0" w:colLast="0"/>
            <w:bookmarkEnd w:id="4"/>
            <w:r>
              <w:t>PARTNER2CONNECT DIGITAL COALITION</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7704B322" w:rsidR="00AD3606" w:rsidRPr="00F16BAB" w:rsidRDefault="00F16BAB" w:rsidP="00F16BAB">
            <w:pPr>
              <w:spacing w:before="160"/>
              <w:rPr>
                <w:b/>
                <w:bCs/>
                <w:sz w:val="26"/>
                <w:szCs w:val="26"/>
              </w:rPr>
            </w:pPr>
            <w:r w:rsidRPr="00F16BAB">
              <w:rPr>
                <w:b/>
                <w:bCs/>
                <w:sz w:val="26"/>
                <w:szCs w:val="26"/>
              </w:rPr>
              <w:t>Purpose</w:t>
            </w:r>
          </w:p>
          <w:p w14:paraId="01EEEAC5" w14:textId="285D961C" w:rsidR="00AD3606" w:rsidRPr="00813E5E" w:rsidRDefault="00D10C66" w:rsidP="00F16BAB">
            <w:r w:rsidRPr="00D10C66">
              <w:t>This report pr</w:t>
            </w:r>
            <w:r>
              <w:t xml:space="preserve">ovides </w:t>
            </w:r>
            <w:r w:rsidRPr="00D10C66">
              <w:t>highlights</w:t>
            </w:r>
            <w:r>
              <w:t xml:space="preserve"> and an update on the progress</w:t>
            </w:r>
            <w:r w:rsidRPr="00D10C66">
              <w:t xml:space="preserve"> of ITU’s </w:t>
            </w:r>
            <w:r>
              <w:t xml:space="preserve">Partner2Connect Digital Coalition (P2C). </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7C1DE1C4" w:rsidR="00AD3606" w:rsidRPr="00484009" w:rsidRDefault="00D10C66" w:rsidP="00AD3606">
            <w:r w:rsidRPr="00D10C66">
              <w:t xml:space="preserve">This report is transmitted to the Council </w:t>
            </w:r>
            <w:r w:rsidRPr="0003265E">
              <w:rPr>
                <w:b/>
                <w:bCs/>
              </w:rPr>
              <w:t>for information</w:t>
            </w:r>
            <w:r w:rsidRPr="00D10C66">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1B284BBB" w14:textId="08FEE814" w:rsidR="005D0257" w:rsidRPr="005D0257" w:rsidRDefault="005D0257" w:rsidP="002A4F9D">
            <w:pPr>
              <w:spacing w:after="120"/>
            </w:pPr>
            <w:r w:rsidRPr="005D0257">
              <w:t xml:space="preserve">Resolutions </w:t>
            </w:r>
            <w:hyperlink r:id="rId11" w:history="1">
              <w:r w:rsidRPr="0003265E">
                <w:rPr>
                  <w:rStyle w:val="Hyperlink"/>
                </w:rPr>
                <w:t>30</w:t>
              </w:r>
            </w:hyperlink>
            <w:r w:rsidRPr="0003265E">
              <w:t xml:space="preserve">, </w:t>
            </w:r>
            <w:hyperlink r:id="rId12" w:history="1">
              <w:r w:rsidRPr="0003265E">
                <w:rPr>
                  <w:rStyle w:val="Hyperlink"/>
                </w:rPr>
                <w:t>191</w:t>
              </w:r>
            </w:hyperlink>
            <w:r w:rsidRPr="0003265E">
              <w:t xml:space="preserve">, and </w:t>
            </w:r>
            <w:hyperlink r:id="rId13" w:history="1">
              <w:r w:rsidRPr="0003265E">
                <w:rPr>
                  <w:rStyle w:val="Hyperlink"/>
                </w:rPr>
                <w:t>200</w:t>
              </w:r>
            </w:hyperlink>
            <w:r w:rsidRPr="0003265E">
              <w:t xml:space="preserve"> (Rev. Bucharest, 2022)</w:t>
            </w:r>
            <w:r w:rsidR="0003265E" w:rsidRPr="005D0257">
              <w:t xml:space="preserve"> </w:t>
            </w:r>
            <w:r w:rsidR="0003265E">
              <w:t xml:space="preserve">of the </w:t>
            </w:r>
            <w:r w:rsidR="0003265E" w:rsidRPr="005D0257">
              <w:t>Plenipotentiary Conference</w:t>
            </w:r>
          </w:p>
          <w:p w14:paraId="65250B1E" w14:textId="4E88E089" w:rsidR="00AD3606" w:rsidRPr="005D0257" w:rsidRDefault="00D10C66" w:rsidP="005D0257">
            <w:pPr>
              <w:spacing w:before="0"/>
            </w:pPr>
            <w:r w:rsidRPr="005D0257">
              <w:t xml:space="preserve">WTDC Resolution </w:t>
            </w:r>
            <w:hyperlink r:id="rId14" w:history="1">
              <w:r w:rsidRPr="005D0257">
                <w:rPr>
                  <w:rStyle w:val="Hyperlink"/>
                </w:rPr>
                <w:t>88 (Rev. Kigali, 2022)</w:t>
              </w:r>
            </w:hyperlink>
          </w:p>
        </w:tc>
      </w:tr>
      <w:bookmarkEnd w:id="5"/>
    </w:tbl>
    <w:p w14:paraId="49FFA260" w14:textId="77777777" w:rsidR="001A4E38" w:rsidRDefault="001A4E38">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57EF1ED1" w14:textId="77777777" w:rsidR="002A4F9D" w:rsidRDefault="002A4F9D">
      <w:pPr>
        <w:tabs>
          <w:tab w:val="clear" w:pos="567"/>
          <w:tab w:val="clear" w:pos="1134"/>
          <w:tab w:val="clear" w:pos="1701"/>
          <w:tab w:val="clear" w:pos="2268"/>
          <w:tab w:val="clear" w:pos="2835"/>
        </w:tabs>
        <w:overflowPunct/>
        <w:autoSpaceDE/>
        <w:autoSpaceDN/>
        <w:adjustRightInd/>
        <w:spacing w:before="0"/>
        <w:textAlignment w:val="auto"/>
        <w:rPr>
          <w:b/>
          <w:bCs/>
          <w:color w:val="00B0F0"/>
          <w:sz w:val="32"/>
          <w:szCs w:val="22"/>
          <w:lang w:val="es-ES"/>
        </w:rPr>
      </w:pPr>
      <w:r>
        <w:rPr>
          <w:b/>
          <w:bCs/>
          <w:color w:val="00B0F0"/>
          <w:sz w:val="32"/>
          <w:szCs w:val="22"/>
          <w:lang w:val="es-ES"/>
        </w:rPr>
        <w:br w:type="page"/>
      </w:r>
    </w:p>
    <w:p w14:paraId="07250C41" w14:textId="77777777" w:rsidR="00DB260C" w:rsidRDefault="006677DF" w:rsidP="0003265E">
      <w:pPr>
        <w:pStyle w:val="NoSpacing"/>
        <w:spacing w:before="120" w:after="120"/>
        <w:rPr>
          <w:rFonts w:ascii="Calibri" w:hAnsi="Calibri" w:cs="Calibri"/>
          <w:sz w:val="24"/>
          <w:szCs w:val="24"/>
          <w:lang w:val="en-GB"/>
        </w:rPr>
      </w:pPr>
      <w:r w:rsidRPr="005272CB">
        <w:rPr>
          <w:rFonts w:ascii="Calibri" w:hAnsi="Calibri" w:cs="Calibri"/>
          <w:sz w:val="24"/>
          <w:szCs w:val="24"/>
          <w:lang w:val="en-GB"/>
        </w:rPr>
        <w:lastRenderedPageBreak/>
        <w:t xml:space="preserve">The </w:t>
      </w:r>
      <w:hyperlink r:id="rId15" w:history="1">
        <w:r w:rsidRPr="005272CB">
          <w:rPr>
            <w:rStyle w:val="Hyperlink"/>
            <w:rFonts w:ascii="Calibri" w:hAnsi="Calibri" w:cs="Calibri"/>
            <w:sz w:val="24"/>
            <w:szCs w:val="24"/>
            <w:lang w:val="en-GB"/>
          </w:rPr>
          <w:t>Partner2Connect Digital Coalition (P2C)</w:t>
        </w:r>
      </w:hyperlink>
      <w:r w:rsidRPr="005272CB">
        <w:rPr>
          <w:rFonts w:ascii="Calibri" w:hAnsi="Calibri" w:cs="Calibri"/>
          <w:sz w:val="24"/>
          <w:szCs w:val="24"/>
          <w:lang w:val="en-GB"/>
        </w:rPr>
        <w:t xml:space="preserve"> is a global multistakeholder platform that mobilizes resources, partnerships, and commitments to foster meaningful connectivity and sustainable digital transformation in the hardest-to-connect communities. Access to universal and meaningful connectivity is critical for achieving each one of the Sustainable Development Goals (SDGs) and</w:t>
      </w:r>
      <w:proofErr w:type="gramStart"/>
      <w:r w:rsidRPr="005272CB">
        <w:rPr>
          <w:rFonts w:ascii="Calibri" w:hAnsi="Calibri" w:cs="Calibri"/>
          <w:sz w:val="24"/>
          <w:szCs w:val="24"/>
          <w:lang w:val="en-GB"/>
        </w:rPr>
        <w:t>, in particular, for</w:t>
      </w:r>
      <w:proofErr w:type="gramEnd"/>
      <w:r w:rsidRPr="005272CB">
        <w:rPr>
          <w:rFonts w:ascii="Calibri" w:hAnsi="Calibri" w:cs="Calibri"/>
          <w:sz w:val="24"/>
          <w:szCs w:val="24"/>
          <w:lang w:val="en-GB"/>
        </w:rPr>
        <w:t xml:space="preserve"> countries to leapfrog in areas such as </w:t>
      </w:r>
      <w:r w:rsidRPr="005272CB">
        <w:rPr>
          <w:rFonts w:ascii="Calibri" w:hAnsi="Calibri" w:cs="Calibri"/>
          <w:b/>
          <w:bCs/>
          <w:sz w:val="24"/>
          <w:szCs w:val="24"/>
          <w:lang w:val="en-GB"/>
        </w:rPr>
        <w:t>education</w:t>
      </w:r>
      <w:r w:rsidRPr="005272CB">
        <w:rPr>
          <w:rFonts w:ascii="Calibri" w:hAnsi="Calibri" w:cs="Calibri"/>
          <w:sz w:val="24"/>
          <w:szCs w:val="24"/>
          <w:lang w:val="en-GB"/>
        </w:rPr>
        <w:t xml:space="preserve">, </w:t>
      </w:r>
      <w:r w:rsidRPr="005272CB">
        <w:rPr>
          <w:rFonts w:ascii="Calibri" w:hAnsi="Calibri" w:cs="Calibri"/>
          <w:b/>
          <w:bCs/>
          <w:sz w:val="24"/>
          <w:szCs w:val="24"/>
          <w:lang w:val="en-GB"/>
        </w:rPr>
        <w:t>health</w:t>
      </w:r>
      <w:r w:rsidRPr="005272CB">
        <w:rPr>
          <w:rFonts w:ascii="Calibri" w:hAnsi="Calibri" w:cs="Calibri"/>
          <w:sz w:val="24"/>
          <w:szCs w:val="24"/>
          <w:lang w:val="en-GB"/>
        </w:rPr>
        <w:t xml:space="preserve">, </w:t>
      </w:r>
      <w:r w:rsidRPr="005272CB">
        <w:rPr>
          <w:rFonts w:ascii="Calibri" w:hAnsi="Calibri" w:cs="Calibri"/>
          <w:b/>
          <w:bCs/>
          <w:sz w:val="24"/>
          <w:szCs w:val="24"/>
          <w:lang w:val="en-GB"/>
        </w:rPr>
        <w:t>government services</w:t>
      </w:r>
      <w:r w:rsidRPr="005272CB">
        <w:rPr>
          <w:rFonts w:ascii="Calibri" w:hAnsi="Calibri" w:cs="Calibri"/>
          <w:sz w:val="24"/>
          <w:szCs w:val="24"/>
          <w:lang w:val="en-GB"/>
        </w:rPr>
        <w:t xml:space="preserve"> and </w:t>
      </w:r>
      <w:r w:rsidRPr="005272CB">
        <w:rPr>
          <w:rFonts w:ascii="Calibri" w:hAnsi="Calibri" w:cs="Calibri"/>
          <w:b/>
          <w:bCs/>
          <w:sz w:val="24"/>
          <w:szCs w:val="24"/>
          <w:lang w:val="en-GB"/>
        </w:rPr>
        <w:t>trade</w:t>
      </w:r>
      <w:r w:rsidRPr="005272CB">
        <w:rPr>
          <w:rFonts w:ascii="Calibri" w:hAnsi="Calibri" w:cs="Calibri"/>
          <w:sz w:val="24"/>
          <w:szCs w:val="24"/>
          <w:lang w:val="en-GB"/>
        </w:rPr>
        <w:t xml:space="preserve">. However, with </w:t>
      </w:r>
      <w:r w:rsidRPr="005272CB">
        <w:rPr>
          <w:rFonts w:ascii="Calibri" w:hAnsi="Calibri" w:cs="Calibri"/>
          <w:b/>
          <w:bCs/>
          <w:sz w:val="24"/>
          <w:szCs w:val="24"/>
          <w:lang w:val="en-GB"/>
        </w:rPr>
        <w:t xml:space="preserve">2.7 billion </w:t>
      </w:r>
      <w:r w:rsidRPr="005272CB">
        <w:rPr>
          <w:rFonts w:ascii="Calibri" w:hAnsi="Calibri" w:cs="Calibri"/>
          <w:sz w:val="24"/>
          <w:szCs w:val="24"/>
          <w:lang w:val="en-GB"/>
        </w:rPr>
        <w:t xml:space="preserve">people currently offline, digital connectivity remains a major challenge especially in LDCs, LLDCs and SIDS. </w:t>
      </w:r>
    </w:p>
    <w:p w14:paraId="542D3571" w14:textId="6780E0C6" w:rsidR="00050B5D" w:rsidRPr="005272CB" w:rsidRDefault="006677DF" w:rsidP="0003265E">
      <w:pPr>
        <w:pStyle w:val="NoSpacing"/>
        <w:spacing w:before="120" w:after="120"/>
        <w:rPr>
          <w:rFonts w:ascii="Calibri" w:hAnsi="Calibri" w:cs="Calibri"/>
          <w:sz w:val="24"/>
          <w:szCs w:val="24"/>
          <w:lang w:val="en-GB"/>
        </w:rPr>
      </w:pPr>
      <w:r w:rsidRPr="2BFB5450">
        <w:rPr>
          <w:rFonts w:ascii="Calibri" w:hAnsi="Calibri" w:cs="Calibri"/>
          <w:sz w:val="24"/>
          <w:szCs w:val="24"/>
          <w:lang w:val="en-GB"/>
        </w:rPr>
        <w:t xml:space="preserve">To achieve the goal set out in the </w:t>
      </w:r>
      <w:hyperlink r:id="rId16">
        <w:r w:rsidRPr="2BFB5450">
          <w:rPr>
            <w:rStyle w:val="Hyperlink"/>
            <w:rFonts w:ascii="Calibri" w:hAnsi="Calibri" w:cs="Calibri"/>
            <w:sz w:val="24"/>
            <w:szCs w:val="24"/>
            <w:lang w:val="en-GB"/>
          </w:rPr>
          <w:t>UNSG Roadmap for Digital Cooperation</w:t>
        </w:r>
      </w:hyperlink>
      <w:r w:rsidRPr="2BFB5450">
        <w:rPr>
          <w:rFonts w:ascii="Calibri" w:hAnsi="Calibri" w:cs="Calibri"/>
          <w:sz w:val="24"/>
          <w:szCs w:val="24"/>
          <w:lang w:val="en-GB"/>
        </w:rPr>
        <w:t xml:space="preserve"> of </w:t>
      </w:r>
      <w:r w:rsidRPr="2BFB5450">
        <w:rPr>
          <w:rFonts w:ascii="Calibri" w:hAnsi="Calibri" w:cs="Calibri"/>
          <w:i/>
          <w:iCs/>
          <w:sz w:val="24"/>
          <w:szCs w:val="24"/>
          <w:lang w:val="en-GB"/>
        </w:rPr>
        <w:t>ensuring that every person has safe, affordable, and meaningful access to the Internet by 2030</w:t>
      </w:r>
      <w:r w:rsidRPr="2BFB5450">
        <w:rPr>
          <w:rFonts w:ascii="Calibri" w:hAnsi="Calibri" w:cs="Calibri"/>
          <w:sz w:val="24"/>
          <w:szCs w:val="24"/>
          <w:lang w:val="en-GB"/>
        </w:rPr>
        <w:t xml:space="preserve">, </w:t>
      </w:r>
      <w:r w:rsidR="005272CB" w:rsidRPr="2BFB5450">
        <w:rPr>
          <w:rFonts w:ascii="Calibri" w:hAnsi="Calibri" w:cs="Calibri"/>
          <w:sz w:val="24"/>
          <w:szCs w:val="24"/>
          <w:lang w:val="en-GB"/>
        </w:rPr>
        <w:t xml:space="preserve">a high-impact initiative </w:t>
      </w:r>
      <w:r w:rsidR="36956211" w:rsidRPr="2BFB5450">
        <w:rPr>
          <w:rFonts w:ascii="Calibri" w:hAnsi="Calibri" w:cs="Calibri"/>
          <w:sz w:val="24"/>
          <w:szCs w:val="24"/>
          <w:lang w:val="en-GB"/>
        </w:rPr>
        <w:t>was</w:t>
      </w:r>
      <w:r w:rsidRPr="2BFB5450">
        <w:rPr>
          <w:rFonts w:ascii="Calibri" w:hAnsi="Calibri" w:cs="Calibri"/>
          <w:sz w:val="24"/>
          <w:szCs w:val="24"/>
          <w:lang w:val="en-GB"/>
        </w:rPr>
        <w:t xml:space="preserve"> urgently needed. </w:t>
      </w:r>
      <w:r w:rsidR="11AF8920" w:rsidRPr="2BFB5450">
        <w:rPr>
          <w:rFonts w:ascii="Calibri" w:hAnsi="Calibri" w:cs="Calibri"/>
          <w:sz w:val="24"/>
          <w:szCs w:val="24"/>
          <w:lang w:val="en-GB"/>
        </w:rPr>
        <w:t xml:space="preserve">Hence, </w:t>
      </w:r>
      <w:r w:rsidRPr="2BFB5450">
        <w:rPr>
          <w:rFonts w:ascii="Calibri" w:hAnsi="Calibri" w:cs="Calibri"/>
          <w:sz w:val="24"/>
          <w:szCs w:val="24"/>
          <w:lang w:val="en-GB"/>
        </w:rPr>
        <w:t xml:space="preserve">P2C </w:t>
      </w:r>
      <w:r w:rsidR="6E341427" w:rsidRPr="2BFB5450">
        <w:rPr>
          <w:rFonts w:ascii="Calibri" w:hAnsi="Calibri" w:cs="Calibri"/>
          <w:sz w:val="24"/>
          <w:szCs w:val="24"/>
          <w:lang w:val="en-GB"/>
        </w:rPr>
        <w:t>was launched as</w:t>
      </w:r>
      <w:r w:rsidRPr="2BFB5450">
        <w:rPr>
          <w:rFonts w:ascii="Calibri" w:hAnsi="Calibri" w:cs="Calibri"/>
          <w:sz w:val="24"/>
          <w:szCs w:val="24"/>
          <w:lang w:val="en-GB"/>
        </w:rPr>
        <w:t xml:space="preserve"> a </w:t>
      </w:r>
      <w:r w:rsidRPr="2BFB5450">
        <w:rPr>
          <w:rFonts w:ascii="Calibri" w:hAnsi="Calibri" w:cs="Calibri"/>
          <w:b/>
          <w:bCs/>
          <w:sz w:val="24"/>
          <w:szCs w:val="24"/>
          <w:lang w:val="en-GB"/>
        </w:rPr>
        <w:t>transformative</w:t>
      </w:r>
      <w:r w:rsidRPr="2BFB5450">
        <w:rPr>
          <w:rFonts w:ascii="Calibri" w:hAnsi="Calibri" w:cs="Calibri"/>
          <w:sz w:val="24"/>
          <w:szCs w:val="24"/>
          <w:lang w:val="en-GB"/>
        </w:rPr>
        <w:t xml:space="preserve">, </w:t>
      </w:r>
      <w:r w:rsidRPr="2BFB5450">
        <w:rPr>
          <w:rFonts w:ascii="Calibri" w:hAnsi="Calibri" w:cs="Calibri"/>
          <w:b/>
          <w:bCs/>
          <w:sz w:val="24"/>
          <w:szCs w:val="24"/>
          <w:lang w:val="en-GB"/>
        </w:rPr>
        <w:t>solutions-based</w:t>
      </w:r>
      <w:r w:rsidRPr="2BFB5450">
        <w:rPr>
          <w:rFonts w:ascii="Calibri" w:hAnsi="Calibri" w:cs="Calibri"/>
          <w:sz w:val="24"/>
          <w:szCs w:val="24"/>
          <w:lang w:val="en-GB"/>
        </w:rPr>
        <w:t xml:space="preserve"> and </w:t>
      </w:r>
      <w:r w:rsidRPr="2BFB5450">
        <w:rPr>
          <w:rFonts w:ascii="Calibri" w:hAnsi="Calibri" w:cs="Calibri"/>
          <w:b/>
          <w:bCs/>
          <w:sz w:val="24"/>
          <w:szCs w:val="24"/>
          <w:lang w:val="en-GB"/>
        </w:rPr>
        <w:t>action-oriented approach</w:t>
      </w:r>
      <w:r w:rsidRPr="2BFB5450">
        <w:rPr>
          <w:rFonts w:ascii="Calibri" w:hAnsi="Calibri" w:cs="Calibri"/>
          <w:sz w:val="24"/>
          <w:szCs w:val="24"/>
          <w:lang w:val="en-GB"/>
        </w:rPr>
        <w:t xml:space="preserve"> </w:t>
      </w:r>
      <w:proofErr w:type="gramStart"/>
      <w:r w:rsidRPr="2BFB5450">
        <w:rPr>
          <w:rFonts w:ascii="Calibri" w:hAnsi="Calibri" w:cs="Calibri"/>
          <w:sz w:val="24"/>
          <w:szCs w:val="24"/>
          <w:lang w:val="en-GB"/>
        </w:rPr>
        <w:t>to:</w:t>
      </w:r>
      <w:proofErr w:type="gramEnd"/>
      <w:r w:rsidRPr="2BFB5450">
        <w:rPr>
          <w:rFonts w:ascii="Calibri" w:hAnsi="Calibri" w:cs="Calibri"/>
          <w:sz w:val="24"/>
          <w:szCs w:val="24"/>
          <w:lang w:val="en-GB"/>
        </w:rPr>
        <w:t xml:space="preserve"> </w:t>
      </w:r>
      <w:r w:rsidR="00F34DA5" w:rsidRPr="2BFB5450">
        <w:rPr>
          <w:rFonts w:ascii="Calibri" w:hAnsi="Calibri" w:cs="Calibri"/>
          <w:sz w:val="24"/>
          <w:szCs w:val="24"/>
          <w:lang w:val="en-GB"/>
        </w:rPr>
        <w:t>advanc</w:t>
      </w:r>
      <w:r w:rsidR="008B6F31">
        <w:rPr>
          <w:rFonts w:ascii="Calibri" w:hAnsi="Calibri" w:cs="Calibri"/>
          <w:sz w:val="24"/>
          <w:szCs w:val="24"/>
          <w:lang w:val="en-GB"/>
        </w:rPr>
        <w:t>e</w:t>
      </w:r>
      <w:r w:rsidRPr="2BFB5450">
        <w:rPr>
          <w:rFonts w:ascii="Calibri" w:hAnsi="Calibri" w:cs="Calibri"/>
          <w:sz w:val="24"/>
          <w:szCs w:val="24"/>
          <w:lang w:val="en-GB"/>
        </w:rPr>
        <w:t xml:space="preserve"> the implementation of the UNSG Roadmap; contribu</w:t>
      </w:r>
      <w:r w:rsidR="00F34DA5" w:rsidRPr="2BFB5450">
        <w:rPr>
          <w:rFonts w:ascii="Calibri" w:hAnsi="Calibri" w:cs="Calibri"/>
          <w:sz w:val="24"/>
          <w:szCs w:val="24"/>
          <w:lang w:val="en-GB"/>
        </w:rPr>
        <w:t>t</w:t>
      </w:r>
      <w:r w:rsidR="008B6F31">
        <w:rPr>
          <w:rFonts w:ascii="Calibri" w:hAnsi="Calibri" w:cs="Calibri"/>
          <w:sz w:val="24"/>
          <w:szCs w:val="24"/>
          <w:lang w:val="en-GB"/>
        </w:rPr>
        <w:t>e</w:t>
      </w:r>
      <w:r w:rsidRPr="2BFB5450">
        <w:rPr>
          <w:rFonts w:ascii="Calibri" w:hAnsi="Calibri" w:cs="Calibri"/>
          <w:sz w:val="24"/>
          <w:szCs w:val="24"/>
          <w:lang w:val="en-GB"/>
        </w:rPr>
        <w:t xml:space="preserve"> to the Global Digital Compact; support</w:t>
      </w:r>
      <w:r w:rsidR="008B6F31">
        <w:rPr>
          <w:rFonts w:ascii="Calibri" w:hAnsi="Calibri" w:cs="Calibri"/>
          <w:sz w:val="24"/>
          <w:szCs w:val="24"/>
          <w:lang w:val="en-GB"/>
        </w:rPr>
        <w:t xml:space="preserve"> </w:t>
      </w:r>
      <w:r w:rsidRPr="2BFB5450">
        <w:rPr>
          <w:rFonts w:ascii="Calibri" w:hAnsi="Calibri" w:cs="Calibri"/>
          <w:sz w:val="24"/>
          <w:szCs w:val="24"/>
          <w:lang w:val="en-GB"/>
        </w:rPr>
        <w:t>the sustainable development agendas for LDCs, LLDCs and SIDS, and to ultimately accelerat</w:t>
      </w:r>
      <w:r w:rsidR="00F436D6">
        <w:rPr>
          <w:rFonts w:ascii="Calibri" w:hAnsi="Calibri" w:cs="Calibri"/>
          <w:sz w:val="24"/>
          <w:szCs w:val="24"/>
          <w:lang w:val="en-GB"/>
        </w:rPr>
        <w:t>e progress towards th</w:t>
      </w:r>
      <w:r w:rsidRPr="2BFB5450">
        <w:rPr>
          <w:rFonts w:ascii="Calibri" w:hAnsi="Calibri" w:cs="Calibri"/>
          <w:sz w:val="24"/>
          <w:szCs w:val="24"/>
          <w:lang w:val="en-GB"/>
        </w:rPr>
        <w:t xml:space="preserve">e achievement of the SDGs. </w:t>
      </w:r>
      <w:r w:rsidR="00050B5D" w:rsidRPr="2BFB5450">
        <w:rPr>
          <w:rFonts w:ascii="Calibri" w:hAnsi="Calibri" w:cs="Calibri"/>
          <w:sz w:val="24"/>
          <w:szCs w:val="24"/>
          <w:lang w:val="en-GB"/>
        </w:rPr>
        <w:t>Organizations of any kind (Governments, Private Sector, UN Agencies, Civil Society, Academia, Youth Groups and Media and Entertainment Organizations) can submit p</w:t>
      </w:r>
      <w:r w:rsidRPr="2BFB5450">
        <w:rPr>
          <w:rFonts w:ascii="Calibri" w:hAnsi="Calibri" w:cs="Calibri"/>
          <w:sz w:val="24"/>
          <w:szCs w:val="24"/>
          <w:lang w:val="en-GB"/>
        </w:rPr>
        <w:t>ledges</w:t>
      </w:r>
      <w:r w:rsidR="003A17F0" w:rsidRPr="2BFB5450">
        <w:rPr>
          <w:rFonts w:ascii="Calibri" w:hAnsi="Calibri" w:cs="Calibri"/>
          <w:sz w:val="24"/>
          <w:szCs w:val="24"/>
          <w:lang w:val="en-GB"/>
        </w:rPr>
        <w:t xml:space="preserve"> and commitments</w:t>
      </w:r>
      <w:r w:rsidRPr="2BFB5450">
        <w:rPr>
          <w:rFonts w:ascii="Calibri" w:hAnsi="Calibri" w:cs="Calibri"/>
          <w:sz w:val="24"/>
          <w:szCs w:val="24"/>
          <w:lang w:val="en-GB"/>
        </w:rPr>
        <w:t xml:space="preserve"> </w:t>
      </w:r>
      <w:r w:rsidR="00050B5D" w:rsidRPr="2BFB5450">
        <w:rPr>
          <w:rFonts w:ascii="Calibri" w:hAnsi="Calibri" w:cs="Calibri"/>
          <w:sz w:val="24"/>
          <w:szCs w:val="24"/>
          <w:lang w:val="en-GB"/>
        </w:rPr>
        <w:t>to P2C via the</w:t>
      </w:r>
      <w:r w:rsidRPr="2BFB5450">
        <w:rPr>
          <w:rFonts w:ascii="Calibri" w:hAnsi="Calibri" w:cs="Calibri"/>
          <w:sz w:val="24"/>
          <w:szCs w:val="24"/>
          <w:lang w:val="en-GB"/>
        </w:rPr>
        <w:t xml:space="preserve"> </w:t>
      </w:r>
      <w:hyperlink r:id="rId17">
        <w:r w:rsidRPr="2BFB5450">
          <w:rPr>
            <w:rStyle w:val="Hyperlink"/>
            <w:rFonts w:ascii="Calibri" w:hAnsi="Calibri" w:cs="Calibri"/>
            <w:sz w:val="24"/>
            <w:szCs w:val="24"/>
            <w:lang w:val="en-GB"/>
          </w:rPr>
          <w:t>P2C platform</w:t>
        </w:r>
      </w:hyperlink>
      <w:r w:rsidRPr="2BFB5450">
        <w:rPr>
          <w:rFonts w:ascii="Calibri" w:hAnsi="Calibri" w:cs="Calibri"/>
          <w:sz w:val="24"/>
          <w:szCs w:val="24"/>
          <w:lang w:val="en-GB"/>
        </w:rPr>
        <w:t>.</w:t>
      </w:r>
      <w:r w:rsidR="004427FF" w:rsidRPr="2BFB5450">
        <w:rPr>
          <w:rFonts w:ascii="Calibri" w:hAnsi="Calibri" w:cs="Calibri"/>
          <w:sz w:val="24"/>
          <w:szCs w:val="24"/>
          <w:lang w:val="en-GB"/>
        </w:rPr>
        <w:t xml:space="preserve"> Pledges can be </w:t>
      </w:r>
      <w:r w:rsidR="008B6F31">
        <w:rPr>
          <w:rFonts w:ascii="Calibri" w:hAnsi="Calibri" w:cs="Calibri"/>
          <w:sz w:val="24"/>
          <w:szCs w:val="24"/>
          <w:lang w:val="en-GB"/>
        </w:rPr>
        <w:t xml:space="preserve">categorized as </w:t>
      </w:r>
      <w:r w:rsidR="004427FF" w:rsidRPr="2BFB5450">
        <w:rPr>
          <w:rFonts w:ascii="Calibri" w:hAnsi="Calibri" w:cs="Calibri"/>
          <w:sz w:val="24"/>
          <w:szCs w:val="24"/>
          <w:lang w:val="en-GB"/>
        </w:rPr>
        <w:t>either</w:t>
      </w:r>
      <w:r w:rsidR="00ED1EC6" w:rsidRPr="2BFB5450">
        <w:rPr>
          <w:rFonts w:ascii="Calibri" w:hAnsi="Calibri" w:cs="Calibri"/>
          <w:sz w:val="24"/>
          <w:szCs w:val="24"/>
          <w:lang w:val="en-GB"/>
        </w:rPr>
        <w:t xml:space="preserve"> </w:t>
      </w:r>
      <w:r w:rsidR="004427FF" w:rsidRPr="2BFB5450">
        <w:rPr>
          <w:rFonts w:ascii="Calibri" w:hAnsi="Calibri" w:cs="Calibri"/>
          <w:sz w:val="24"/>
          <w:szCs w:val="24"/>
          <w:lang w:val="en-GB"/>
        </w:rPr>
        <w:t xml:space="preserve">Financial, Programmatic, Policy or Advocacy </w:t>
      </w:r>
      <w:r w:rsidR="008B6F31">
        <w:rPr>
          <w:rFonts w:ascii="Calibri" w:hAnsi="Calibri" w:cs="Calibri"/>
          <w:sz w:val="24"/>
          <w:szCs w:val="24"/>
          <w:lang w:val="en-GB"/>
        </w:rPr>
        <w:t xml:space="preserve">in </w:t>
      </w:r>
      <w:r w:rsidR="004427FF" w:rsidRPr="2BFB5450">
        <w:rPr>
          <w:rFonts w:ascii="Calibri" w:hAnsi="Calibri" w:cs="Calibri"/>
          <w:sz w:val="24"/>
          <w:szCs w:val="24"/>
          <w:lang w:val="en-GB"/>
        </w:rPr>
        <w:t>nature.</w:t>
      </w:r>
    </w:p>
    <w:p w14:paraId="02C3FED1" w14:textId="47C825E0" w:rsidR="00050B5D" w:rsidRPr="005272CB" w:rsidRDefault="00050B5D" w:rsidP="0003265E">
      <w:pPr>
        <w:pStyle w:val="NoSpacing"/>
        <w:spacing w:before="120" w:after="120"/>
        <w:rPr>
          <w:rFonts w:ascii="Calibri" w:hAnsi="Calibri" w:cs="Calibri"/>
          <w:i/>
          <w:iCs/>
          <w:sz w:val="24"/>
          <w:szCs w:val="24"/>
          <w:u w:val="single"/>
          <w:lang w:val="en-GB"/>
        </w:rPr>
      </w:pPr>
      <w:r w:rsidRPr="005272CB">
        <w:rPr>
          <w:rFonts w:ascii="Calibri" w:hAnsi="Calibri" w:cs="Calibri"/>
          <w:i/>
          <w:iCs/>
          <w:sz w:val="24"/>
          <w:szCs w:val="24"/>
          <w:u w:val="single"/>
          <w:lang w:val="en-GB"/>
        </w:rPr>
        <w:t>Criteria for a strong pledge:</w:t>
      </w:r>
    </w:p>
    <w:p w14:paraId="645F2F64" w14:textId="4E501573" w:rsidR="00050B5D" w:rsidRPr="00050B5D" w:rsidRDefault="00050B5D" w:rsidP="00050B5D">
      <w:pPr>
        <w:pStyle w:val="NoSpacing"/>
        <w:numPr>
          <w:ilvl w:val="0"/>
          <w:numId w:val="2"/>
        </w:numPr>
        <w:rPr>
          <w:rFonts w:ascii="Calibri" w:hAnsi="Calibri" w:cs="Calibri"/>
          <w:sz w:val="24"/>
          <w:szCs w:val="24"/>
          <w:lang w:val="en-GB"/>
        </w:rPr>
      </w:pPr>
      <w:r w:rsidRPr="00050B5D">
        <w:rPr>
          <w:rFonts w:ascii="Calibri" w:hAnsi="Calibri" w:cs="Calibri"/>
          <w:sz w:val="24"/>
          <w:szCs w:val="24"/>
          <w:lang w:val="en-GB"/>
        </w:rPr>
        <w:t xml:space="preserve">Addresses key issues of the four Focus Areas of the </w:t>
      </w:r>
      <w:hyperlink r:id="rId18" w:history="1">
        <w:r w:rsidRPr="00050B5D">
          <w:rPr>
            <w:rStyle w:val="Hyperlink"/>
            <w:rFonts w:ascii="Calibri" w:hAnsi="Calibri" w:cs="Calibri"/>
            <w:sz w:val="24"/>
            <w:szCs w:val="24"/>
            <w:lang w:val="en-GB"/>
          </w:rPr>
          <w:t xml:space="preserve">P2C </w:t>
        </w:r>
        <w:r w:rsidRPr="005272CB">
          <w:rPr>
            <w:rStyle w:val="Hyperlink"/>
            <w:rFonts w:ascii="Calibri" w:hAnsi="Calibri" w:cs="Calibri"/>
            <w:sz w:val="24"/>
            <w:szCs w:val="24"/>
            <w:lang w:val="en-GB"/>
          </w:rPr>
          <w:t>Action Framework</w:t>
        </w:r>
      </w:hyperlink>
      <w:r w:rsidRPr="00050B5D">
        <w:rPr>
          <w:rFonts w:ascii="Calibri" w:hAnsi="Calibri" w:cs="Calibri"/>
          <w:sz w:val="24"/>
          <w:szCs w:val="24"/>
          <w:lang w:val="en-GB"/>
        </w:rPr>
        <w:t xml:space="preserve">: </w:t>
      </w:r>
    </w:p>
    <w:p w14:paraId="32A9F109" w14:textId="70ABD4D1" w:rsidR="00050B5D" w:rsidRPr="00050B5D" w:rsidRDefault="009136BF" w:rsidP="00050B5D">
      <w:pPr>
        <w:pStyle w:val="NoSpacing"/>
        <w:numPr>
          <w:ilvl w:val="1"/>
          <w:numId w:val="2"/>
        </w:numPr>
        <w:rPr>
          <w:rFonts w:ascii="Calibri" w:hAnsi="Calibri" w:cs="Calibri"/>
          <w:sz w:val="24"/>
          <w:szCs w:val="24"/>
          <w:lang w:val="en-GB"/>
        </w:rPr>
      </w:pPr>
      <w:hyperlink r:id="rId19" w:history="1">
        <w:r w:rsidR="00050B5D" w:rsidRPr="00050B5D">
          <w:rPr>
            <w:rStyle w:val="Hyperlink"/>
            <w:rFonts w:ascii="Calibri" w:hAnsi="Calibri" w:cs="Calibri"/>
            <w:b/>
            <w:bCs/>
            <w:sz w:val="24"/>
            <w:szCs w:val="24"/>
            <w:lang w:val="en-GB"/>
          </w:rPr>
          <w:t>ACCESS</w:t>
        </w:r>
      </w:hyperlink>
      <w:r w:rsidR="00050B5D" w:rsidRPr="00050B5D">
        <w:rPr>
          <w:rFonts w:ascii="Calibri" w:hAnsi="Calibri" w:cs="Calibri"/>
          <w:sz w:val="24"/>
          <w:szCs w:val="24"/>
          <w:lang w:val="en-GB"/>
        </w:rPr>
        <w:t xml:space="preserve">: Connecting people </w:t>
      </w:r>
      <w:proofErr w:type="gramStart"/>
      <w:r w:rsidR="00050B5D" w:rsidRPr="00050B5D">
        <w:rPr>
          <w:rFonts w:ascii="Calibri" w:hAnsi="Calibri" w:cs="Calibri"/>
          <w:sz w:val="24"/>
          <w:szCs w:val="24"/>
          <w:lang w:val="en-GB"/>
        </w:rPr>
        <w:t>everywhere;</w:t>
      </w:r>
      <w:proofErr w:type="gramEnd"/>
    </w:p>
    <w:p w14:paraId="3C90BAB7" w14:textId="68207E5C" w:rsidR="00050B5D" w:rsidRPr="00050B5D" w:rsidRDefault="009136BF" w:rsidP="00050B5D">
      <w:pPr>
        <w:pStyle w:val="NoSpacing"/>
        <w:numPr>
          <w:ilvl w:val="1"/>
          <w:numId w:val="2"/>
        </w:numPr>
        <w:rPr>
          <w:rFonts w:ascii="Calibri" w:hAnsi="Calibri" w:cs="Calibri"/>
          <w:sz w:val="24"/>
          <w:szCs w:val="24"/>
          <w:lang w:val="en-GB"/>
        </w:rPr>
      </w:pPr>
      <w:hyperlink r:id="rId20" w:history="1">
        <w:r w:rsidR="00050B5D" w:rsidRPr="00050B5D">
          <w:rPr>
            <w:rStyle w:val="Hyperlink"/>
            <w:rFonts w:ascii="Calibri" w:hAnsi="Calibri" w:cs="Calibri"/>
            <w:b/>
            <w:bCs/>
            <w:sz w:val="24"/>
            <w:szCs w:val="24"/>
            <w:lang w:val="en-GB"/>
          </w:rPr>
          <w:t>ADOPTION</w:t>
        </w:r>
      </w:hyperlink>
      <w:r w:rsidR="00050B5D" w:rsidRPr="00050B5D">
        <w:rPr>
          <w:rFonts w:ascii="Calibri" w:hAnsi="Calibri" w:cs="Calibri"/>
          <w:sz w:val="24"/>
          <w:szCs w:val="24"/>
          <w:lang w:val="en-GB"/>
        </w:rPr>
        <w:t xml:space="preserve">: Empowering </w:t>
      </w:r>
      <w:proofErr w:type="gramStart"/>
      <w:r w:rsidR="00050B5D" w:rsidRPr="00050B5D">
        <w:rPr>
          <w:rFonts w:ascii="Calibri" w:hAnsi="Calibri" w:cs="Calibri"/>
          <w:sz w:val="24"/>
          <w:szCs w:val="24"/>
          <w:lang w:val="en-GB"/>
        </w:rPr>
        <w:t>communities;</w:t>
      </w:r>
      <w:proofErr w:type="gramEnd"/>
    </w:p>
    <w:p w14:paraId="1757CD28" w14:textId="06AF3BFE" w:rsidR="00050B5D" w:rsidRPr="00050B5D" w:rsidRDefault="009136BF" w:rsidP="00050B5D">
      <w:pPr>
        <w:pStyle w:val="NoSpacing"/>
        <w:numPr>
          <w:ilvl w:val="1"/>
          <w:numId w:val="2"/>
        </w:numPr>
        <w:rPr>
          <w:rFonts w:ascii="Calibri" w:hAnsi="Calibri" w:cs="Calibri"/>
          <w:sz w:val="24"/>
          <w:szCs w:val="24"/>
          <w:lang w:val="en-GB"/>
        </w:rPr>
      </w:pPr>
      <w:hyperlink r:id="rId21" w:history="1">
        <w:r w:rsidR="00050B5D" w:rsidRPr="00050B5D">
          <w:rPr>
            <w:rStyle w:val="Hyperlink"/>
            <w:rFonts w:ascii="Calibri" w:hAnsi="Calibri" w:cs="Calibri"/>
            <w:b/>
            <w:bCs/>
            <w:sz w:val="24"/>
            <w:szCs w:val="24"/>
            <w:lang w:val="en-GB"/>
          </w:rPr>
          <w:t>VALUE CREATION</w:t>
        </w:r>
      </w:hyperlink>
      <w:r w:rsidR="00050B5D" w:rsidRPr="00050B5D">
        <w:rPr>
          <w:rFonts w:ascii="Calibri" w:hAnsi="Calibri" w:cs="Calibri"/>
          <w:sz w:val="24"/>
          <w:szCs w:val="24"/>
          <w:lang w:val="en-GB"/>
        </w:rPr>
        <w:t xml:space="preserve">: Building digital </w:t>
      </w:r>
      <w:proofErr w:type="gramStart"/>
      <w:r w:rsidR="00050B5D" w:rsidRPr="00050B5D">
        <w:rPr>
          <w:rFonts w:ascii="Calibri" w:hAnsi="Calibri" w:cs="Calibri"/>
          <w:sz w:val="24"/>
          <w:szCs w:val="24"/>
          <w:lang w:val="en-GB"/>
        </w:rPr>
        <w:t>ecosystems;</w:t>
      </w:r>
      <w:proofErr w:type="gramEnd"/>
    </w:p>
    <w:p w14:paraId="1E6646BC" w14:textId="3DC4AB78" w:rsidR="00050B5D" w:rsidRPr="00050B5D" w:rsidRDefault="009136BF" w:rsidP="00050B5D">
      <w:pPr>
        <w:pStyle w:val="NoSpacing"/>
        <w:numPr>
          <w:ilvl w:val="1"/>
          <w:numId w:val="2"/>
        </w:numPr>
        <w:rPr>
          <w:rFonts w:ascii="Calibri" w:hAnsi="Calibri" w:cs="Calibri"/>
          <w:sz w:val="24"/>
          <w:szCs w:val="24"/>
          <w:lang w:val="en-GB"/>
        </w:rPr>
      </w:pPr>
      <w:hyperlink r:id="rId22" w:history="1">
        <w:r w:rsidR="00050B5D" w:rsidRPr="00050B5D">
          <w:rPr>
            <w:rStyle w:val="Hyperlink"/>
            <w:rFonts w:ascii="Calibri" w:hAnsi="Calibri" w:cs="Calibri"/>
            <w:b/>
            <w:bCs/>
            <w:sz w:val="24"/>
            <w:szCs w:val="24"/>
            <w:lang w:val="en-GB"/>
          </w:rPr>
          <w:t>ACCELERATE</w:t>
        </w:r>
      </w:hyperlink>
      <w:r w:rsidR="00050B5D" w:rsidRPr="00050B5D">
        <w:rPr>
          <w:rFonts w:ascii="Calibri" w:hAnsi="Calibri" w:cs="Calibri"/>
          <w:sz w:val="24"/>
          <w:szCs w:val="24"/>
          <w:lang w:val="en-GB"/>
        </w:rPr>
        <w:t>: Incentivizing investments.</w:t>
      </w:r>
    </w:p>
    <w:p w14:paraId="54B44D8C" w14:textId="77777777" w:rsidR="00050B5D" w:rsidRPr="00050B5D" w:rsidRDefault="00050B5D" w:rsidP="00050B5D">
      <w:pPr>
        <w:pStyle w:val="NoSpacing"/>
        <w:numPr>
          <w:ilvl w:val="0"/>
          <w:numId w:val="2"/>
        </w:numPr>
        <w:rPr>
          <w:rFonts w:ascii="Calibri" w:hAnsi="Calibri" w:cs="Calibri"/>
          <w:sz w:val="24"/>
          <w:szCs w:val="24"/>
          <w:lang w:val="en-GB"/>
        </w:rPr>
      </w:pPr>
      <w:r w:rsidRPr="00050B5D">
        <w:rPr>
          <w:rFonts w:ascii="Calibri" w:hAnsi="Calibri" w:cs="Calibri"/>
          <w:sz w:val="24"/>
          <w:szCs w:val="24"/>
          <w:lang w:val="en-GB"/>
        </w:rPr>
        <w:t>Helps drive transformational change towards universal connectivity and the digital transformation of societies.</w:t>
      </w:r>
    </w:p>
    <w:p w14:paraId="240FD6FE" w14:textId="77777777" w:rsidR="00050B5D" w:rsidRPr="00050B5D" w:rsidRDefault="00050B5D" w:rsidP="00050B5D">
      <w:pPr>
        <w:pStyle w:val="NoSpacing"/>
        <w:numPr>
          <w:ilvl w:val="0"/>
          <w:numId w:val="2"/>
        </w:numPr>
        <w:rPr>
          <w:rFonts w:ascii="Calibri" w:hAnsi="Calibri" w:cs="Calibri"/>
          <w:sz w:val="24"/>
          <w:szCs w:val="24"/>
          <w:lang w:val="en-GB"/>
        </w:rPr>
      </w:pPr>
      <w:r w:rsidRPr="00050B5D">
        <w:rPr>
          <w:rFonts w:ascii="Calibri" w:hAnsi="Calibri" w:cs="Calibri"/>
          <w:sz w:val="24"/>
          <w:szCs w:val="24"/>
          <w:lang w:val="en-GB"/>
        </w:rPr>
        <w:t>Helps mobilize resources across the four Focus Areas of P2C.</w:t>
      </w:r>
    </w:p>
    <w:p w14:paraId="0EB78DAB" w14:textId="77777777" w:rsidR="00050B5D" w:rsidRPr="00050B5D" w:rsidRDefault="00050B5D" w:rsidP="00050B5D">
      <w:pPr>
        <w:pStyle w:val="NoSpacing"/>
        <w:numPr>
          <w:ilvl w:val="0"/>
          <w:numId w:val="2"/>
        </w:numPr>
        <w:rPr>
          <w:rFonts w:ascii="Calibri" w:hAnsi="Calibri" w:cs="Calibri"/>
          <w:sz w:val="24"/>
          <w:szCs w:val="24"/>
          <w:lang w:val="en-GB"/>
        </w:rPr>
      </w:pPr>
      <w:r w:rsidRPr="00050B5D">
        <w:rPr>
          <w:rFonts w:ascii="Calibri" w:hAnsi="Calibri" w:cs="Calibri"/>
          <w:sz w:val="24"/>
          <w:szCs w:val="24"/>
          <w:lang w:val="en-GB"/>
        </w:rPr>
        <w:t>Brings together multiple entities committed to endorse, implement, or scale the pledge.</w:t>
      </w:r>
    </w:p>
    <w:p w14:paraId="32C27FDC" w14:textId="4BDCB7F5" w:rsidR="00050B5D" w:rsidRDefault="00050B5D" w:rsidP="00050B5D">
      <w:pPr>
        <w:pStyle w:val="NoSpacing"/>
        <w:numPr>
          <w:ilvl w:val="0"/>
          <w:numId w:val="2"/>
        </w:numPr>
        <w:rPr>
          <w:rFonts w:ascii="Calibri" w:hAnsi="Calibri" w:cs="Calibri"/>
          <w:sz w:val="24"/>
          <w:szCs w:val="24"/>
          <w:lang w:val="en-GB"/>
        </w:rPr>
      </w:pPr>
      <w:r w:rsidRPr="00050B5D">
        <w:rPr>
          <w:rFonts w:ascii="Calibri" w:hAnsi="Calibri" w:cs="Calibri"/>
          <w:sz w:val="24"/>
          <w:szCs w:val="24"/>
          <w:lang w:val="en-GB"/>
        </w:rPr>
        <w:t xml:space="preserve">Can be easily quantified, </w:t>
      </w:r>
      <w:proofErr w:type="gramStart"/>
      <w:r w:rsidRPr="00050B5D">
        <w:rPr>
          <w:rFonts w:ascii="Calibri" w:hAnsi="Calibri" w:cs="Calibri"/>
          <w:sz w:val="24"/>
          <w:szCs w:val="24"/>
          <w:lang w:val="en-GB"/>
        </w:rPr>
        <w:t>monitored</w:t>
      </w:r>
      <w:proofErr w:type="gramEnd"/>
      <w:r w:rsidRPr="00050B5D">
        <w:rPr>
          <w:rFonts w:ascii="Calibri" w:hAnsi="Calibri" w:cs="Calibri"/>
          <w:sz w:val="24"/>
          <w:szCs w:val="24"/>
          <w:lang w:val="en-GB"/>
        </w:rPr>
        <w:t xml:space="preserve"> and tracked, and its impact can also be measured and reported over time and against the overall objective of achieving universal connectivity</w:t>
      </w:r>
      <w:r w:rsidR="00F436D6">
        <w:rPr>
          <w:rFonts w:ascii="Calibri" w:hAnsi="Calibri" w:cs="Calibri"/>
          <w:sz w:val="24"/>
          <w:szCs w:val="24"/>
          <w:lang w:val="en-GB"/>
        </w:rPr>
        <w:t xml:space="preserve"> and sustainable digital transformation.</w:t>
      </w:r>
    </w:p>
    <w:p w14:paraId="5CFF6BDC" w14:textId="77777777" w:rsidR="008B6F31" w:rsidRPr="00050B5D" w:rsidRDefault="008B6F31" w:rsidP="008B6F31">
      <w:pPr>
        <w:pStyle w:val="NoSpacing"/>
        <w:ind w:left="720"/>
        <w:rPr>
          <w:rFonts w:ascii="Calibri" w:hAnsi="Calibri" w:cs="Calibri"/>
          <w:sz w:val="24"/>
          <w:szCs w:val="24"/>
          <w:lang w:val="en-GB"/>
        </w:rPr>
      </w:pPr>
    </w:p>
    <w:p w14:paraId="07CA2806" w14:textId="1F0CCC55" w:rsidR="005D173A" w:rsidRDefault="005D173A" w:rsidP="005D173A">
      <w:pPr>
        <w:pStyle w:val="NoSpacing"/>
        <w:rPr>
          <w:rFonts w:ascii="Calibri" w:hAnsi="Calibri" w:cs="Calibri"/>
          <w:sz w:val="24"/>
          <w:szCs w:val="24"/>
          <w:lang w:val="en-GB"/>
        </w:rPr>
      </w:pPr>
      <w:r>
        <w:rPr>
          <w:rFonts w:ascii="Calibri" w:hAnsi="Calibri" w:cs="Calibri"/>
          <w:sz w:val="24"/>
          <w:szCs w:val="24"/>
          <w:lang w:val="en-GB"/>
        </w:rPr>
        <w:t>As of June 1,2023, and w</w:t>
      </w:r>
      <w:r w:rsidRPr="005272CB">
        <w:rPr>
          <w:rFonts w:ascii="Calibri" w:hAnsi="Calibri" w:cs="Calibri"/>
          <w:sz w:val="24"/>
          <w:szCs w:val="24"/>
          <w:lang w:val="en-GB"/>
        </w:rPr>
        <w:t>ithin just on</w:t>
      </w:r>
      <w:r>
        <w:rPr>
          <w:rFonts w:ascii="Calibri" w:hAnsi="Calibri" w:cs="Calibri"/>
          <w:sz w:val="24"/>
          <w:szCs w:val="24"/>
          <w:lang w:val="en-GB"/>
        </w:rPr>
        <w:t>e</w:t>
      </w:r>
      <w:r w:rsidRPr="005272CB">
        <w:rPr>
          <w:rFonts w:ascii="Calibri" w:hAnsi="Calibri" w:cs="Calibri"/>
          <w:sz w:val="24"/>
          <w:szCs w:val="24"/>
          <w:lang w:val="en-GB"/>
        </w:rPr>
        <w:t xml:space="preserve"> year of having launched the </w:t>
      </w:r>
      <w:r w:rsidR="008B6F31">
        <w:rPr>
          <w:rFonts w:ascii="Calibri" w:hAnsi="Calibri" w:cs="Calibri"/>
          <w:sz w:val="24"/>
          <w:szCs w:val="24"/>
          <w:lang w:val="en-GB"/>
        </w:rPr>
        <w:t xml:space="preserve">P2C </w:t>
      </w:r>
      <w:r w:rsidRPr="005272CB">
        <w:rPr>
          <w:rFonts w:ascii="Calibri" w:hAnsi="Calibri" w:cs="Calibri"/>
          <w:sz w:val="24"/>
          <w:szCs w:val="24"/>
          <w:lang w:val="en-GB"/>
        </w:rPr>
        <w:t xml:space="preserve">pledging platform, P2C has gathered </w:t>
      </w:r>
      <w:r>
        <w:rPr>
          <w:rFonts w:ascii="Calibri" w:hAnsi="Calibri" w:cs="Calibri"/>
          <w:b/>
          <w:bCs/>
          <w:sz w:val="24"/>
          <w:szCs w:val="24"/>
          <w:lang w:val="en-GB"/>
        </w:rPr>
        <w:t>723</w:t>
      </w:r>
      <w:r w:rsidRPr="005272CB">
        <w:rPr>
          <w:rFonts w:ascii="Calibri" w:hAnsi="Calibri" w:cs="Calibri"/>
          <w:b/>
          <w:bCs/>
          <w:sz w:val="24"/>
          <w:szCs w:val="24"/>
          <w:lang w:val="en-GB"/>
        </w:rPr>
        <w:t xml:space="preserve"> </w:t>
      </w:r>
      <w:hyperlink r:id="rId23" w:history="1">
        <w:r w:rsidRPr="005272CB">
          <w:rPr>
            <w:rStyle w:val="Hyperlink"/>
            <w:rFonts w:ascii="Calibri" w:hAnsi="Calibri" w:cs="Calibri"/>
            <w:b/>
            <w:bCs/>
            <w:sz w:val="24"/>
            <w:szCs w:val="24"/>
            <w:lang w:val="en-GB"/>
          </w:rPr>
          <w:t>pledges</w:t>
        </w:r>
      </w:hyperlink>
      <w:r w:rsidRPr="005272CB">
        <w:rPr>
          <w:rFonts w:ascii="Calibri" w:hAnsi="Calibri" w:cs="Calibri"/>
          <w:sz w:val="24"/>
          <w:szCs w:val="24"/>
          <w:lang w:val="en-GB"/>
        </w:rPr>
        <w:t xml:space="preserve"> worth over </w:t>
      </w:r>
      <w:r w:rsidRPr="005272CB">
        <w:rPr>
          <w:rFonts w:ascii="Calibri" w:hAnsi="Calibri" w:cs="Calibri"/>
          <w:b/>
          <w:bCs/>
          <w:sz w:val="24"/>
          <w:szCs w:val="24"/>
          <w:lang w:val="en-GB"/>
        </w:rPr>
        <w:t>30.7 USD billion</w:t>
      </w:r>
      <w:r w:rsidRPr="005272CB">
        <w:rPr>
          <w:rFonts w:ascii="Calibri" w:hAnsi="Calibri" w:cs="Calibri"/>
          <w:sz w:val="24"/>
          <w:szCs w:val="24"/>
          <w:lang w:val="en-GB"/>
        </w:rPr>
        <w:t xml:space="preserve"> from </w:t>
      </w:r>
      <w:r w:rsidRPr="005272CB">
        <w:rPr>
          <w:rFonts w:ascii="Calibri" w:hAnsi="Calibri" w:cs="Calibri"/>
          <w:b/>
          <w:bCs/>
          <w:sz w:val="24"/>
          <w:szCs w:val="24"/>
          <w:lang w:val="en-GB"/>
        </w:rPr>
        <w:t>3</w:t>
      </w:r>
      <w:r>
        <w:rPr>
          <w:rFonts w:ascii="Calibri" w:hAnsi="Calibri" w:cs="Calibri"/>
          <w:b/>
          <w:bCs/>
          <w:sz w:val="24"/>
          <w:szCs w:val="24"/>
          <w:lang w:val="en-GB"/>
        </w:rPr>
        <w:t>4</w:t>
      </w:r>
      <w:r w:rsidRPr="005272CB">
        <w:rPr>
          <w:rFonts w:ascii="Calibri" w:hAnsi="Calibri" w:cs="Calibri"/>
          <w:b/>
          <w:bCs/>
          <w:sz w:val="24"/>
          <w:szCs w:val="24"/>
          <w:lang w:val="en-GB"/>
        </w:rPr>
        <w:t>9 entities</w:t>
      </w:r>
      <w:r w:rsidRPr="005272CB">
        <w:rPr>
          <w:rFonts w:ascii="Calibri" w:hAnsi="Calibri" w:cs="Calibri"/>
          <w:sz w:val="24"/>
          <w:szCs w:val="24"/>
          <w:lang w:val="en-GB"/>
        </w:rPr>
        <w:t xml:space="preserve"> globally. </w:t>
      </w:r>
      <w:r w:rsidRPr="005272CB">
        <w:rPr>
          <w:rFonts w:ascii="Calibri" w:hAnsi="Calibri" w:cs="Calibri"/>
          <w:sz w:val="24"/>
          <w:szCs w:val="24"/>
        </w:rPr>
        <w:t>Of the 3</w:t>
      </w:r>
      <w:r>
        <w:rPr>
          <w:rFonts w:ascii="Calibri" w:hAnsi="Calibri" w:cs="Calibri"/>
          <w:sz w:val="24"/>
          <w:szCs w:val="24"/>
        </w:rPr>
        <w:t>4</w:t>
      </w:r>
      <w:r w:rsidRPr="005272CB">
        <w:rPr>
          <w:rFonts w:ascii="Calibri" w:hAnsi="Calibri" w:cs="Calibri"/>
          <w:sz w:val="24"/>
          <w:szCs w:val="24"/>
        </w:rPr>
        <w:t xml:space="preserve">9 </w:t>
      </w:r>
      <w:r w:rsidRPr="005272CB">
        <w:rPr>
          <w:rFonts w:ascii="Calibri" w:hAnsi="Calibri" w:cs="Calibri"/>
          <w:sz w:val="24"/>
          <w:szCs w:val="24"/>
          <w:lang w:val="en-GB"/>
        </w:rPr>
        <w:t xml:space="preserve">entities participating in the Coalition, </w:t>
      </w:r>
      <w:r w:rsidRPr="006741F9">
        <w:rPr>
          <w:rFonts w:ascii="Calibri" w:hAnsi="Calibri" w:cs="Calibri"/>
          <w:b/>
          <w:bCs/>
          <w:sz w:val="24"/>
          <w:szCs w:val="24"/>
          <w:lang w:val="en-GB"/>
        </w:rPr>
        <w:t>1</w:t>
      </w:r>
      <w:r>
        <w:rPr>
          <w:rFonts w:ascii="Calibri" w:hAnsi="Calibri" w:cs="Calibri"/>
          <w:b/>
          <w:bCs/>
          <w:sz w:val="24"/>
          <w:szCs w:val="24"/>
          <w:lang w:val="en-GB"/>
        </w:rPr>
        <w:t>10</w:t>
      </w:r>
      <w:r w:rsidRPr="006741F9">
        <w:rPr>
          <w:rFonts w:ascii="Calibri" w:hAnsi="Calibri" w:cs="Calibri"/>
          <w:b/>
          <w:bCs/>
          <w:sz w:val="24"/>
          <w:szCs w:val="24"/>
          <w:lang w:val="en-GB"/>
        </w:rPr>
        <w:t xml:space="preserve"> are Member States</w:t>
      </w:r>
      <w:r w:rsidRPr="005272CB">
        <w:rPr>
          <w:rFonts w:ascii="Calibri" w:hAnsi="Calibri" w:cs="Calibri"/>
          <w:sz w:val="24"/>
          <w:szCs w:val="24"/>
          <w:lang w:val="en-GB"/>
        </w:rPr>
        <w:t xml:space="preserve"> and </w:t>
      </w:r>
      <w:r w:rsidRPr="005272CB">
        <w:rPr>
          <w:rFonts w:ascii="Calibri" w:hAnsi="Calibri" w:cs="Calibri"/>
          <w:b/>
          <w:bCs/>
          <w:sz w:val="24"/>
          <w:szCs w:val="24"/>
          <w:lang w:val="en-GB"/>
        </w:rPr>
        <w:t>77 are from the private sector</w:t>
      </w:r>
      <w:r w:rsidRPr="005272CB">
        <w:rPr>
          <w:rFonts w:ascii="Calibri" w:hAnsi="Calibri" w:cs="Calibri"/>
          <w:sz w:val="24"/>
          <w:szCs w:val="24"/>
          <w:lang w:val="en-GB"/>
        </w:rPr>
        <w:t>. The Coalition also engages fifteen</w:t>
      </w:r>
      <w:r w:rsidRPr="006741F9">
        <w:rPr>
          <w:rFonts w:ascii="Calibri" w:hAnsi="Calibri" w:cs="Calibri"/>
          <w:b/>
          <w:bCs/>
          <w:sz w:val="24"/>
          <w:szCs w:val="24"/>
          <w:lang w:val="en-GB"/>
        </w:rPr>
        <w:t xml:space="preserve"> UN Agencies</w:t>
      </w:r>
      <w:r w:rsidRPr="005272CB">
        <w:rPr>
          <w:rFonts w:ascii="Calibri" w:hAnsi="Calibri" w:cs="Calibri"/>
          <w:sz w:val="24"/>
          <w:szCs w:val="24"/>
          <w:lang w:val="en-GB"/>
        </w:rPr>
        <w:t>.</w:t>
      </w:r>
    </w:p>
    <w:p w14:paraId="08CE35C0" w14:textId="6F227387" w:rsidR="00287F72" w:rsidRPr="005272CB" w:rsidRDefault="00287F72" w:rsidP="0003265E">
      <w:pPr>
        <w:pStyle w:val="NoSpacing"/>
        <w:spacing w:before="120" w:after="120"/>
        <w:rPr>
          <w:rFonts w:ascii="Calibri" w:hAnsi="Calibri" w:cs="Calibri"/>
          <w:sz w:val="24"/>
          <w:szCs w:val="24"/>
          <w:lang w:val="en-GB"/>
        </w:rPr>
      </w:pPr>
      <w:r w:rsidRPr="2BFB5450">
        <w:rPr>
          <w:rFonts w:ascii="Calibri" w:hAnsi="Calibri" w:cs="Calibri"/>
          <w:sz w:val="24"/>
          <w:szCs w:val="24"/>
          <w:lang w:val="en-GB"/>
        </w:rPr>
        <w:t xml:space="preserve">P2C </w:t>
      </w:r>
      <w:r w:rsidR="008B6F31">
        <w:rPr>
          <w:rFonts w:ascii="Calibri" w:hAnsi="Calibri" w:cs="Calibri"/>
          <w:sz w:val="24"/>
          <w:szCs w:val="24"/>
          <w:lang w:val="en-GB"/>
        </w:rPr>
        <w:t xml:space="preserve">helps </w:t>
      </w:r>
      <w:r w:rsidRPr="2BFB5450">
        <w:rPr>
          <w:rFonts w:ascii="Calibri" w:hAnsi="Calibri" w:cs="Calibri"/>
          <w:sz w:val="24"/>
          <w:szCs w:val="24"/>
          <w:lang w:val="en-GB"/>
        </w:rPr>
        <w:t>forge</w:t>
      </w:r>
      <w:r w:rsidR="008B6F31">
        <w:rPr>
          <w:rFonts w:ascii="Calibri" w:hAnsi="Calibri" w:cs="Calibri"/>
          <w:sz w:val="24"/>
          <w:szCs w:val="24"/>
          <w:lang w:val="en-GB"/>
        </w:rPr>
        <w:t xml:space="preserve"> collaboration and </w:t>
      </w:r>
      <w:r w:rsidRPr="2BFB5450">
        <w:rPr>
          <w:rFonts w:ascii="Calibri" w:hAnsi="Calibri" w:cs="Calibri"/>
          <w:sz w:val="24"/>
          <w:szCs w:val="24"/>
          <w:lang w:val="en-GB"/>
        </w:rPr>
        <w:t xml:space="preserve">partnerships that match country needs and priorities with development and financial partners.  With the support of the broader UN family, Member States and the wider set of stakeholders that form the Coalition, P2C is bringing a coordinated approach to the wider UN digital development agenda. </w:t>
      </w:r>
    </w:p>
    <w:p w14:paraId="2185C7B8" w14:textId="5053410D" w:rsidR="003A17F0" w:rsidRPr="005272CB" w:rsidRDefault="003A17F0" w:rsidP="0069234E">
      <w:pPr>
        <w:keepNext/>
        <w:tabs>
          <w:tab w:val="clear" w:pos="567"/>
          <w:tab w:val="clear" w:pos="1134"/>
          <w:tab w:val="clear" w:pos="1701"/>
          <w:tab w:val="clear" w:pos="2268"/>
          <w:tab w:val="clear" w:pos="2835"/>
        </w:tabs>
        <w:overflowPunct/>
        <w:autoSpaceDE/>
        <w:autoSpaceDN/>
        <w:adjustRightInd/>
        <w:spacing w:before="240" w:after="120"/>
        <w:textAlignment w:val="auto"/>
        <w:rPr>
          <w:rFonts w:cs="Calibri"/>
          <w:b/>
          <w:bCs/>
          <w:color w:val="00B0F0"/>
          <w:szCs w:val="24"/>
        </w:rPr>
      </w:pPr>
      <w:r w:rsidRPr="005272CB">
        <w:rPr>
          <w:rFonts w:cs="Calibri"/>
          <w:b/>
          <w:bCs/>
          <w:color w:val="00B0F0"/>
          <w:szCs w:val="24"/>
        </w:rPr>
        <w:lastRenderedPageBreak/>
        <w:t>Monitoring and Evaluation of implementation progress</w:t>
      </w:r>
    </w:p>
    <w:p w14:paraId="608C4F8F" w14:textId="24401746" w:rsidR="003A17F0" w:rsidRPr="005272CB" w:rsidRDefault="009D75EA" w:rsidP="2BFB5450">
      <w:pPr>
        <w:tabs>
          <w:tab w:val="clear" w:pos="567"/>
          <w:tab w:val="clear" w:pos="1134"/>
          <w:tab w:val="clear" w:pos="1701"/>
          <w:tab w:val="clear" w:pos="2268"/>
          <w:tab w:val="clear" w:pos="2835"/>
        </w:tabs>
        <w:overflowPunct/>
        <w:autoSpaceDE/>
        <w:autoSpaceDN/>
        <w:adjustRightInd/>
        <w:spacing w:after="120"/>
        <w:textAlignment w:val="auto"/>
        <w:rPr>
          <w:rFonts w:cs="Calibri"/>
        </w:rPr>
      </w:pPr>
      <w:r w:rsidRPr="2BFB5450">
        <w:rPr>
          <w:rFonts w:cs="Calibri"/>
        </w:rPr>
        <w:t>Global connectivity and sustainable digital transformation cannot be achieved without accountability</w:t>
      </w:r>
      <w:r w:rsidR="00EF73FD" w:rsidRPr="2BFB5450">
        <w:rPr>
          <w:rFonts w:cs="Calibri"/>
        </w:rPr>
        <w:t>. Th</w:t>
      </w:r>
      <w:r w:rsidRPr="2BFB5450">
        <w:rPr>
          <w:rFonts w:cs="Calibri"/>
        </w:rPr>
        <w:t xml:space="preserve">rough Partner2Connect, ITU can play a central role in </w:t>
      </w:r>
      <w:r w:rsidRPr="2BFB5450">
        <w:rPr>
          <w:rFonts w:cs="Calibri"/>
          <w:b/>
          <w:bCs/>
        </w:rPr>
        <w:t>monitoring</w:t>
      </w:r>
      <w:r w:rsidRPr="2BFB5450">
        <w:rPr>
          <w:rFonts w:cs="Calibri"/>
        </w:rPr>
        <w:t xml:space="preserve">, </w:t>
      </w:r>
      <w:proofErr w:type="gramStart"/>
      <w:r w:rsidRPr="2BFB5450">
        <w:rPr>
          <w:rFonts w:cs="Calibri"/>
          <w:b/>
          <w:bCs/>
        </w:rPr>
        <w:t>tracking</w:t>
      </w:r>
      <w:proofErr w:type="gramEnd"/>
      <w:r w:rsidRPr="2BFB5450">
        <w:rPr>
          <w:rFonts w:cs="Calibri"/>
        </w:rPr>
        <w:t xml:space="preserve"> and </w:t>
      </w:r>
      <w:r w:rsidRPr="2BFB5450">
        <w:rPr>
          <w:rFonts w:cs="Calibri"/>
          <w:b/>
          <w:bCs/>
        </w:rPr>
        <w:t>reporting on commitments</w:t>
      </w:r>
      <w:r w:rsidRPr="2BFB5450">
        <w:rPr>
          <w:rFonts w:cs="Calibri"/>
        </w:rPr>
        <w:t xml:space="preserve"> towards connectivity</w:t>
      </w:r>
      <w:r w:rsidR="008B6F31">
        <w:rPr>
          <w:rFonts w:cs="Calibri"/>
        </w:rPr>
        <w:t xml:space="preserve"> and sustainable digital transformation</w:t>
      </w:r>
      <w:r w:rsidRPr="2BFB5450">
        <w:rPr>
          <w:rFonts w:cs="Calibri"/>
        </w:rPr>
        <w:t xml:space="preserve">. </w:t>
      </w:r>
    </w:p>
    <w:p w14:paraId="09C79188" w14:textId="3ACA4343" w:rsidR="006F31AB" w:rsidRPr="005272CB" w:rsidRDefault="006F31AB" w:rsidP="0003265E">
      <w:pPr>
        <w:spacing w:after="120"/>
        <w:rPr>
          <w:rFonts w:cs="Calibri"/>
          <w:szCs w:val="24"/>
        </w:rPr>
      </w:pPr>
      <w:r w:rsidRPr="006F31AB">
        <w:rPr>
          <w:rFonts w:cs="Calibri"/>
          <w:szCs w:val="24"/>
        </w:rPr>
        <w:t xml:space="preserve">Further to </w:t>
      </w:r>
      <w:hyperlink r:id="rId24" w:history="1">
        <w:r w:rsidRPr="006F31AB">
          <w:rPr>
            <w:rStyle w:val="Hyperlink"/>
            <w:rFonts w:cs="Calibri"/>
            <w:szCs w:val="24"/>
          </w:rPr>
          <w:t>submitting or editing a pledge</w:t>
        </w:r>
      </w:hyperlink>
      <w:r w:rsidRPr="006F31AB">
        <w:rPr>
          <w:rFonts w:cs="Calibri"/>
          <w:szCs w:val="24"/>
        </w:rPr>
        <w:t xml:space="preserve">, the </w:t>
      </w:r>
      <w:r w:rsidRPr="005272CB">
        <w:rPr>
          <w:rFonts w:cs="Calibri"/>
          <w:szCs w:val="24"/>
          <w:lang w:val="en-US"/>
        </w:rPr>
        <w:t xml:space="preserve">P2C </w:t>
      </w:r>
      <w:r w:rsidRPr="006F31AB">
        <w:rPr>
          <w:rFonts w:cs="Calibri"/>
          <w:szCs w:val="24"/>
        </w:rPr>
        <w:t xml:space="preserve">platform provides everyone with the possibility to </w:t>
      </w:r>
      <w:hyperlink r:id="rId25" w:history="1">
        <w:r w:rsidRPr="006F31AB">
          <w:rPr>
            <w:rStyle w:val="Hyperlink"/>
            <w:rFonts w:cs="Calibri"/>
            <w:szCs w:val="24"/>
          </w:rPr>
          <w:t>explore</w:t>
        </w:r>
      </w:hyperlink>
      <w:r w:rsidRPr="006F31AB">
        <w:rPr>
          <w:rFonts w:cs="Calibri"/>
          <w:szCs w:val="24"/>
        </w:rPr>
        <w:t xml:space="preserve"> all pledges in an open and easily accessible way. With the use of interactive dashboards, anyon</w:t>
      </w:r>
      <w:r w:rsidR="008B6F31">
        <w:rPr>
          <w:rFonts w:cs="Calibri"/>
          <w:szCs w:val="24"/>
        </w:rPr>
        <w:t>e can access r</w:t>
      </w:r>
      <w:r w:rsidRPr="006F31AB">
        <w:rPr>
          <w:rFonts w:cs="Calibri"/>
          <w:szCs w:val="24"/>
        </w:rPr>
        <w:t>eal-time aggregated (or disaggregated) information about the pledges</w:t>
      </w:r>
      <w:r w:rsidR="008B6F31">
        <w:rPr>
          <w:rFonts w:cs="Calibri"/>
          <w:szCs w:val="24"/>
        </w:rPr>
        <w:t xml:space="preserve"> that have been</w:t>
      </w:r>
      <w:r w:rsidRPr="006F31AB">
        <w:rPr>
          <w:rFonts w:cs="Calibri"/>
          <w:szCs w:val="24"/>
        </w:rPr>
        <w:t xml:space="preserve"> </w:t>
      </w:r>
      <w:proofErr w:type="gramStart"/>
      <w:r w:rsidRPr="006F31AB">
        <w:rPr>
          <w:rFonts w:cs="Calibri"/>
          <w:szCs w:val="24"/>
        </w:rPr>
        <w:t>submitted</w:t>
      </w:r>
      <w:r w:rsidR="008B6F31">
        <w:rPr>
          <w:rFonts w:cs="Calibri"/>
          <w:szCs w:val="24"/>
        </w:rPr>
        <w:t>,</w:t>
      </w:r>
      <w:r w:rsidRPr="006F31AB">
        <w:rPr>
          <w:rFonts w:cs="Calibri"/>
          <w:szCs w:val="24"/>
        </w:rPr>
        <w:t xml:space="preserve"> and</w:t>
      </w:r>
      <w:proofErr w:type="gramEnd"/>
      <w:r w:rsidRPr="006F31AB">
        <w:rPr>
          <w:rFonts w:cs="Calibri"/>
          <w:szCs w:val="24"/>
        </w:rPr>
        <w:t xml:space="preserve"> use </w:t>
      </w:r>
      <w:r w:rsidR="008B6F31">
        <w:rPr>
          <w:rFonts w:cs="Calibri"/>
          <w:szCs w:val="24"/>
        </w:rPr>
        <w:t xml:space="preserve">a variety of </w:t>
      </w:r>
      <w:r w:rsidRPr="006F31AB">
        <w:rPr>
          <w:rFonts w:cs="Calibri"/>
          <w:szCs w:val="24"/>
        </w:rPr>
        <w:t>criteria for searching and analysing the pledges.</w:t>
      </w:r>
      <w:r w:rsidRPr="005272CB">
        <w:rPr>
          <w:rFonts w:cs="Calibri"/>
          <w:szCs w:val="24"/>
          <w:lang w:val="en-US"/>
        </w:rPr>
        <w:t xml:space="preserve"> </w:t>
      </w:r>
      <w:r w:rsidR="005272CB" w:rsidRPr="005272CB">
        <w:rPr>
          <w:rFonts w:cs="Calibri"/>
          <w:szCs w:val="24"/>
          <w:lang w:val="en-US"/>
        </w:rPr>
        <w:t>Furthermore,</w:t>
      </w:r>
      <w:r w:rsidRPr="005272CB">
        <w:rPr>
          <w:rFonts w:cs="Calibri"/>
          <w:szCs w:val="24"/>
          <w:lang w:val="en-US"/>
        </w:rPr>
        <w:t xml:space="preserve"> </w:t>
      </w:r>
      <w:r w:rsidR="005272CB" w:rsidRPr="005272CB">
        <w:rPr>
          <w:rFonts w:cs="Calibri"/>
          <w:szCs w:val="24"/>
          <w:lang w:val="en-US"/>
        </w:rPr>
        <w:t xml:space="preserve">the </w:t>
      </w:r>
      <w:r w:rsidR="00F436D6">
        <w:rPr>
          <w:rFonts w:cs="Calibri"/>
          <w:szCs w:val="24"/>
        </w:rPr>
        <w:t>P2C</w:t>
      </w:r>
      <w:r w:rsidRPr="005272CB">
        <w:rPr>
          <w:rFonts w:cs="Calibri"/>
          <w:szCs w:val="24"/>
        </w:rPr>
        <w:t xml:space="preserve"> </w:t>
      </w:r>
      <w:r w:rsidR="005272CB" w:rsidRPr="005272CB">
        <w:rPr>
          <w:rFonts w:cs="Calibri"/>
          <w:szCs w:val="24"/>
          <w:lang w:val="en-US"/>
        </w:rPr>
        <w:t xml:space="preserve">platform also offers a </w:t>
      </w:r>
      <w:r w:rsidRPr="005272CB">
        <w:rPr>
          <w:rFonts w:cs="Calibri"/>
          <w:b/>
          <w:bCs/>
          <w:szCs w:val="24"/>
        </w:rPr>
        <w:t>self-reporting process</w:t>
      </w:r>
      <w:r w:rsidRPr="005272CB">
        <w:rPr>
          <w:rFonts w:cs="Calibri"/>
          <w:szCs w:val="24"/>
        </w:rPr>
        <w:t xml:space="preserve"> to comply with the principles of accountability, transparency, </w:t>
      </w:r>
      <w:proofErr w:type="gramStart"/>
      <w:r w:rsidRPr="005272CB">
        <w:rPr>
          <w:rFonts w:cs="Calibri"/>
          <w:szCs w:val="24"/>
        </w:rPr>
        <w:t>partnership</w:t>
      </w:r>
      <w:proofErr w:type="gramEnd"/>
      <w:r w:rsidRPr="005272CB">
        <w:rPr>
          <w:rFonts w:cs="Calibri"/>
          <w:szCs w:val="24"/>
        </w:rPr>
        <w:t xml:space="preserve"> and action-oriented leadership that the Coalition stands for. </w:t>
      </w:r>
      <w:r w:rsidR="008B6F31">
        <w:rPr>
          <w:rFonts w:cs="Calibri"/>
          <w:szCs w:val="24"/>
        </w:rPr>
        <w:t xml:space="preserve">P2C also </w:t>
      </w:r>
      <w:r w:rsidRPr="005272CB">
        <w:rPr>
          <w:rFonts w:cs="Calibri"/>
          <w:szCs w:val="24"/>
        </w:rPr>
        <w:t>monitor</w:t>
      </w:r>
      <w:r w:rsidR="008B6F31">
        <w:rPr>
          <w:rFonts w:cs="Calibri"/>
          <w:szCs w:val="24"/>
        </w:rPr>
        <w:t>s</w:t>
      </w:r>
      <w:r w:rsidRPr="005272CB">
        <w:rPr>
          <w:rFonts w:cs="Calibri"/>
          <w:szCs w:val="24"/>
        </w:rPr>
        <w:t xml:space="preserve"> and report</w:t>
      </w:r>
      <w:r w:rsidR="008B6F31">
        <w:rPr>
          <w:rFonts w:cs="Calibri"/>
          <w:szCs w:val="24"/>
        </w:rPr>
        <w:t>s</w:t>
      </w:r>
      <w:r w:rsidRPr="005272CB">
        <w:rPr>
          <w:rFonts w:cs="Calibri"/>
          <w:szCs w:val="24"/>
        </w:rPr>
        <w:t xml:space="preserve"> on </w:t>
      </w:r>
      <w:r w:rsidR="008B6F31">
        <w:rPr>
          <w:rFonts w:cs="Calibri"/>
          <w:szCs w:val="24"/>
        </w:rPr>
        <w:t xml:space="preserve">the status of </w:t>
      </w:r>
      <w:r w:rsidRPr="005272CB">
        <w:rPr>
          <w:rFonts w:cs="Calibri"/>
          <w:szCs w:val="24"/>
        </w:rPr>
        <w:t xml:space="preserve">pledge implementation. This process is supported by the </w:t>
      </w:r>
      <w:hyperlink r:id="rId26" w:history="1">
        <w:r w:rsidRPr="005272CB">
          <w:rPr>
            <w:rStyle w:val="Hyperlink"/>
            <w:rFonts w:cs="Calibri"/>
            <w:szCs w:val="24"/>
          </w:rPr>
          <w:t>P2C Self-Reporting Form</w:t>
        </w:r>
      </w:hyperlink>
      <w:r w:rsidRPr="005272CB">
        <w:rPr>
          <w:rFonts w:cs="Calibri"/>
          <w:szCs w:val="24"/>
        </w:rPr>
        <w:t>, an online tool designed to capture the implementation progress of all pledges submitted to the P2C platform. All pledgers are required to complete this form.</w:t>
      </w:r>
    </w:p>
    <w:p w14:paraId="4826B8D1" w14:textId="504EF806" w:rsidR="006F31AB" w:rsidRPr="005272CB" w:rsidRDefault="006F31AB" w:rsidP="0003265E">
      <w:pPr>
        <w:tabs>
          <w:tab w:val="clear" w:pos="567"/>
          <w:tab w:val="clear" w:pos="1134"/>
          <w:tab w:val="clear" w:pos="1701"/>
          <w:tab w:val="clear" w:pos="2268"/>
          <w:tab w:val="clear" w:pos="2835"/>
        </w:tabs>
        <w:overflowPunct/>
        <w:autoSpaceDE/>
        <w:autoSpaceDN/>
        <w:adjustRightInd/>
        <w:spacing w:after="120"/>
        <w:textAlignment w:val="auto"/>
        <w:rPr>
          <w:rFonts w:cs="Calibri"/>
          <w:szCs w:val="24"/>
        </w:rPr>
      </w:pPr>
      <w:r w:rsidRPr="006F31AB">
        <w:rPr>
          <w:rFonts w:cs="Calibri"/>
          <w:szCs w:val="24"/>
        </w:rPr>
        <w:t xml:space="preserve">The information entered in the Self-Reporting Form will help the Coalition produce dashboards and analyses on overall progress. The findings, along with highlights from selected pledges, are used to prepare the P2C Annual Report document, which will be published every year and presented at the </w:t>
      </w:r>
      <w:r w:rsidRPr="006F31AB">
        <w:rPr>
          <w:rFonts w:cs="Calibri"/>
          <w:b/>
          <w:bCs/>
          <w:szCs w:val="24"/>
        </w:rPr>
        <w:t>P2C Annual Meeting</w:t>
      </w:r>
      <w:r w:rsidRPr="006F31AB">
        <w:rPr>
          <w:rFonts w:cs="Calibri"/>
          <w:szCs w:val="24"/>
        </w:rPr>
        <w:t>. Aggregated results will be made available on the P2C’s public dashboard. If they wish to do so, pledgers can always provide more regular progress reports to more accurately reflect how implementation activities are evolving.</w:t>
      </w:r>
    </w:p>
    <w:p w14:paraId="514BAE38" w14:textId="1C7694FD" w:rsidR="005D173A" w:rsidRPr="005272CB" w:rsidRDefault="005D173A" w:rsidP="005D173A">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Pr>
          <w:rFonts w:cs="Calibri"/>
          <w:szCs w:val="24"/>
          <w:lang w:val="en-US"/>
        </w:rPr>
        <w:t>As of June 1, 2023, of the</w:t>
      </w:r>
      <w:r w:rsidRPr="005272CB">
        <w:rPr>
          <w:rFonts w:cs="Calibri"/>
          <w:szCs w:val="24"/>
          <w:lang w:val="en-US"/>
        </w:rPr>
        <w:t xml:space="preserve"> </w:t>
      </w:r>
      <w:r>
        <w:rPr>
          <w:rFonts w:cs="Calibri"/>
          <w:b/>
          <w:bCs/>
          <w:szCs w:val="24"/>
          <w:lang w:val="en-US"/>
        </w:rPr>
        <w:t>723</w:t>
      </w:r>
      <w:r w:rsidRPr="005272CB">
        <w:rPr>
          <w:rFonts w:cs="Calibri"/>
          <w:b/>
          <w:bCs/>
          <w:szCs w:val="24"/>
          <w:lang w:val="en-US"/>
        </w:rPr>
        <w:t xml:space="preserve"> pledges</w:t>
      </w:r>
      <w:r w:rsidRPr="005272CB">
        <w:rPr>
          <w:rFonts w:cs="Calibri"/>
          <w:szCs w:val="24"/>
          <w:lang w:val="en-US"/>
        </w:rPr>
        <w:t xml:space="preserve"> submitted to the Coalition, </w:t>
      </w:r>
      <w:r w:rsidRPr="005272CB">
        <w:rPr>
          <w:rFonts w:cs="Calibri"/>
          <w:b/>
          <w:bCs/>
          <w:szCs w:val="24"/>
          <w:lang w:val="en-US"/>
        </w:rPr>
        <w:t xml:space="preserve">215 </w:t>
      </w:r>
      <w:r w:rsidRPr="005272CB">
        <w:rPr>
          <w:rFonts w:cs="Calibri"/>
          <w:szCs w:val="24"/>
          <w:lang w:val="en-US"/>
        </w:rPr>
        <w:t xml:space="preserve">have been reported on; this represents a </w:t>
      </w:r>
      <w:r w:rsidRPr="005272CB">
        <w:rPr>
          <w:rFonts w:cs="Calibri"/>
          <w:b/>
          <w:bCs/>
          <w:szCs w:val="24"/>
          <w:lang w:val="en-US"/>
        </w:rPr>
        <w:t>3</w:t>
      </w:r>
      <w:r>
        <w:rPr>
          <w:rFonts w:cs="Calibri"/>
          <w:b/>
          <w:bCs/>
          <w:szCs w:val="24"/>
          <w:lang w:val="en-US"/>
        </w:rPr>
        <w:t>0</w:t>
      </w:r>
      <w:r w:rsidRPr="005272CB">
        <w:rPr>
          <w:rFonts w:cs="Calibri"/>
          <w:b/>
          <w:bCs/>
          <w:szCs w:val="24"/>
          <w:lang w:val="en-US"/>
        </w:rPr>
        <w:t>% response rate</w:t>
      </w:r>
      <w:r w:rsidRPr="005272CB">
        <w:rPr>
          <w:rFonts w:cs="Calibri"/>
          <w:szCs w:val="24"/>
          <w:lang w:val="en-US"/>
        </w:rPr>
        <w:t xml:space="preserve">. Of the </w:t>
      </w:r>
      <w:r w:rsidRPr="005272CB">
        <w:rPr>
          <w:rFonts w:cs="Calibri"/>
          <w:b/>
          <w:bCs/>
          <w:szCs w:val="24"/>
          <w:lang w:val="en-US"/>
        </w:rPr>
        <w:t>3</w:t>
      </w:r>
      <w:r>
        <w:rPr>
          <w:rFonts w:cs="Calibri"/>
          <w:b/>
          <w:bCs/>
          <w:szCs w:val="24"/>
          <w:lang w:val="en-US"/>
        </w:rPr>
        <w:t>4</w:t>
      </w:r>
      <w:r w:rsidRPr="005272CB">
        <w:rPr>
          <w:rFonts w:cs="Calibri"/>
          <w:b/>
          <w:bCs/>
          <w:szCs w:val="24"/>
          <w:lang w:val="en-US"/>
        </w:rPr>
        <w:t>9 entities</w:t>
      </w:r>
      <w:r w:rsidRPr="005272CB">
        <w:rPr>
          <w:rFonts w:cs="Calibri"/>
          <w:szCs w:val="24"/>
          <w:lang w:val="en-US"/>
        </w:rPr>
        <w:t xml:space="preserve"> submitting a pledge, </w:t>
      </w:r>
      <w:r w:rsidRPr="005272CB">
        <w:rPr>
          <w:rFonts w:cs="Calibri"/>
          <w:b/>
          <w:bCs/>
          <w:szCs w:val="24"/>
          <w:lang w:val="en-US"/>
        </w:rPr>
        <w:t>112 (3</w:t>
      </w:r>
      <w:r>
        <w:rPr>
          <w:rFonts w:cs="Calibri"/>
          <w:b/>
          <w:bCs/>
          <w:szCs w:val="24"/>
          <w:lang w:val="en-US"/>
        </w:rPr>
        <w:t>2</w:t>
      </w:r>
      <w:r w:rsidRPr="005272CB">
        <w:rPr>
          <w:rFonts w:cs="Calibri"/>
          <w:b/>
          <w:bCs/>
          <w:szCs w:val="24"/>
          <w:lang w:val="en-US"/>
        </w:rPr>
        <w:t>%)</w:t>
      </w:r>
      <w:r w:rsidRPr="005272CB">
        <w:rPr>
          <w:rFonts w:cs="Calibri"/>
          <w:szCs w:val="24"/>
          <w:lang w:val="en-US"/>
        </w:rPr>
        <w:t xml:space="preserve"> have submitted a progress report.</w:t>
      </w:r>
    </w:p>
    <w:p w14:paraId="7B007492" w14:textId="69D9BFC6" w:rsidR="003A17F0" w:rsidRPr="005272CB" w:rsidRDefault="003A17F0" w:rsidP="0003265E">
      <w:pPr>
        <w:tabs>
          <w:tab w:val="clear" w:pos="567"/>
          <w:tab w:val="clear" w:pos="1134"/>
          <w:tab w:val="clear" w:pos="1701"/>
          <w:tab w:val="clear" w:pos="2268"/>
          <w:tab w:val="clear" w:pos="2835"/>
        </w:tabs>
        <w:overflowPunct/>
        <w:autoSpaceDE/>
        <w:autoSpaceDN/>
        <w:adjustRightInd/>
        <w:spacing w:before="240" w:after="120"/>
        <w:textAlignment w:val="auto"/>
        <w:rPr>
          <w:rFonts w:cs="Calibri"/>
          <w:b/>
          <w:bCs/>
          <w:color w:val="00B0F0"/>
          <w:szCs w:val="24"/>
        </w:rPr>
      </w:pPr>
      <w:r w:rsidRPr="005272CB">
        <w:rPr>
          <w:rFonts w:cs="Calibri"/>
          <w:b/>
          <w:bCs/>
          <w:color w:val="00B0F0"/>
          <w:szCs w:val="24"/>
        </w:rPr>
        <w:t xml:space="preserve">P2C </w:t>
      </w:r>
      <w:r w:rsidR="00483D05" w:rsidRPr="005272CB">
        <w:rPr>
          <w:rFonts w:cs="Calibri"/>
          <w:b/>
          <w:bCs/>
          <w:color w:val="00B0F0"/>
          <w:szCs w:val="24"/>
        </w:rPr>
        <w:t>outlook</w:t>
      </w:r>
      <w:r w:rsidRPr="005272CB">
        <w:rPr>
          <w:rFonts w:cs="Calibri"/>
          <w:b/>
          <w:bCs/>
          <w:color w:val="00B0F0"/>
          <w:szCs w:val="24"/>
        </w:rPr>
        <w:t xml:space="preserve"> – 2023 and beyond</w:t>
      </w:r>
    </w:p>
    <w:p w14:paraId="70A41D1B" w14:textId="082794FA" w:rsidR="00483D05" w:rsidRPr="00483D05" w:rsidRDefault="00483D05" w:rsidP="0003265E">
      <w:pPr>
        <w:pStyle w:val="NoSpacing"/>
        <w:spacing w:before="120" w:after="120"/>
        <w:rPr>
          <w:rFonts w:ascii="Calibri" w:hAnsi="Calibri" w:cs="Calibri"/>
          <w:sz w:val="24"/>
          <w:szCs w:val="24"/>
          <w:lang w:val="en-GB"/>
        </w:rPr>
      </w:pPr>
      <w:r w:rsidRPr="00483D05">
        <w:rPr>
          <w:rFonts w:ascii="Calibri" w:hAnsi="Calibri" w:cs="Calibri"/>
          <w:sz w:val="24"/>
          <w:szCs w:val="24"/>
          <w:lang w:val="en-GB"/>
        </w:rPr>
        <w:t xml:space="preserve">Partner2Connect will continue to bridge the digital divide by catalysing concrete efforts to accelerate meaningful connectivity and digital transformation across the four </w:t>
      </w:r>
      <w:r w:rsidRPr="005272CB">
        <w:rPr>
          <w:rFonts w:ascii="Calibri" w:hAnsi="Calibri" w:cs="Calibri"/>
          <w:sz w:val="24"/>
          <w:szCs w:val="24"/>
          <w:lang w:val="en-GB"/>
        </w:rPr>
        <w:t>F</w:t>
      </w:r>
      <w:r w:rsidRPr="00483D05">
        <w:rPr>
          <w:rFonts w:ascii="Calibri" w:hAnsi="Calibri" w:cs="Calibri"/>
          <w:sz w:val="24"/>
          <w:szCs w:val="24"/>
          <w:lang w:val="en-GB"/>
        </w:rPr>
        <w:t xml:space="preserve">ocus </w:t>
      </w:r>
      <w:r w:rsidRPr="005272CB">
        <w:rPr>
          <w:rFonts w:ascii="Calibri" w:hAnsi="Calibri" w:cs="Calibri"/>
          <w:sz w:val="24"/>
          <w:szCs w:val="24"/>
          <w:lang w:val="en-GB"/>
        </w:rPr>
        <w:t>A</w:t>
      </w:r>
      <w:r w:rsidRPr="00483D05">
        <w:rPr>
          <w:rFonts w:ascii="Calibri" w:hAnsi="Calibri" w:cs="Calibri"/>
          <w:sz w:val="24"/>
          <w:szCs w:val="24"/>
          <w:lang w:val="en-GB"/>
        </w:rPr>
        <w:t>reas, and within the framework of the multistakeholder partnership model it represents.</w:t>
      </w:r>
    </w:p>
    <w:p w14:paraId="62FD85B9" w14:textId="22075442" w:rsidR="00483D05" w:rsidRPr="00483D05" w:rsidRDefault="00483D05" w:rsidP="0003265E">
      <w:pPr>
        <w:pStyle w:val="NoSpacing"/>
        <w:spacing w:before="120" w:after="120"/>
        <w:rPr>
          <w:rFonts w:ascii="Calibri" w:hAnsi="Calibri" w:cs="Calibri"/>
          <w:sz w:val="24"/>
          <w:szCs w:val="24"/>
          <w:lang w:val="en-GB"/>
        </w:rPr>
      </w:pPr>
      <w:r w:rsidRPr="00483D05">
        <w:rPr>
          <w:rFonts w:ascii="Calibri" w:hAnsi="Calibri" w:cs="Calibri"/>
          <w:sz w:val="24"/>
          <w:szCs w:val="24"/>
          <w:lang w:val="en-GB"/>
        </w:rPr>
        <w:t>The Coalition will continue</w:t>
      </w:r>
      <w:r w:rsidR="00C85E25">
        <w:rPr>
          <w:rFonts w:ascii="Calibri" w:hAnsi="Calibri" w:cs="Calibri"/>
          <w:sz w:val="24"/>
          <w:szCs w:val="24"/>
          <w:lang w:val="en-GB"/>
        </w:rPr>
        <w:t xml:space="preserve"> to</w:t>
      </w:r>
      <w:r w:rsidRPr="00483D05">
        <w:rPr>
          <w:rFonts w:ascii="Calibri" w:hAnsi="Calibri" w:cs="Calibri"/>
          <w:sz w:val="24"/>
          <w:szCs w:val="24"/>
          <w:lang w:val="en-GB"/>
        </w:rPr>
        <w:t>:</w:t>
      </w:r>
    </w:p>
    <w:p w14:paraId="33000038" w14:textId="5D76117E" w:rsidR="00483D05" w:rsidRPr="00483D05" w:rsidRDefault="00483D05" w:rsidP="00483D05">
      <w:pPr>
        <w:pStyle w:val="NoSpacing"/>
        <w:numPr>
          <w:ilvl w:val="0"/>
          <w:numId w:val="3"/>
        </w:numPr>
        <w:rPr>
          <w:rFonts w:ascii="Calibri" w:hAnsi="Calibri" w:cs="Calibri"/>
          <w:sz w:val="24"/>
          <w:szCs w:val="24"/>
          <w:lang w:val="en-GB"/>
        </w:rPr>
      </w:pPr>
      <w:r w:rsidRPr="00483D05">
        <w:rPr>
          <w:rFonts w:ascii="Calibri" w:hAnsi="Calibri" w:cs="Calibri"/>
          <w:b/>
          <w:bCs/>
          <w:sz w:val="24"/>
          <w:szCs w:val="24"/>
          <w:lang w:val="en-GB"/>
        </w:rPr>
        <w:t>Mobiliz</w:t>
      </w:r>
      <w:r w:rsidR="00C85E25">
        <w:rPr>
          <w:rFonts w:ascii="Calibri" w:hAnsi="Calibri" w:cs="Calibri"/>
          <w:b/>
          <w:bCs/>
          <w:sz w:val="24"/>
          <w:szCs w:val="24"/>
          <w:lang w:val="en-GB"/>
        </w:rPr>
        <w:t>e</w:t>
      </w:r>
      <w:r w:rsidRPr="00483D05">
        <w:rPr>
          <w:rFonts w:ascii="Calibri" w:hAnsi="Calibri" w:cs="Calibri"/>
          <w:b/>
          <w:bCs/>
          <w:sz w:val="24"/>
          <w:szCs w:val="24"/>
          <w:lang w:val="en-GB"/>
        </w:rPr>
        <w:t xml:space="preserve"> new pledges</w:t>
      </w:r>
      <w:r w:rsidRPr="00483D05">
        <w:rPr>
          <w:rFonts w:ascii="Calibri" w:hAnsi="Calibri" w:cs="Calibri"/>
          <w:sz w:val="24"/>
          <w:szCs w:val="24"/>
          <w:lang w:val="en-GB"/>
        </w:rPr>
        <w:t xml:space="preserve"> through the P2C platform on all focus areas and across all regions of the </w:t>
      </w:r>
      <w:proofErr w:type="gramStart"/>
      <w:r w:rsidRPr="00483D05">
        <w:rPr>
          <w:rFonts w:ascii="Calibri" w:hAnsi="Calibri" w:cs="Calibri"/>
          <w:sz w:val="24"/>
          <w:szCs w:val="24"/>
          <w:lang w:val="en-GB"/>
        </w:rPr>
        <w:t>world;</w:t>
      </w:r>
      <w:proofErr w:type="gramEnd"/>
    </w:p>
    <w:p w14:paraId="22154168" w14:textId="0862CEA7" w:rsidR="00483D05" w:rsidRPr="00483D05" w:rsidRDefault="00483D05" w:rsidP="00483D05">
      <w:pPr>
        <w:pStyle w:val="NoSpacing"/>
        <w:numPr>
          <w:ilvl w:val="0"/>
          <w:numId w:val="3"/>
        </w:numPr>
        <w:rPr>
          <w:rFonts w:ascii="Calibri" w:hAnsi="Calibri" w:cs="Calibri"/>
          <w:sz w:val="24"/>
          <w:szCs w:val="24"/>
          <w:lang w:val="en-GB"/>
        </w:rPr>
      </w:pPr>
      <w:r w:rsidRPr="00483D05">
        <w:rPr>
          <w:rFonts w:ascii="Calibri" w:hAnsi="Calibri" w:cs="Calibri"/>
          <w:b/>
          <w:bCs/>
          <w:sz w:val="24"/>
          <w:szCs w:val="24"/>
          <w:lang w:val="en-GB"/>
        </w:rPr>
        <w:t>Deliver events</w:t>
      </w:r>
      <w:r w:rsidRPr="00483D05">
        <w:rPr>
          <w:rFonts w:ascii="Calibri" w:hAnsi="Calibri" w:cs="Calibri"/>
          <w:sz w:val="24"/>
          <w:szCs w:val="24"/>
          <w:lang w:val="en-GB"/>
        </w:rPr>
        <w:t xml:space="preserve"> and </w:t>
      </w:r>
      <w:r w:rsidRPr="00483D05">
        <w:rPr>
          <w:rFonts w:ascii="Calibri" w:hAnsi="Calibri" w:cs="Calibri"/>
          <w:b/>
          <w:bCs/>
          <w:sz w:val="24"/>
          <w:szCs w:val="24"/>
          <w:lang w:val="en-GB"/>
        </w:rPr>
        <w:t>reporting on pledge implementation</w:t>
      </w:r>
      <w:r w:rsidRPr="00483D05">
        <w:rPr>
          <w:rFonts w:ascii="Calibri" w:hAnsi="Calibri" w:cs="Calibri"/>
          <w:sz w:val="24"/>
          <w:szCs w:val="24"/>
          <w:lang w:val="en-GB"/>
        </w:rPr>
        <w:t xml:space="preserve"> </w:t>
      </w:r>
      <w:proofErr w:type="gramStart"/>
      <w:r w:rsidRPr="00483D05">
        <w:rPr>
          <w:rFonts w:ascii="Calibri" w:hAnsi="Calibri" w:cs="Calibri"/>
          <w:sz w:val="24"/>
          <w:szCs w:val="24"/>
          <w:lang w:val="en-GB"/>
        </w:rPr>
        <w:t>progress;</w:t>
      </w:r>
      <w:proofErr w:type="gramEnd"/>
    </w:p>
    <w:p w14:paraId="247AFD30" w14:textId="70A35E67" w:rsidR="00483D05" w:rsidRPr="00483D05" w:rsidRDefault="00483D05" w:rsidP="00483D05">
      <w:pPr>
        <w:pStyle w:val="NoSpacing"/>
        <w:numPr>
          <w:ilvl w:val="0"/>
          <w:numId w:val="3"/>
        </w:numPr>
        <w:rPr>
          <w:rFonts w:ascii="Calibri" w:hAnsi="Calibri" w:cs="Calibri"/>
          <w:sz w:val="24"/>
          <w:szCs w:val="24"/>
          <w:lang w:val="en-GB"/>
        </w:rPr>
      </w:pPr>
      <w:r w:rsidRPr="00483D05">
        <w:rPr>
          <w:rFonts w:ascii="Calibri" w:hAnsi="Calibri" w:cs="Calibri"/>
          <w:b/>
          <w:bCs/>
          <w:sz w:val="24"/>
          <w:szCs w:val="24"/>
          <w:lang w:val="en-GB"/>
        </w:rPr>
        <w:t>Facilitat</w:t>
      </w:r>
      <w:r w:rsidR="00C85E25">
        <w:rPr>
          <w:rFonts w:ascii="Calibri" w:hAnsi="Calibri" w:cs="Calibri"/>
          <w:b/>
          <w:bCs/>
          <w:sz w:val="24"/>
          <w:szCs w:val="24"/>
          <w:lang w:val="en-GB"/>
        </w:rPr>
        <w:t>e</w:t>
      </w:r>
      <w:r w:rsidRPr="00483D05">
        <w:rPr>
          <w:rFonts w:ascii="Calibri" w:hAnsi="Calibri" w:cs="Calibri"/>
          <w:b/>
          <w:bCs/>
          <w:sz w:val="24"/>
          <w:szCs w:val="24"/>
          <w:lang w:val="en-GB"/>
        </w:rPr>
        <w:t xml:space="preserve"> pledge implementation</w:t>
      </w:r>
      <w:r w:rsidRPr="00483D05">
        <w:rPr>
          <w:rFonts w:ascii="Calibri" w:hAnsi="Calibri" w:cs="Calibri"/>
          <w:sz w:val="24"/>
          <w:szCs w:val="24"/>
          <w:lang w:val="en-GB"/>
        </w:rPr>
        <w:t xml:space="preserve"> to catalyse concrete joint efforts that accelerate connectivity and bridge the digital </w:t>
      </w:r>
      <w:proofErr w:type="gramStart"/>
      <w:r w:rsidRPr="00483D05">
        <w:rPr>
          <w:rFonts w:ascii="Calibri" w:hAnsi="Calibri" w:cs="Calibri"/>
          <w:sz w:val="24"/>
          <w:szCs w:val="24"/>
          <w:lang w:val="en-GB"/>
        </w:rPr>
        <w:t>divide</w:t>
      </w:r>
      <w:proofErr w:type="gramEnd"/>
    </w:p>
    <w:p w14:paraId="7B79F90B" w14:textId="3EFF6DB5" w:rsidR="00483D05" w:rsidRPr="005272CB" w:rsidRDefault="00287F72" w:rsidP="0003265E">
      <w:pPr>
        <w:pStyle w:val="NoSpacing"/>
        <w:spacing w:before="120" w:after="120"/>
        <w:rPr>
          <w:rFonts w:ascii="Calibri" w:hAnsi="Calibri" w:cs="Calibri"/>
          <w:sz w:val="24"/>
          <w:szCs w:val="24"/>
          <w:lang w:val="en-GB"/>
        </w:rPr>
      </w:pPr>
      <w:r>
        <w:rPr>
          <w:rFonts w:ascii="Calibri" w:hAnsi="Calibri" w:cs="Calibri"/>
          <w:sz w:val="24"/>
          <w:szCs w:val="24"/>
          <w:lang w:val="en-GB"/>
        </w:rPr>
        <w:t>ITU has a goal of mobilizing</w:t>
      </w:r>
      <w:r w:rsidR="003A17F0" w:rsidRPr="005272CB">
        <w:rPr>
          <w:rFonts w:ascii="Calibri" w:hAnsi="Calibri" w:cs="Calibri"/>
          <w:sz w:val="24"/>
          <w:szCs w:val="24"/>
          <w:lang w:val="en-GB"/>
        </w:rPr>
        <w:t xml:space="preserve"> </w:t>
      </w:r>
      <w:r w:rsidR="003A17F0" w:rsidRPr="005272CB">
        <w:rPr>
          <w:rFonts w:ascii="Calibri" w:hAnsi="Calibri" w:cs="Calibri"/>
          <w:b/>
          <w:bCs/>
          <w:sz w:val="24"/>
          <w:szCs w:val="24"/>
          <w:lang w:val="en-GB"/>
        </w:rPr>
        <w:t xml:space="preserve">100 </w:t>
      </w:r>
      <w:r w:rsidR="0003265E" w:rsidRPr="005272CB">
        <w:rPr>
          <w:rFonts w:ascii="Calibri" w:hAnsi="Calibri" w:cs="Calibri"/>
          <w:b/>
          <w:bCs/>
          <w:sz w:val="24"/>
          <w:szCs w:val="24"/>
          <w:lang w:val="en-GB"/>
        </w:rPr>
        <w:t>billion</w:t>
      </w:r>
      <w:r w:rsidR="003A17F0" w:rsidRPr="005272CB">
        <w:rPr>
          <w:rFonts w:ascii="Calibri" w:hAnsi="Calibri" w:cs="Calibri"/>
          <w:b/>
          <w:bCs/>
          <w:sz w:val="24"/>
          <w:szCs w:val="24"/>
          <w:lang w:val="en-GB"/>
        </w:rPr>
        <w:t xml:space="preserve"> USD worth of </w:t>
      </w:r>
      <w:r>
        <w:rPr>
          <w:rFonts w:ascii="Calibri" w:hAnsi="Calibri" w:cs="Calibri"/>
          <w:b/>
          <w:bCs/>
          <w:sz w:val="24"/>
          <w:szCs w:val="24"/>
          <w:lang w:val="en-GB"/>
        </w:rPr>
        <w:t xml:space="preserve">P2C </w:t>
      </w:r>
      <w:r w:rsidR="003A17F0" w:rsidRPr="005272CB">
        <w:rPr>
          <w:rFonts w:ascii="Calibri" w:hAnsi="Calibri" w:cs="Calibri"/>
          <w:b/>
          <w:bCs/>
          <w:sz w:val="24"/>
          <w:szCs w:val="24"/>
          <w:lang w:val="en-GB"/>
        </w:rPr>
        <w:t>pledges</w:t>
      </w:r>
      <w:r w:rsidR="003A17F0" w:rsidRPr="005272CB">
        <w:rPr>
          <w:rFonts w:ascii="Calibri" w:hAnsi="Calibri" w:cs="Calibri"/>
          <w:sz w:val="24"/>
          <w:szCs w:val="24"/>
          <w:lang w:val="en-GB"/>
        </w:rPr>
        <w:t xml:space="preserve"> </w:t>
      </w:r>
      <w:r>
        <w:rPr>
          <w:rFonts w:ascii="Calibri" w:hAnsi="Calibri" w:cs="Calibri"/>
          <w:sz w:val="24"/>
          <w:szCs w:val="24"/>
          <w:lang w:val="en-GB"/>
        </w:rPr>
        <w:t>by 2026</w:t>
      </w:r>
      <w:r w:rsidR="003A17F0" w:rsidRPr="005272CB">
        <w:rPr>
          <w:rFonts w:ascii="Calibri" w:hAnsi="Calibri" w:cs="Calibri"/>
          <w:sz w:val="24"/>
          <w:szCs w:val="24"/>
          <w:lang w:val="en-GB"/>
        </w:rPr>
        <w:t xml:space="preserve">. </w:t>
      </w:r>
    </w:p>
    <w:p w14:paraId="167AD98A" w14:textId="7F353E96" w:rsidR="002A4F9D" w:rsidRDefault="00287F72" w:rsidP="0003265E">
      <w:pPr>
        <w:pStyle w:val="NoSpacing"/>
        <w:spacing w:before="120" w:after="120"/>
        <w:rPr>
          <w:rFonts w:ascii="Calibri" w:hAnsi="Calibri" w:cs="Calibri"/>
          <w:sz w:val="24"/>
          <w:szCs w:val="24"/>
          <w:lang w:val="en-GB"/>
        </w:rPr>
      </w:pPr>
      <w:r>
        <w:rPr>
          <w:rFonts w:ascii="Calibri" w:hAnsi="Calibri" w:cs="Calibri"/>
          <w:sz w:val="24"/>
          <w:szCs w:val="24"/>
          <w:lang w:val="en-GB"/>
        </w:rPr>
        <w:t xml:space="preserve">P2C has already been featured at the ITU WTISD session that took place on May 17, where updates on existing and new P2C pledges were provided. P2C </w:t>
      </w:r>
      <w:r w:rsidR="00483D05" w:rsidRPr="005272CB">
        <w:rPr>
          <w:rFonts w:ascii="Calibri" w:hAnsi="Calibri" w:cs="Calibri"/>
          <w:sz w:val="24"/>
          <w:szCs w:val="24"/>
          <w:lang w:val="en-GB"/>
        </w:rPr>
        <w:t xml:space="preserve">will </w:t>
      </w:r>
      <w:r>
        <w:rPr>
          <w:rFonts w:ascii="Calibri" w:hAnsi="Calibri" w:cs="Calibri"/>
          <w:sz w:val="24"/>
          <w:szCs w:val="24"/>
          <w:lang w:val="en-GB"/>
        </w:rPr>
        <w:t xml:space="preserve">also </w:t>
      </w:r>
      <w:r w:rsidR="00483D05" w:rsidRPr="005272CB">
        <w:rPr>
          <w:rFonts w:ascii="Calibri" w:hAnsi="Calibri" w:cs="Calibri"/>
          <w:sz w:val="24"/>
          <w:szCs w:val="24"/>
          <w:lang w:val="en-GB"/>
        </w:rPr>
        <w:t>be</w:t>
      </w:r>
      <w:r w:rsidR="008D6EBF" w:rsidRPr="005272CB">
        <w:rPr>
          <w:rFonts w:ascii="Calibri" w:hAnsi="Calibri" w:cs="Calibri"/>
          <w:sz w:val="24"/>
          <w:szCs w:val="24"/>
          <w:lang w:val="en-GB"/>
        </w:rPr>
        <w:t xml:space="preserve"> featured at the </w:t>
      </w:r>
      <w:hyperlink r:id="rId27" w:history="1">
        <w:r w:rsidR="008D6EBF" w:rsidRPr="005272CB">
          <w:rPr>
            <w:rStyle w:val="Hyperlink"/>
            <w:rFonts w:ascii="Calibri" w:hAnsi="Calibri" w:cs="Calibri"/>
            <w:b/>
            <w:bCs/>
            <w:sz w:val="24"/>
            <w:szCs w:val="24"/>
            <w:lang w:val="en-GB"/>
          </w:rPr>
          <w:t>SDG Digital Day</w:t>
        </w:r>
      </w:hyperlink>
      <w:r w:rsidR="008D6EBF" w:rsidRPr="005272CB">
        <w:rPr>
          <w:rFonts w:ascii="Calibri" w:hAnsi="Calibri" w:cs="Calibri"/>
          <w:b/>
          <w:bCs/>
          <w:sz w:val="24"/>
          <w:szCs w:val="24"/>
          <w:lang w:val="en-GB"/>
        </w:rPr>
        <w:t xml:space="preserve"> </w:t>
      </w:r>
      <w:r w:rsidR="008D6EBF" w:rsidRPr="005272CB">
        <w:rPr>
          <w:rFonts w:ascii="Calibri" w:hAnsi="Calibri" w:cs="Calibri"/>
          <w:sz w:val="24"/>
          <w:szCs w:val="24"/>
          <w:lang w:val="en-GB"/>
        </w:rPr>
        <w:t xml:space="preserve">on </w:t>
      </w:r>
      <w:r w:rsidR="008D6EBF" w:rsidRPr="005272CB">
        <w:rPr>
          <w:rFonts w:ascii="Calibri" w:hAnsi="Calibri" w:cs="Calibri"/>
          <w:b/>
          <w:bCs/>
          <w:sz w:val="24"/>
          <w:szCs w:val="24"/>
          <w:lang w:val="en-GB"/>
        </w:rPr>
        <w:t>17 September</w:t>
      </w:r>
      <w:r w:rsidR="008D6EBF" w:rsidRPr="005272CB">
        <w:rPr>
          <w:rFonts w:ascii="Calibri" w:hAnsi="Calibri" w:cs="Calibri"/>
          <w:sz w:val="24"/>
          <w:szCs w:val="24"/>
          <w:lang w:val="en-GB"/>
        </w:rPr>
        <w:t xml:space="preserve"> where pledgers will announce new commitments to help rescue the SDGs through the effective use of data and digital technologies.</w:t>
      </w:r>
      <w:r w:rsidR="002A4F9D">
        <w:rPr>
          <w:rFonts w:ascii="Calibri" w:hAnsi="Calibri" w:cs="Calibri"/>
          <w:sz w:val="24"/>
          <w:szCs w:val="24"/>
          <w:lang w:val="en-GB"/>
        </w:rPr>
        <w:t xml:space="preserve"> The 2</w:t>
      </w:r>
      <w:r w:rsidR="002A4F9D" w:rsidRPr="002A4F9D">
        <w:rPr>
          <w:rFonts w:ascii="Calibri" w:hAnsi="Calibri" w:cs="Calibri"/>
          <w:sz w:val="24"/>
          <w:szCs w:val="24"/>
          <w:vertAlign w:val="superscript"/>
          <w:lang w:val="en-GB"/>
        </w:rPr>
        <w:t>nd</w:t>
      </w:r>
      <w:r w:rsidR="002A4F9D">
        <w:rPr>
          <w:rFonts w:ascii="Calibri" w:hAnsi="Calibri" w:cs="Calibri"/>
          <w:sz w:val="24"/>
          <w:szCs w:val="24"/>
          <w:lang w:val="en-GB"/>
        </w:rPr>
        <w:t xml:space="preserve"> P2C Annual Meeting is planned to take place in December 2023.</w:t>
      </w:r>
    </w:p>
    <w:p w14:paraId="1B8EC064" w14:textId="6E97B410" w:rsidR="00483D05" w:rsidRPr="005272CB" w:rsidRDefault="00DF51E7" w:rsidP="0003265E">
      <w:pPr>
        <w:pStyle w:val="NoSpacing"/>
        <w:spacing w:before="120" w:after="120"/>
        <w:rPr>
          <w:rFonts w:ascii="Calibri" w:hAnsi="Calibri" w:cs="Calibri"/>
          <w:sz w:val="24"/>
          <w:szCs w:val="24"/>
          <w:lang w:val="en-GB"/>
        </w:rPr>
      </w:pPr>
      <w:r>
        <w:rPr>
          <w:rFonts w:ascii="Calibri" w:hAnsi="Calibri" w:cs="Calibri"/>
          <w:sz w:val="24"/>
          <w:szCs w:val="24"/>
          <w:lang w:val="en-GB"/>
        </w:rPr>
        <w:t>During 2023, BDT will also</w:t>
      </w:r>
      <w:r w:rsidRPr="005272CB">
        <w:rPr>
          <w:rFonts w:ascii="Calibri" w:hAnsi="Calibri" w:cs="Calibri"/>
          <w:sz w:val="24"/>
          <w:szCs w:val="24"/>
          <w:lang w:val="en-GB"/>
        </w:rPr>
        <w:t xml:space="preserve"> be organizing a series of </w:t>
      </w:r>
      <w:r>
        <w:rPr>
          <w:rFonts w:ascii="Calibri" w:hAnsi="Calibri" w:cs="Calibri"/>
          <w:sz w:val="24"/>
          <w:szCs w:val="24"/>
          <w:lang w:val="en-GB"/>
        </w:rPr>
        <w:t xml:space="preserve">country and regional level </w:t>
      </w:r>
      <w:r w:rsidRPr="005272CB">
        <w:rPr>
          <w:rFonts w:ascii="Calibri" w:hAnsi="Calibri" w:cs="Calibri"/>
          <w:sz w:val="24"/>
          <w:szCs w:val="24"/>
          <w:lang w:val="en-GB"/>
        </w:rPr>
        <w:t xml:space="preserve">events including matchmaking roundtables </w:t>
      </w:r>
      <w:r>
        <w:rPr>
          <w:rFonts w:ascii="Calibri" w:hAnsi="Calibri" w:cs="Calibri"/>
          <w:sz w:val="24"/>
          <w:szCs w:val="24"/>
          <w:lang w:val="en-GB"/>
        </w:rPr>
        <w:t>in the P2C pilot countries (</w:t>
      </w:r>
      <w:r w:rsidRPr="002A4F9D">
        <w:rPr>
          <w:rFonts w:ascii="Calibri" w:hAnsi="Calibri" w:cs="Calibri"/>
          <w:b/>
          <w:bCs/>
          <w:sz w:val="24"/>
          <w:szCs w:val="24"/>
          <w:lang w:val="en-GB"/>
        </w:rPr>
        <w:t xml:space="preserve">Cambodia, Dominican </w:t>
      </w:r>
      <w:r w:rsidRPr="002A4F9D">
        <w:rPr>
          <w:rFonts w:ascii="Calibri" w:hAnsi="Calibri" w:cs="Calibri"/>
          <w:b/>
          <w:bCs/>
          <w:sz w:val="24"/>
          <w:szCs w:val="24"/>
          <w:lang w:val="en-GB"/>
        </w:rPr>
        <w:lastRenderedPageBreak/>
        <w:t>Republic, Mauritania, and Madagascar</w:t>
      </w:r>
      <w:r>
        <w:rPr>
          <w:rFonts w:ascii="Calibri" w:hAnsi="Calibri" w:cs="Calibri"/>
          <w:sz w:val="24"/>
          <w:szCs w:val="24"/>
          <w:lang w:val="en-GB"/>
        </w:rPr>
        <w:t>) and the six</w:t>
      </w:r>
      <w:r w:rsidRPr="005272CB">
        <w:rPr>
          <w:rFonts w:ascii="Calibri" w:hAnsi="Calibri" w:cs="Calibri"/>
          <w:b/>
          <w:bCs/>
          <w:sz w:val="24"/>
          <w:szCs w:val="24"/>
          <w:lang w:val="en-GB"/>
        </w:rPr>
        <w:t xml:space="preserve"> Regional Development Forums in Europe, the Americas, Africa, Asia </w:t>
      </w:r>
      <w:r>
        <w:rPr>
          <w:rFonts w:ascii="Calibri" w:hAnsi="Calibri" w:cs="Calibri"/>
          <w:b/>
          <w:bCs/>
          <w:sz w:val="24"/>
          <w:szCs w:val="24"/>
          <w:lang w:val="en-GB"/>
        </w:rPr>
        <w:t xml:space="preserve">and the </w:t>
      </w:r>
      <w:r w:rsidRPr="005272CB">
        <w:rPr>
          <w:rFonts w:ascii="Calibri" w:hAnsi="Calibri" w:cs="Calibri"/>
          <w:b/>
          <w:bCs/>
          <w:sz w:val="24"/>
          <w:szCs w:val="24"/>
          <w:lang w:val="en-GB"/>
        </w:rPr>
        <w:t>Pac</w:t>
      </w:r>
      <w:r>
        <w:rPr>
          <w:rFonts w:ascii="Calibri" w:hAnsi="Calibri" w:cs="Calibri"/>
          <w:b/>
          <w:bCs/>
          <w:sz w:val="24"/>
          <w:szCs w:val="24"/>
          <w:lang w:val="en-GB"/>
        </w:rPr>
        <w:t>ific</w:t>
      </w:r>
      <w:r w:rsidRPr="005272CB">
        <w:rPr>
          <w:rFonts w:ascii="Calibri" w:hAnsi="Calibri" w:cs="Calibri"/>
          <w:b/>
          <w:bCs/>
          <w:sz w:val="24"/>
          <w:szCs w:val="24"/>
          <w:lang w:val="en-GB"/>
        </w:rPr>
        <w:t xml:space="preserve">, the Arab </w:t>
      </w:r>
      <w:proofErr w:type="gramStart"/>
      <w:r w:rsidRPr="005272CB">
        <w:rPr>
          <w:rFonts w:ascii="Calibri" w:hAnsi="Calibri" w:cs="Calibri"/>
          <w:b/>
          <w:bCs/>
          <w:sz w:val="24"/>
          <w:szCs w:val="24"/>
          <w:lang w:val="en-GB"/>
        </w:rPr>
        <w:t>States</w:t>
      </w:r>
      <w:proofErr w:type="gramEnd"/>
      <w:r w:rsidRPr="005272CB">
        <w:rPr>
          <w:rFonts w:ascii="Calibri" w:hAnsi="Calibri" w:cs="Calibri"/>
          <w:b/>
          <w:bCs/>
          <w:sz w:val="24"/>
          <w:szCs w:val="24"/>
          <w:lang w:val="en-GB"/>
        </w:rPr>
        <w:t xml:space="preserve"> and </w:t>
      </w:r>
      <w:r w:rsidRPr="006922E3">
        <w:rPr>
          <w:rFonts w:ascii="Calibri" w:hAnsi="Calibri" w:cs="Calibri"/>
          <w:b/>
          <w:bCs/>
          <w:sz w:val="24"/>
          <w:szCs w:val="24"/>
          <w:lang w:val="en-GB"/>
        </w:rPr>
        <w:t>the Commonwealth of Independent States</w:t>
      </w:r>
      <w:r w:rsidRPr="005272CB">
        <w:rPr>
          <w:rFonts w:ascii="Calibri" w:hAnsi="Calibri" w:cs="Calibri"/>
          <w:sz w:val="24"/>
          <w:szCs w:val="24"/>
          <w:lang w:val="en-GB"/>
        </w:rPr>
        <w:t xml:space="preserve">. The objective of these roundtables will be to bring together </w:t>
      </w:r>
      <w:r w:rsidRPr="006922E3">
        <w:rPr>
          <w:rFonts w:ascii="Calibri" w:hAnsi="Calibri" w:cs="Calibri"/>
          <w:sz w:val="24"/>
          <w:szCs w:val="24"/>
          <w:lang w:val="en-GB"/>
        </w:rPr>
        <w:t>Member States and partners that made pledges and do matchmaking with the aim of financing country and regional priorities</w:t>
      </w:r>
      <w:r w:rsidRPr="005272CB">
        <w:rPr>
          <w:rFonts w:ascii="Calibri" w:hAnsi="Calibri" w:cs="Calibri"/>
          <w:sz w:val="24"/>
          <w:szCs w:val="24"/>
          <w:lang w:val="en-GB"/>
        </w:rPr>
        <w:t>.</w:t>
      </w:r>
    </w:p>
    <w:p w14:paraId="6A77DB0A" w14:textId="6283B05F" w:rsidR="006677DF" w:rsidRPr="005272CB" w:rsidRDefault="0003265E" w:rsidP="00211F43">
      <w:pPr>
        <w:tabs>
          <w:tab w:val="clear" w:pos="567"/>
          <w:tab w:val="clear" w:pos="1134"/>
          <w:tab w:val="clear" w:pos="1701"/>
          <w:tab w:val="clear" w:pos="2268"/>
          <w:tab w:val="clear" w:pos="2835"/>
        </w:tabs>
        <w:overflowPunct/>
        <w:autoSpaceDE/>
        <w:autoSpaceDN/>
        <w:adjustRightInd/>
        <w:spacing w:before="840"/>
        <w:jc w:val="center"/>
        <w:textAlignment w:val="auto"/>
        <w:rPr>
          <w:rFonts w:cs="Calibri"/>
          <w:szCs w:val="24"/>
        </w:rPr>
      </w:pPr>
      <w:r>
        <w:rPr>
          <w:rFonts w:cs="Calibri"/>
          <w:szCs w:val="24"/>
        </w:rPr>
        <w:t>_________________</w:t>
      </w:r>
    </w:p>
    <w:sectPr w:rsidR="006677DF" w:rsidRPr="005272CB" w:rsidSect="00AD3606">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48C8" w14:textId="77777777" w:rsidR="00EC79B8" w:rsidRDefault="00EC79B8">
      <w:r>
        <w:separator/>
      </w:r>
    </w:p>
  </w:endnote>
  <w:endnote w:type="continuationSeparator" w:id="0">
    <w:p w14:paraId="0D00A18A" w14:textId="77777777" w:rsidR="00EC79B8" w:rsidRDefault="00EC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7DF7D892" w:rsidR="00EE49E8" w:rsidRDefault="00EE49E8" w:rsidP="00EE49E8">
          <w:pPr>
            <w:pStyle w:val="Header"/>
            <w:jc w:val="left"/>
            <w:rPr>
              <w:noProof/>
            </w:rPr>
          </w:pPr>
          <w:r>
            <w:rPr>
              <w:noProof/>
            </w:rPr>
            <w:t xml:space="preserve">DPS </w:t>
          </w:r>
          <w:r w:rsidR="0003265E">
            <w:rPr>
              <w:noProof/>
            </w:rPr>
            <w:t>523519</w:t>
          </w:r>
        </w:p>
      </w:tc>
      <w:tc>
        <w:tcPr>
          <w:tcW w:w="8261" w:type="dxa"/>
        </w:tcPr>
        <w:p w14:paraId="35709C74" w14:textId="1B9F21BE" w:rsidR="00EE49E8" w:rsidRPr="00E06FD5" w:rsidRDefault="00EE49E8" w:rsidP="0003265E">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03265E">
            <w:rPr>
              <w:bCs/>
            </w:rPr>
            <w:t>INF/8</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9136BF"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465653E" w:rsidR="00EE49E8" w:rsidRPr="00E06FD5" w:rsidRDefault="00EE49E8" w:rsidP="0003265E">
          <w:pPr>
            <w:pStyle w:val="Header"/>
            <w:tabs>
              <w:tab w:val="left" w:pos="7026"/>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03265E">
            <w:rPr>
              <w:bCs/>
            </w:rPr>
            <w:t>INF/8</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BA8A" w14:textId="77777777" w:rsidR="00EC79B8" w:rsidRDefault="00EC79B8">
      <w:r>
        <w:t>____________________</w:t>
      </w:r>
    </w:p>
  </w:footnote>
  <w:footnote w:type="continuationSeparator" w:id="0">
    <w:p w14:paraId="14B88C32" w14:textId="77777777" w:rsidR="00EC79B8" w:rsidRDefault="00EC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BB3C7E"/>
    <w:multiLevelType w:val="multilevel"/>
    <w:tmpl w:val="BE08A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B6199"/>
    <w:multiLevelType w:val="multilevel"/>
    <w:tmpl w:val="DB18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1237328332">
    <w:abstractNumId w:val="1"/>
  </w:num>
  <w:num w:numId="3" w16cid:durableId="120186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3265E"/>
    <w:rsid w:val="00050B5D"/>
    <w:rsid w:val="00063016"/>
    <w:rsid w:val="00066795"/>
    <w:rsid w:val="00076AF6"/>
    <w:rsid w:val="00085CF2"/>
    <w:rsid w:val="000A5ACF"/>
    <w:rsid w:val="000B1705"/>
    <w:rsid w:val="000D75B2"/>
    <w:rsid w:val="001121F5"/>
    <w:rsid w:val="001400DC"/>
    <w:rsid w:val="001408F2"/>
    <w:rsid w:val="00140CE1"/>
    <w:rsid w:val="001535C4"/>
    <w:rsid w:val="0017539C"/>
    <w:rsid w:val="00175945"/>
    <w:rsid w:val="00175AC2"/>
    <w:rsid w:val="0017609F"/>
    <w:rsid w:val="001A4E38"/>
    <w:rsid w:val="001A7D1D"/>
    <w:rsid w:val="001B51DD"/>
    <w:rsid w:val="001C628E"/>
    <w:rsid w:val="001E0F7B"/>
    <w:rsid w:val="002119FD"/>
    <w:rsid w:val="00211F43"/>
    <w:rsid w:val="002124C6"/>
    <w:rsid w:val="002130E0"/>
    <w:rsid w:val="00226A4A"/>
    <w:rsid w:val="00226DDE"/>
    <w:rsid w:val="00230B32"/>
    <w:rsid w:val="00264425"/>
    <w:rsid w:val="00265875"/>
    <w:rsid w:val="0027303B"/>
    <w:rsid w:val="0028109B"/>
    <w:rsid w:val="00287F72"/>
    <w:rsid w:val="002A2188"/>
    <w:rsid w:val="002A4F9D"/>
    <w:rsid w:val="002B1F58"/>
    <w:rsid w:val="002C1C7A"/>
    <w:rsid w:val="002C54E2"/>
    <w:rsid w:val="002F190B"/>
    <w:rsid w:val="0030160F"/>
    <w:rsid w:val="00320223"/>
    <w:rsid w:val="00322D0D"/>
    <w:rsid w:val="00361465"/>
    <w:rsid w:val="003638FF"/>
    <w:rsid w:val="00371012"/>
    <w:rsid w:val="003877F5"/>
    <w:rsid w:val="003942D4"/>
    <w:rsid w:val="003958A8"/>
    <w:rsid w:val="003A17F0"/>
    <w:rsid w:val="003A42D0"/>
    <w:rsid w:val="003C204B"/>
    <w:rsid w:val="003C2533"/>
    <w:rsid w:val="003D5A7F"/>
    <w:rsid w:val="0040435A"/>
    <w:rsid w:val="00416A24"/>
    <w:rsid w:val="00431D9E"/>
    <w:rsid w:val="00433CE8"/>
    <w:rsid w:val="00434A5C"/>
    <w:rsid w:val="004427FF"/>
    <w:rsid w:val="004544D9"/>
    <w:rsid w:val="00472BAD"/>
    <w:rsid w:val="00483D05"/>
    <w:rsid w:val="00484009"/>
    <w:rsid w:val="00490E72"/>
    <w:rsid w:val="00491157"/>
    <w:rsid w:val="004921C8"/>
    <w:rsid w:val="00495B0B"/>
    <w:rsid w:val="004A1B8B"/>
    <w:rsid w:val="004A4D35"/>
    <w:rsid w:val="004D1851"/>
    <w:rsid w:val="004D599D"/>
    <w:rsid w:val="004D5CD3"/>
    <w:rsid w:val="004E2EA5"/>
    <w:rsid w:val="004E3AEB"/>
    <w:rsid w:val="004F512C"/>
    <w:rsid w:val="0050223C"/>
    <w:rsid w:val="0051193F"/>
    <w:rsid w:val="005243FF"/>
    <w:rsid w:val="005272CB"/>
    <w:rsid w:val="00564FBC"/>
    <w:rsid w:val="005800BC"/>
    <w:rsid w:val="00582442"/>
    <w:rsid w:val="005D0257"/>
    <w:rsid w:val="005D173A"/>
    <w:rsid w:val="005F3269"/>
    <w:rsid w:val="00623AE3"/>
    <w:rsid w:val="0064737F"/>
    <w:rsid w:val="006535F1"/>
    <w:rsid w:val="0065557D"/>
    <w:rsid w:val="00660D50"/>
    <w:rsid w:val="00662984"/>
    <w:rsid w:val="006677DF"/>
    <w:rsid w:val="006716BB"/>
    <w:rsid w:val="006741F9"/>
    <w:rsid w:val="0069234E"/>
    <w:rsid w:val="0069790C"/>
    <w:rsid w:val="006B1859"/>
    <w:rsid w:val="006B6680"/>
    <w:rsid w:val="006B6DCC"/>
    <w:rsid w:val="006F31AB"/>
    <w:rsid w:val="00702DEF"/>
    <w:rsid w:val="00706861"/>
    <w:rsid w:val="0075051B"/>
    <w:rsid w:val="00793188"/>
    <w:rsid w:val="00794D34"/>
    <w:rsid w:val="007B1FF2"/>
    <w:rsid w:val="00813E5E"/>
    <w:rsid w:val="0083581B"/>
    <w:rsid w:val="00863874"/>
    <w:rsid w:val="00864AFF"/>
    <w:rsid w:val="00865925"/>
    <w:rsid w:val="008B4A6A"/>
    <w:rsid w:val="008B6F31"/>
    <w:rsid w:val="008C7E27"/>
    <w:rsid w:val="008D6EBF"/>
    <w:rsid w:val="008F7448"/>
    <w:rsid w:val="0090147A"/>
    <w:rsid w:val="009124F7"/>
    <w:rsid w:val="009136BF"/>
    <w:rsid w:val="009173EF"/>
    <w:rsid w:val="009218C0"/>
    <w:rsid w:val="00932906"/>
    <w:rsid w:val="00961B0B"/>
    <w:rsid w:val="00974025"/>
    <w:rsid w:val="0098361A"/>
    <w:rsid w:val="009B38C3"/>
    <w:rsid w:val="009D75EA"/>
    <w:rsid w:val="009E17BD"/>
    <w:rsid w:val="009E485A"/>
    <w:rsid w:val="00A04CEC"/>
    <w:rsid w:val="00A27F92"/>
    <w:rsid w:val="00A32257"/>
    <w:rsid w:val="00A36D20"/>
    <w:rsid w:val="00A405A2"/>
    <w:rsid w:val="00A44716"/>
    <w:rsid w:val="00A514A4"/>
    <w:rsid w:val="00A54171"/>
    <w:rsid w:val="00A55622"/>
    <w:rsid w:val="00A5711E"/>
    <w:rsid w:val="00A83502"/>
    <w:rsid w:val="00AD15B3"/>
    <w:rsid w:val="00AD3606"/>
    <w:rsid w:val="00AD4A3D"/>
    <w:rsid w:val="00AF2F1B"/>
    <w:rsid w:val="00AF6E49"/>
    <w:rsid w:val="00B04A67"/>
    <w:rsid w:val="00B0583C"/>
    <w:rsid w:val="00B40A81"/>
    <w:rsid w:val="00B432F9"/>
    <w:rsid w:val="00B44910"/>
    <w:rsid w:val="00B506A1"/>
    <w:rsid w:val="00B72267"/>
    <w:rsid w:val="00B76EB6"/>
    <w:rsid w:val="00B7737B"/>
    <w:rsid w:val="00B824C8"/>
    <w:rsid w:val="00B84B9D"/>
    <w:rsid w:val="00BC251A"/>
    <w:rsid w:val="00BD032B"/>
    <w:rsid w:val="00BE2640"/>
    <w:rsid w:val="00C01189"/>
    <w:rsid w:val="00C374DE"/>
    <w:rsid w:val="00C47AD4"/>
    <w:rsid w:val="00C52D81"/>
    <w:rsid w:val="00C55198"/>
    <w:rsid w:val="00C85E25"/>
    <w:rsid w:val="00CA2E31"/>
    <w:rsid w:val="00CA6393"/>
    <w:rsid w:val="00CB18FF"/>
    <w:rsid w:val="00CD0C08"/>
    <w:rsid w:val="00CE03FB"/>
    <w:rsid w:val="00CE433C"/>
    <w:rsid w:val="00CF0161"/>
    <w:rsid w:val="00CF33F3"/>
    <w:rsid w:val="00D06183"/>
    <w:rsid w:val="00D10C66"/>
    <w:rsid w:val="00D22C42"/>
    <w:rsid w:val="00D65041"/>
    <w:rsid w:val="00DB1936"/>
    <w:rsid w:val="00DB260C"/>
    <w:rsid w:val="00DB384B"/>
    <w:rsid w:val="00DF0189"/>
    <w:rsid w:val="00DF51E7"/>
    <w:rsid w:val="00E06FD5"/>
    <w:rsid w:val="00E10E80"/>
    <w:rsid w:val="00E124F0"/>
    <w:rsid w:val="00E608BE"/>
    <w:rsid w:val="00E60F04"/>
    <w:rsid w:val="00E65B24"/>
    <w:rsid w:val="00E854E4"/>
    <w:rsid w:val="00E86DBF"/>
    <w:rsid w:val="00E922E3"/>
    <w:rsid w:val="00EB0D6F"/>
    <w:rsid w:val="00EB2232"/>
    <w:rsid w:val="00EC5337"/>
    <w:rsid w:val="00EC79B8"/>
    <w:rsid w:val="00ED1EC6"/>
    <w:rsid w:val="00EE49E8"/>
    <w:rsid w:val="00EF73FD"/>
    <w:rsid w:val="00F16BAB"/>
    <w:rsid w:val="00F2150A"/>
    <w:rsid w:val="00F231D8"/>
    <w:rsid w:val="00F34DA5"/>
    <w:rsid w:val="00F436D6"/>
    <w:rsid w:val="00F44C00"/>
    <w:rsid w:val="00F46C5F"/>
    <w:rsid w:val="00F632C0"/>
    <w:rsid w:val="00F94A63"/>
    <w:rsid w:val="00FA1C28"/>
    <w:rsid w:val="00FB1279"/>
    <w:rsid w:val="00FB6B76"/>
    <w:rsid w:val="00FB7596"/>
    <w:rsid w:val="00FE4077"/>
    <w:rsid w:val="00FE77D2"/>
    <w:rsid w:val="00FF697E"/>
    <w:rsid w:val="11AF8920"/>
    <w:rsid w:val="155F6A1E"/>
    <w:rsid w:val="2A5F83EF"/>
    <w:rsid w:val="2BFB5450"/>
    <w:rsid w:val="36956211"/>
    <w:rsid w:val="6E3414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NoSpacing">
    <w:name w:val="No Spacing"/>
    <w:uiPriority w:val="1"/>
    <w:qFormat/>
    <w:rsid w:val="006677DF"/>
    <w:pPr>
      <w:widowControl w:val="0"/>
      <w:autoSpaceDE w:val="0"/>
      <w:autoSpaceDN w:val="0"/>
    </w:pPr>
    <w:rPr>
      <w:rFonts w:ascii="Times New Roman" w:hAnsi="Times New Roman"/>
      <w:sz w:val="22"/>
      <w:szCs w:val="22"/>
      <w:lang w:eastAsia="en-US"/>
    </w:rPr>
  </w:style>
  <w:style w:type="character" w:styleId="UnresolvedMention">
    <w:name w:val="Unresolved Mention"/>
    <w:basedOn w:val="DefaultParagraphFont"/>
    <w:uiPriority w:val="99"/>
    <w:semiHidden/>
    <w:unhideWhenUsed/>
    <w:rsid w:val="00050B5D"/>
    <w:rPr>
      <w:color w:val="605E5C"/>
      <w:shd w:val="clear" w:color="auto" w:fill="E1DFDD"/>
    </w:rPr>
  </w:style>
  <w:style w:type="paragraph" w:styleId="NormalWeb">
    <w:name w:val="Normal (Web)"/>
    <w:basedOn w:val="Normal"/>
    <w:uiPriority w:val="99"/>
    <w:semiHidden/>
    <w:unhideWhenUsed/>
    <w:rsid w:val="006741F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DB260C"/>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2393">
      <w:bodyDiv w:val="1"/>
      <w:marLeft w:val="0"/>
      <w:marRight w:val="0"/>
      <w:marTop w:val="0"/>
      <w:marBottom w:val="0"/>
      <w:divBdr>
        <w:top w:val="none" w:sz="0" w:space="0" w:color="auto"/>
        <w:left w:val="none" w:sz="0" w:space="0" w:color="auto"/>
        <w:bottom w:val="none" w:sz="0" w:space="0" w:color="auto"/>
        <w:right w:val="none" w:sz="0" w:space="0" w:color="auto"/>
      </w:divBdr>
    </w:div>
    <w:div w:id="175773799">
      <w:bodyDiv w:val="1"/>
      <w:marLeft w:val="0"/>
      <w:marRight w:val="0"/>
      <w:marTop w:val="0"/>
      <w:marBottom w:val="0"/>
      <w:divBdr>
        <w:top w:val="none" w:sz="0" w:space="0" w:color="auto"/>
        <w:left w:val="none" w:sz="0" w:space="0" w:color="auto"/>
        <w:bottom w:val="none" w:sz="0" w:space="0" w:color="auto"/>
        <w:right w:val="none" w:sz="0" w:space="0" w:color="auto"/>
      </w:divBdr>
    </w:div>
    <w:div w:id="202793078">
      <w:bodyDiv w:val="1"/>
      <w:marLeft w:val="0"/>
      <w:marRight w:val="0"/>
      <w:marTop w:val="0"/>
      <w:marBottom w:val="0"/>
      <w:divBdr>
        <w:top w:val="none" w:sz="0" w:space="0" w:color="auto"/>
        <w:left w:val="none" w:sz="0" w:space="0" w:color="auto"/>
        <w:bottom w:val="none" w:sz="0" w:space="0" w:color="auto"/>
        <w:right w:val="none" w:sz="0" w:space="0" w:color="auto"/>
      </w:divBdr>
    </w:div>
    <w:div w:id="520167029">
      <w:bodyDiv w:val="1"/>
      <w:marLeft w:val="0"/>
      <w:marRight w:val="0"/>
      <w:marTop w:val="0"/>
      <w:marBottom w:val="0"/>
      <w:divBdr>
        <w:top w:val="none" w:sz="0" w:space="0" w:color="auto"/>
        <w:left w:val="none" w:sz="0" w:space="0" w:color="auto"/>
        <w:bottom w:val="none" w:sz="0" w:space="0" w:color="auto"/>
        <w:right w:val="none" w:sz="0" w:space="0" w:color="auto"/>
      </w:divBdr>
    </w:div>
    <w:div w:id="644509132">
      <w:bodyDiv w:val="1"/>
      <w:marLeft w:val="0"/>
      <w:marRight w:val="0"/>
      <w:marTop w:val="0"/>
      <w:marBottom w:val="0"/>
      <w:divBdr>
        <w:top w:val="none" w:sz="0" w:space="0" w:color="auto"/>
        <w:left w:val="none" w:sz="0" w:space="0" w:color="auto"/>
        <w:bottom w:val="none" w:sz="0" w:space="0" w:color="auto"/>
        <w:right w:val="none" w:sz="0" w:space="0" w:color="auto"/>
      </w:divBdr>
    </w:div>
    <w:div w:id="693530594">
      <w:bodyDiv w:val="1"/>
      <w:marLeft w:val="0"/>
      <w:marRight w:val="0"/>
      <w:marTop w:val="0"/>
      <w:marBottom w:val="0"/>
      <w:divBdr>
        <w:top w:val="none" w:sz="0" w:space="0" w:color="auto"/>
        <w:left w:val="none" w:sz="0" w:space="0" w:color="auto"/>
        <w:bottom w:val="none" w:sz="0" w:space="0" w:color="auto"/>
        <w:right w:val="none" w:sz="0" w:space="0" w:color="auto"/>
      </w:divBdr>
    </w:div>
    <w:div w:id="1178621238">
      <w:bodyDiv w:val="1"/>
      <w:marLeft w:val="0"/>
      <w:marRight w:val="0"/>
      <w:marTop w:val="0"/>
      <w:marBottom w:val="0"/>
      <w:divBdr>
        <w:top w:val="none" w:sz="0" w:space="0" w:color="auto"/>
        <w:left w:val="none" w:sz="0" w:space="0" w:color="auto"/>
        <w:bottom w:val="none" w:sz="0" w:space="0" w:color="auto"/>
        <w:right w:val="none" w:sz="0" w:space="0" w:color="auto"/>
      </w:divBdr>
    </w:div>
    <w:div w:id="1448425664">
      <w:bodyDiv w:val="1"/>
      <w:marLeft w:val="0"/>
      <w:marRight w:val="0"/>
      <w:marTop w:val="0"/>
      <w:marBottom w:val="0"/>
      <w:divBdr>
        <w:top w:val="none" w:sz="0" w:space="0" w:color="auto"/>
        <w:left w:val="none" w:sz="0" w:space="0" w:color="auto"/>
        <w:bottom w:val="none" w:sz="0" w:space="0" w:color="auto"/>
        <w:right w:val="none" w:sz="0" w:space="0" w:color="auto"/>
      </w:divBdr>
    </w:div>
    <w:div w:id="1709332092">
      <w:bodyDiv w:val="1"/>
      <w:marLeft w:val="0"/>
      <w:marRight w:val="0"/>
      <w:marTop w:val="0"/>
      <w:marBottom w:val="0"/>
      <w:divBdr>
        <w:top w:val="none" w:sz="0" w:space="0" w:color="auto"/>
        <w:left w:val="none" w:sz="0" w:space="0" w:color="auto"/>
        <w:bottom w:val="none" w:sz="0" w:space="0" w:color="auto"/>
        <w:right w:val="none" w:sz="0" w:space="0" w:color="auto"/>
      </w:divBdr>
    </w:div>
    <w:div w:id="1800682021">
      <w:bodyDiv w:val="1"/>
      <w:marLeft w:val="0"/>
      <w:marRight w:val="0"/>
      <w:marTop w:val="0"/>
      <w:marBottom w:val="0"/>
      <w:divBdr>
        <w:top w:val="none" w:sz="0" w:space="0" w:color="auto"/>
        <w:left w:val="none" w:sz="0" w:space="0" w:color="auto"/>
        <w:bottom w:val="none" w:sz="0" w:space="0" w:color="auto"/>
        <w:right w:val="none" w:sz="0" w:space="0" w:color="auto"/>
      </w:divBdr>
    </w:div>
    <w:div w:id="1892418153">
      <w:bodyDiv w:val="1"/>
      <w:marLeft w:val="0"/>
      <w:marRight w:val="0"/>
      <w:marTop w:val="0"/>
      <w:marBottom w:val="0"/>
      <w:divBdr>
        <w:top w:val="none" w:sz="0" w:space="0" w:color="auto"/>
        <w:left w:val="none" w:sz="0" w:space="0" w:color="auto"/>
        <w:bottom w:val="none" w:sz="0" w:space="0" w:color="auto"/>
        <w:right w:val="none" w:sz="0" w:space="0" w:color="auto"/>
      </w:divBdr>
    </w:div>
    <w:div w:id="1967664175">
      <w:bodyDiv w:val="1"/>
      <w:marLeft w:val="0"/>
      <w:marRight w:val="0"/>
      <w:marTop w:val="0"/>
      <w:marBottom w:val="0"/>
      <w:divBdr>
        <w:top w:val="none" w:sz="0" w:space="0" w:color="auto"/>
        <w:left w:val="none" w:sz="0" w:space="0" w:color="auto"/>
        <w:bottom w:val="none" w:sz="0" w:space="0" w:color="auto"/>
        <w:right w:val="none" w:sz="0" w:space="0" w:color="auto"/>
      </w:divBdr>
    </w:div>
    <w:div w:id="19730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200-E.pdf" TargetMode="External"/><Relationship Id="rId18" Type="http://schemas.openxmlformats.org/officeDocument/2006/relationships/hyperlink" Target="https://www.itu.int/itu-d/reports/partner2connect-action-framework/" TargetMode="External"/><Relationship Id="rId26" Type="http://schemas.openxmlformats.org/officeDocument/2006/relationships/hyperlink" Target="https://www.itu.int/partner2connect-pledges/login/" TargetMode="External"/><Relationship Id="rId3" Type="http://schemas.openxmlformats.org/officeDocument/2006/relationships/customXml" Target="../customXml/item3.xml"/><Relationship Id="rId21" Type="http://schemas.openxmlformats.org/officeDocument/2006/relationships/hyperlink" Target="https://www.itu.int/itu-d/reports/partner2connect-action-framework/2022/03/12/focus-area-2-adoption-empowering-communities/" TargetMode="External"/><Relationship Id="rId7" Type="http://schemas.openxmlformats.org/officeDocument/2006/relationships/settings" Target="setting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itu-d/sites/partner2connect/pledges/explore-pledges/" TargetMode="External"/><Relationship Id="rId25" Type="http://schemas.openxmlformats.org/officeDocument/2006/relationships/hyperlink" Target="https://www.itu.int/itu-d/sites/partner2connect/pledges/explore-pledges/" TargetMode="External"/><Relationship Id="rId2" Type="http://schemas.openxmlformats.org/officeDocument/2006/relationships/customXml" Target="../customXml/item2.xml"/><Relationship Id="rId16" Type="http://schemas.openxmlformats.org/officeDocument/2006/relationships/hyperlink" Target="https://www.un.org/en/content/digital-cooperation-roadmap/" TargetMode="External"/><Relationship Id="rId20" Type="http://schemas.openxmlformats.org/officeDocument/2006/relationships/hyperlink" Target="https://www.itu.int/itu-d/reports/partner2connect-action-framework/2022/03/12/focus-area-2-adoption-empowering-communiti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30-E.pdf" TargetMode="External"/><Relationship Id="rId24" Type="http://schemas.openxmlformats.org/officeDocument/2006/relationships/hyperlink" Target="https://www.itu.int/partner2connect-pledg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tu-d/sites/partner2connect/" TargetMode="External"/><Relationship Id="rId23" Type="http://schemas.openxmlformats.org/officeDocument/2006/relationships/hyperlink" Target="https://www.itu.int/itu-d/sites/partner2connect/pledges/explore-pledg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d/reports/partner2connect-action-framework/2022/03/11/focus-area-1-access-connecting-people-everywhe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d/opb/tdc/D-TDC-WTDC-2022-PDF-E.pdf" TargetMode="External"/><Relationship Id="rId22" Type="http://schemas.openxmlformats.org/officeDocument/2006/relationships/hyperlink" Target="https://www.itu.int/itu-d/reports/partner2connect-action-framework/2022/03/12/focus-area-2-adoption-empowering-communities/" TargetMode="External"/><Relationship Id="rId27" Type="http://schemas.openxmlformats.org/officeDocument/2006/relationships/hyperlink" Target="https://www.itu.int/digital-day/sdg/"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A35A3-A60B-4351-A4F2-765B650FC55F}">
  <ds:schemaRefs>
    <ds:schemaRef ds:uri="http://schemas.microsoft.com/sharepoint/v3/contenttype/forms"/>
  </ds:schemaRefs>
</ds:datastoreItem>
</file>

<file path=customXml/itemProps2.xml><?xml version="1.0" encoding="utf-8"?>
<ds:datastoreItem xmlns:ds="http://schemas.openxmlformats.org/officeDocument/2006/customXml" ds:itemID="{8DAF9ADD-B109-4E64-A6DC-5143DD9EE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FC2A0EDC-C6A4-483C-9DD4-52D2AF27CD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Partner2connect digital coalition</vt:lpstr>
    </vt:vector>
  </TitlesOfParts>
  <Manager>General Secretariat - Pool</Manager>
  <Company>International Telecommunication Union (ITU)</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Partner2connect digital coalition</dc:title>
  <dc:subject>Council 2023</dc:subject>
  <dc:creator>Pluchon, Beatrice</dc:creator>
  <cp:keywords>C2023, C23, Council-23</cp:keywords>
  <dc:description/>
  <cp:lastModifiedBy>Xue, Kun</cp:lastModifiedBy>
  <cp:revision>4</cp:revision>
  <cp:lastPrinted>2000-07-18T13:30:00Z</cp:lastPrinted>
  <dcterms:created xsi:type="dcterms:W3CDTF">2023-06-08T07:52:00Z</dcterms:created>
  <dcterms:modified xsi:type="dcterms:W3CDTF">2023-06-09T09:53:00Z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