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91005" w14:paraId="1591300A" w14:textId="77777777" w:rsidTr="00AD3606">
        <w:trPr>
          <w:cantSplit/>
          <w:trHeight w:val="23"/>
        </w:trPr>
        <w:tc>
          <w:tcPr>
            <w:tcW w:w="3969" w:type="dxa"/>
            <w:vMerge w:val="restart"/>
            <w:tcMar>
              <w:left w:w="0" w:type="dxa"/>
            </w:tcMar>
          </w:tcPr>
          <w:p w14:paraId="4F2DE73B" w14:textId="1DF4CC6C"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5CAEBA8B" w:rsidR="00AD3606" w:rsidRPr="00AE25F1" w:rsidRDefault="00AD3606" w:rsidP="00472BAD">
            <w:pPr>
              <w:tabs>
                <w:tab w:val="left" w:pos="851"/>
              </w:tabs>
              <w:spacing w:before="0" w:line="240" w:lineRule="atLeast"/>
              <w:jc w:val="right"/>
              <w:rPr>
                <w:b/>
                <w:lang w:val="fr-FR"/>
              </w:rPr>
            </w:pPr>
            <w:r w:rsidRPr="00AE25F1">
              <w:rPr>
                <w:b/>
                <w:lang w:val="fr-FR"/>
              </w:rPr>
              <w:t>Document C23/</w:t>
            </w:r>
            <w:r w:rsidR="00345CFD" w:rsidRPr="00AE25F1">
              <w:rPr>
                <w:b/>
                <w:lang w:val="fr-FR"/>
              </w:rPr>
              <w:t>INF/</w:t>
            </w:r>
            <w:r w:rsidR="002331A4">
              <w:rPr>
                <w:b/>
                <w:lang w:val="fr-FR"/>
              </w:rPr>
              <w:t>1</w:t>
            </w:r>
            <w:r w:rsidRPr="00AE25F1">
              <w:rPr>
                <w:b/>
                <w:lang w:val="fr-FR"/>
              </w:rPr>
              <w:t>-E</w:t>
            </w:r>
          </w:p>
        </w:tc>
      </w:tr>
      <w:tr w:rsidR="00AD3606" w:rsidRPr="00813E5E" w14:paraId="777833CB" w14:textId="77777777" w:rsidTr="00AD3606">
        <w:trPr>
          <w:cantSplit/>
        </w:trPr>
        <w:tc>
          <w:tcPr>
            <w:tcW w:w="3969" w:type="dxa"/>
            <w:vMerge/>
          </w:tcPr>
          <w:p w14:paraId="7DECAB6C" w14:textId="77777777" w:rsidR="00AD3606" w:rsidRPr="00AE25F1" w:rsidRDefault="00AD3606" w:rsidP="00AD3606">
            <w:pPr>
              <w:tabs>
                <w:tab w:val="left" w:pos="851"/>
              </w:tabs>
              <w:spacing w:line="240" w:lineRule="atLeast"/>
              <w:rPr>
                <w:b/>
                <w:lang w:val="fr-FR"/>
              </w:rPr>
            </w:pPr>
            <w:bookmarkStart w:id="2" w:name="ddate" w:colFirst="1" w:colLast="1"/>
            <w:bookmarkEnd w:id="0"/>
            <w:bookmarkEnd w:id="1"/>
          </w:p>
        </w:tc>
        <w:tc>
          <w:tcPr>
            <w:tcW w:w="5245" w:type="dxa"/>
          </w:tcPr>
          <w:p w14:paraId="7B794C7C" w14:textId="382F4788" w:rsidR="00AD3606" w:rsidRPr="00E85629" w:rsidRDefault="00323920" w:rsidP="00AD3606">
            <w:pPr>
              <w:tabs>
                <w:tab w:val="left" w:pos="851"/>
              </w:tabs>
              <w:spacing w:before="0"/>
              <w:jc w:val="right"/>
              <w:rPr>
                <w:b/>
              </w:rPr>
            </w:pPr>
            <w:r>
              <w:rPr>
                <w:b/>
              </w:rPr>
              <w:t>25</w:t>
            </w:r>
            <w:r w:rsidR="009D6E47">
              <w:rPr>
                <w:b/>
              </w:rPr>
              <w:t xml:space="preserve"> May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16F9BD80" w:rsidR="00AD3606" w:rsidRPr="00E85629" w:rsidRDefault="00AD3606" w:rsidP="00AD3606">
            <w:pPr>
              <w:tabs>
                <w:tab w:val="left" w:pos="851"/>
              </w:tabs>
              <w:spacing w:before="0" w:line="240" w:lineRule="atLeast"/>
              <w:jc w:val="right"/>
              <w:rPr>
                <w:b/>
              </w:rPr>
            </w:pPr>
            <w:r>
              <w:rPr>
                <w:b/>
              </w:rPr>
              <w:t>English</w:t>
            </w:r>
            <w:r w:rsidR="00504992">
              <w:rPr>
                <w:b/>
              </w:rPr>
              <w:t xml:space="preserve"> only</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61BF94C0" w:rsidR="00AD3606" w:rsidRPr="00813E5E" w:rsidRDefault="00BE349D" w:rsidP="00AD3606">
            <w:pPr>
              <w:pStyle w:val="Source"/>
              <w:framePr w:hSpace="0" w:wrap="auto" w:vAnchor="margin" w:hAnchor="text" w:yAlign="inline"/>
            </w:pPr>
            <w:bookmarkStart w:id="4" w:name="dsource" w:colFirst="0" w:colLast="0"/>
            <w:bookmarkEnd w:id="3"/>
            <w:r>
              <w:t>Report</w:t>
            </w:r>
            <w:r w:rsidR="00AD3606" w:rsidRPr="002C54E2">
              <w:t xml:space="preserve"> </w:t>
            </w:r>
            <w:r w:rsidR="00AD3606">
              <w:t>by</w:t>
            </w:r>
            <w:r w:rsidR="00AD3606" w:rsidRPr="002C54E2">
              <w:t xml:space="preserve"> </w:t>
            </w:r>
            <w:r w:rsidR="00AD3606">
              <w:t>the</w:t>
            </w:r>
            <w:r w:rsidR="00AD3606" w:rsidRPr="002C54E2">
              <w:t xml:space="preserve"> </w:t>
            </w:r>
            <w:r w:rsidR="00AD3606">
              <w:t>Secretary-</w:t>
            </w:r>
            <w:r w:rsidR="00AD3606" w:rsidRPr="002C54E2">
              <w:t>General</w:t>
            </w:r>
          </w:p>
        </w:tc>
      </w:tr>
      <w:tr w:rsidR="00AD3606" w:rsidRPr="00813E5E" w14:paraId="62B9C291" w14:textId="77777777" w:rsidTr="00AD3606">
        <w:trPr>
          <w:cantSplit/>
        </w:trPr>
        <w:tc>
          <w:tcPr>
            <w:tcW w:w="9214" w:type="dxa"/>
            <w:gridSpan w:val="2"/>
            <w:tcMar>
              <w:left w:w="0" w:type="dxa"/>
            </w:tcMar>
          </w:tcPr>
          <w:p w14:paraId="556A1BCF" w14:textId="3FA1C1BA" w:rsidR="00AD3606" w:rsidRPr="00813E5E" w:rsidRDefault="00323920" w:rsidP="00DF0189">
            <w:pPr>
              <w:pStyle w:val="Subtitle"/>
              <w:framePr w:hSpace="0" w:wrap="auto" w:hAnchor="text" w:xAlign="left" w:yAlign="inline"/>
            </w:pPr>
            <w:bookmarkStart w:id="5" w:name="dtitle1" w:colFirst="0" w:colLast="0"/>
            <w:bookmarkEnd w:id="4"/>
            <w:r w:rsidRPr="00345CFD">
              <w:t>COMPILATION OF DECISIONS CAPTURED IN SUMMARY RECORDS</w:t>
            </w:r>
            <w:r>
              <w:t xml:space="preserve"> OF THE PLENIPOTENTIARY CONFERENCE (BUCHAREST, 2022)</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5EBF61A" w:rsidR="00AD3606" w:rsidRPr="00F16BAB" w:rsidRDefault="00F16BAB" w:rsidP="00F16BAB">
            <w:pPr>
              <w:spacing w:before="160"/>
              <w:rPr>
                <w:b/>
                <w:bCs/>
                <w:sz w:val="26"/>
                <w:szCs w:val="26"/>
              </w:rPr>
            </w:pPr>
            <w:r w:rsidRPr="00F16BAB">
              <w:rPr>
                <w:b/>
                <w:bCs/>
                <w:sz w:val="26"/>
                <w:szCs w:val="26"/>
              </w:rPr>
              <w:t>Purpose</w:t>
            </w:r>
          </w:p>
          <w:p w14:paraId="01EEEAC5" w14:textId="5BA7122F" w:rsidR="00AD3606" w:rsidRPr="00813E5E" w:rsidRDefault="00345CFD" w:rsidP="00F16BAB">
            <w:r w:rsidRPr="00345CFD">
              <w:t xml:space="preserve">As was requested after </w:t>
            </w:r>
            <w:r w:rsidR="00323920">
              <w:t>the Plenipotentiary Conference (Dubai, 2028)</w:t>
            </w:r>
            <w:r w:rsidRPr="00345CFD">
              <w:t xml:space="preserve">, the secretariat has prepared a compilation of the decisions adopted by </w:t>
            </w:r>
            <w:r w:rsidR="00323920">
              <w:t>the Plenipotentiary Conference (Bucharest, 2022),</w:t>
            </w:r>
            <w:r w:rsidRPr="00345CFD">
              <w:t xml:space="preserve"> which were captured in the Summary Records of its Plenary Meetings, in particular the decisions based on the recommendations of the Committees and Working Group of the Plenary.</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216359B8" w:rsidR="00AD3606" w:rsidRPr="00484009" w:rsidRDefault="001133F7" w:rsidP="00AD3606">
            <w:r w:rsidRPr="001133F7">
              <w:t xml:space="preserve">This document is transmitted to the Council </w:t>
            </w:r>
            <w:r w:rsidRPr="001133F7">
              <w:rPr>
                <w:b/>
                <w:bCs/>
              </w:rPr>
              <w:t>for information</w:t>
            </w:r>
            <w:r w:rsidRPr="001133F7">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4EAFDA34" w:rsidR="00AD3606" w:rsidRDefault="00323920" w:rsidP="00F16BAB">
            <w:pPr>
              <w:spacing w:after="160"/>
            </w:pPr>
            <w:hyperlink r:id="rId8" w:history="1">
              <w:r w:rsidR="00345CFD" w:rsidRPr="00345CFD">
                <w:rPr>
                  <w:color w:val="0000FF"/>
                  <w:u w:val="single"/>
                </w:rPr>
                <w:t>C21</w:t>
              </w:r>
              <w:r w:rsidR="00345CFD" w:rsidRPr="00345CFD">
                <w:rPr>
                  <w:color w:val="0000FF"/>
                  <w:u w:val="single"/>
                </w:rPr>
                <w:t>/</w:t>
              </w:r>
              <w:r w:rsidR="00345CFD" w:rsidRPr="00345CFD">
                <w:rPr>
                  <w:color w:val="0000FF"/>
                  <w:u w:val="single"/>
                </w:rPr>
                <w:t>58</w:t>
              </w:r>
            </w:hyperlink>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653A6775" w14:textId="5B3E5AD6" w:rsidR="00345CFD" w:rsidRPr="00345CFD" w:rsidRDefault="00345CFD" w:rsidP="00345CFD">
      <w:pPr>
        <w:jc w:val="both"/>
        <w:rPr>
          <w:lang w:val="en-US"/>
        </w:rPr>
      </w:pPr>
      <w:r w:rsidRPr="00345CFD">
        <w:rPr>
          <w:lang w:val="en-US"/>
        </w:rPr>
        <w:lastRenderedPageBreak/>
        <w:t>1.</w:t>
      </w:r>
      <w:r w:rsidRPr="00345CFD">
        <w:rPr>
          <w:lang w:val="en-US"/>
        </w:rPr>
        <w:tab/>
        <w:t xml:space="preserve">After </w:t>
      </w:r>
      <w:r w:rsidR="00323920">
        <w:rPr>
          <w:lang w:val="en-US"/>
        </w:rPr>
        <w:t>the 2018 Plenipotentiary Conference (PP-</w:t>
      </w:r>
      <w:r w:rsidRPr="00345CFD">
        <w:rPr>
          <w:lang w:val="en-US"/>
        </w:rPr>
        <w:t>18</w:t>
      </w:r>
      <w:r w:rsidR="00323920">
        <w:rPr>
          <w:lang w:val="en-US"/>
        </w:rPr>
        <w:t>)</w:t>
      </w:r>
      <w:r w:rsidRPr="00345CFD">
        <w:rPr>
          <w:lang w:val="en-US"/>
        </w:rPr>
        <w:t xml:space="preserve">, the Council requested the secretariat to produce a compilation of the decisions adopted by PP-18 which were captured in the Summary Records of its Plenary Meetings. The secretariat submitted this information to the Council in document C21/58. </w:t>
      </w:r>
    </w:p>
    <w:p w14:paraId="6B13C970" w14:textId="0F083DFF" w:rsidR="00345CFD" w:rsidRPr="00345CFD" w:rsidRDefault="00345CFD" w:rsidP="00345CFD">
      <w:pPr>
        <w:spacing w:after="120"/>
      </w:pPr>
      <w:r w:rsidRPr="00345CFD">
        <w:rPr>
          <w:lang w:val="en-US"/>
        </w:rPr>
        <w:t>2.</w:t>
      </w:r>
      <w:r w:rsidRPr="00345CFD">
        <w:rPr>
          <w:lang w:val="en-US"/>
        </w:rPr>
        <w:tab/>
        <w:t xml:space="preserve">In the interest of transparency, the secretariat has prepared a table of the decisions which were taken by the </w:t>
      </w:r>
      <w:r w:rsidR="00323920">
        <w:rPr>
          <w:lang w:val="en-US"/>
        </w:rPr>
        <w:t>2022 Plenipotentiary Conference (</w:t>
      </w:r>
      <w:r w:rsidRPr="00345CFD">
        <w:rPr>
          <w:lang w:val="en-US"/>
        </w:rPr>
        <w:t>PP-22</w:t>
      </w:r>
      <w:r w:rsidR="00323920">
        <w:rPr>
          <w:lang w:val="en-US"/>
        </w:rPr>
        <w:t>)</w:t>
      </w:r>
      <w:r w:rsidRPr="00345CFD">
        <w:rPr>
          <w:lang w:val="en-US"/>
        </w:rPr>
        <w:t xml:space="preserve"> Plenary which were not reflected in the Basic Texts as formal Resolutions or Decisions. The table indicates the summary record and paragraph numbers, as well as the source (i.e. Committee 5), and the decision taken.</w:t>
      </w:r>
    </w:p>
    <w:tbl>
      <w:tblPr>
        <w:tblStyle w:val="TableGrid"/>
        <w:tblW w:w="9072" w:type="dxa"/>
        <w:tblInd w:w="-5" w:type="dxa"/>
        <w:tblLook w:val="04A0" w:firstRow="1" w:lastRow="0" w:firstColumn="1" w:lastColumn="0" w:noHBand="0" w:noVBand="1"/>
      </w:tblPr>
      <w:tblGrid>
        <w:gridCol w:w="1417"/>
        <w:gridCol w:w="764"/>
        <w:gridCol w:w="1505"/>
        <w:gridCol w:w="5386"/>
      </w:tblGrid>
      <w:tr w:rsidR="00345CFD" w:rsidRPr="00345CFD" w14:paraId="73A474AD" w14:textId="77777777" w:rsidTr="00345CFD">
        <w:trPr>
          <w:cantSplit/>
          <w:tblHeader/>
        </w:trPr>
        <w:tc>
          <w:tcPr>
            <w:tcW w:w="1417" w:type="dxa"/>
          </w:tcPr>
          <w:p w14:paraId="7123C26C" w14:textId="77777777" w:rsidR="00345CFD" w:rsidRPr="00345CFD" w:rsidRDefault="00345CFD" w:rsidP="00345CFD">
            <w:pPr>
              <w:rPr>
                <w:b/>
                <w:bCs/>
              </w:rPr>
            </w:pPr>
            <w:r w:rsidRPr="00345CFD">
              <w:rPr>
                <w:b/>
                <w:bCs/>
              </w:rPr>
              <w:t>Summary record No.</w:t>
            </w:r>
          </w:p>
        </w:tc>
        <w:tc>
          <w:tcPr>
            <w:tcW w:w="764" w:type="dxa"/>
          </w:tcPr>
          <w:p w14:paraId="03E6A971" w14:textId="77777777" w:rsidR="00345CFD" w:rsidRPr="00345CFD" w:rsidRDefault="00345CFD" w:rsidP="00345CFD">
            <w:pPr>
              <w:rPr>
                <w:b/>
                <w:bCs/>
              </w:rPr>
            </w:pPr>
            <w:r w:rsidRPr="00345CFD">
              <w:rPr>
                <w:b/>
                <w:bCs/>
              </w:rPr>
              <w:t>§</w:t>
            </w:r>
          </w:p>
        </w:tc>
        <w:tc>
          <w:tcPr>
            <w:tcW w:w="1505" w:type="dxa"/>
          </w:tcPr>
          <w:p w14:paraId="42FEFF6F" w14:textId="77777777" w:rsidR="00345CFD" w:rsidRPr="00345CFD" w:rsidRDefault="00345CFD" w:rsidP="00345CFD">
            <w:pPr>
              <w:rPr>
                <w:b/>
                <w:bCs/>
              </w:rPr>
            </w:pPr>
            <w:r w:rsidRPr="00345CFD">
              <w:rPr>
                <w:b/>
                <w:bCs/>
              </w:rPr>
              <w:t>Source</w:t>
            </w:r>
          </w:p>
        </w:tc>
        <w:tc>
          <w:tcPr>
            <w:tcW w:w="5386" w:type="dxa"/>
          </w:tcPr>
          <w:p w14:paraId="4B9A25AE" w14:textId="77777777" w:rsidR="00345CFD" w:rsidRPr="00345CFD" w:rsidRDefault="00345CFD" w:rsidP="00345CFD">
            <w:pPr>
              <w:rPr>
                <w:b/>
                <w:bCs/>
              </w:rPr>
            </w:pPr>
            <w:r w:rsidRPr="00345CFD">
              <w:rPr>
                <w:b/>
                <w:bCs/>
              </w:rPr>
              <w:t>Decision</w:t>
            </w:r>
          </w:p>
        </w:tc>
      </w:tr>
      <w:tr w:rsidR="00345CFD" w:rsidRPr="00345CFD" w14:paraId="4B134A18" w14:textId="77777777" w:rsidTr="00345CFD">
        <w:trPr>
          <w:cantSplit/>
        </w:trPr>
        <w:tc>
          <w:tcPr>
            <w:tcW w:w="1417" w:type="dxa"/>
          </w:tcPr>
          <w:p w14:paraId="071D0358" w14:textId="77777777" w:rsidR="00345CFD" w:rsidRPr="00345CFD" w:rsidRDefault="00345CFD" w:rsidP="00345CFD">
            <w:r w:rsidRPr="00345CFD">
              <w:t>16th Plenary Meeting,</w:t>
            </w:r>
            <w:hyperlink r:id="rId9" w:history="1">
              <w:r w:rsidRPr="00345CFD">
                <w:rPr>
                  <w:color w:val="0000FF"/>
                  <w:u w:val="single"/>
                </w:rPr>
                <w:t xml:space="preserve"> 206</w:t>
              </w:r>
            </w:hyperlink>
          </w:p>
        </w:tc>
        <w:tc>
          <w:tcPr>
            <w:tcW w:w="764" w:type="dxa"/>
          </w:tcPr>
          <w:p w14:paraId="7F15E90F" w14:textId="77777777" w:rsidR="00345CFD" w:rsidRPr="00345CFD" w:rsidRDefault="00345CFD" w:rsidP="00345CFD">
            <w:r w:rsidRPr="00345CFD">
              <w:t>3.2</w:t>
            </w:r>
          </w:p>
        </w:tc>
        <w:tc>
          <w:tcPr>
            <w:tcW w:w="1505" w:type="dxa"/>
          </w:tcPr>
          <w:p w14:paraId="069AD718" w14:textId="77777777" w:rsidR="00345CFD" w:rsidRPr="00345CFD" w:rsidRDefault="00345CFD" w:rsidP="00345CFD">
            <w:r w:rsidRPr="00345CFD">
              <w:t>Com 5 (</w:t>
            </w:r>
            <w:hyperlink r:id="rId10" w:history="1">
              <w:r w:rsidRPr="00345CFD">
                <w:rPr>
                  <w:color w:val="0000FF"/>
                  <w:u w:val="single"/>
                </w:rPr>
                <w:t>189</w:t>
              </w:r>
            </w:hyperlink>
            <w:r w:rsidRPr="00345CFD">
              <w:t>), Rec. 1</w:t>
            </w:r>
          </w:p>
        </w:tc>
        <w:tc>
          <w:tcPr>
            <w:tcW w:w="5386" w:type="dxa"/>
          </w:tcPr>
          <w:p w14:paraId="7D3A63E5" w14:textId="77777777" w:rsidR="00345CFD" w:rsidRPr="00345CFD" w:rsidRDefault="00345CFD" w:rsidP="00345CFD">
            <w:pPr>
              <w:ind w:right="318"/>
            </w:pPr>
            <w:r w:rsidRPr="00345CFD">
              <w:t xml:space="preserve">Recommendation 1: Committee 5 recommends that the Plenary adopt the following text: </w:t>
            </w:r>
          </w:p>
          <w:p w14:paraId="44174087" w14:textId="77777777" w:rsidR="00345CFD" w:rsidRPr="00345CFD" w:rsidRDefault="00345CFD" w:rsidP="00345CFD">
            <w:r w:rsidRPr="00345CFD">
              <w:t>“In adopting modifications to Resolution 119, it was considered that decisions of the Radio Regulations Board, especially pertaining to interference as defined in the Radio Regulations, may be of interest to the general public.”</w:t>
            </w:r>
          </w:p>
        </w:tc>
      </w:tr>
      <w:tr w:rsidR="00345CFD" w:rsidRPr="00345CFD" w14:paraId="2B6BDC13" w14:textId="77777777" w:rsidTr="00345CFD">
        <w:trPr>
          <w:cantSplit/>
        </w:trPr>
        <w:tc>
          <w:tcPr>
            <w:tcW w:w="1417" w:type="dxa"/>
          </w:tcPr>
          <w:p w14:paraId="3E0E4666" w14:textId="77777777" w:rsidR="00345CFD" w:rsidRPr="00345CFD" w:rsidRDefault="00345CFD" w:rsidP="00345CFD">
            <w:r w:rsidRPr="00345CFD">
              <w:t>16th Plenary Meeting,</w:t>
            </w:r>
            <w:hyperlink r:id="rId11" w:history="1">
              <w:r w:rsidRPr="00345CFD">
                <w:rPr>
                  <w:color w:val="0000FF"/>
                  <w:u w:val="single"/>
                </w:rPr>
                <w:t xml:space="preserve"> 206</w:t>
              </w:r>
            </w:hyperlink>
          </w:p>
        </w:tc>
        <w:tc>
          <w:tcPr>
            <w:tcW w:w="764" w:type="dxa"/>
          </w:tcPr>
          <w:p w14:paraId="44AF7C10" w14:textId="77777777" w:rsidR="00345CFD" w:rsidRPr="00345CFD" w:rsidRDefault="00345CFD" w:rsidP="00345CFD">
            <w:r w:rsidRPr="00345CFD">
              <w:t>3.2</w:t>
            </w:r>
          </w:p>
        </w:tc>
        <w:tc>
          <w:tcPr>
            <w:tcW w:w="1505" w:type="dxa"/>
          </w:tcPr>
          <w:p w14:paraId="1B3756D2" w14:textId="77777777" w:rsidR="00345CFD" w:rsidRPr="00345CFD" w:rsidRDefault="00345CFD" w:rsidP="00345CFD">
            <w:r w:rsidRPr="00345CFD">
              <w:t>Com 5 (</w:t>
            </w:r>
            <w:hyperlink r:id="rId12" w:history="1">
              <w:r w:rsidRPr="00345CFD">
                <w:rPr>
                  <w:color w:val="0000FF"/>
                  <w:u w:val="single"/>
                </w:rPr>
                <w:t>189</w:t>
              </w:r>
            </w:hyperlink>
            <w:r w:rsidRPr="00345CFD">
              <w:t>), Rec. 2</w:t>
            </w:r>
          </w:p>
        </w:tc>
        <w:tc>
          <w:tcPr>
            <w:tcW w:w="5386" w:type="dxa"/>
          </w:tcPr>
          <w:p w14:paraId="350A6412" w14:textId="77777777" w:rsidR="00345CFD" w:rsidRPr="00345CFD" w:rsidRDefault="00345CFD" w:rsidP="00345CFD">
            <w:r w:rsidRPr="00345CFD">
              <w:t xml:space="preserve">Recommendation 2: Committee 5 recommends that the Plenary adopt the following text: </w:t>
            </w:r>
          </w:p>
          <w:p w14:paraId="6AADDFB4" w14:textId="77777777" w:rsidR="00345CFD" w:rsidRPr="00345CFD" w:rsidRDefault="00345CFD" w:rsidP="00345CFD">
            <w:r w:rsidRPr="00345CFD">
              <w:t>“In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in regard to the issues being discussed in the meeting and the importance of stable technical facilities.”</w:t>
            </w:r>
          </w:p>
        </w:tc>
      </w:tr>
      <w:tr w:rsidR="00345CFD" w:rsidRPr="00345CFD" w14:paraId="5864700E" w14:textId="77777777" w:rsidTr="00345CFD">
        <w:trPr>
          <w:cantSplit/>
        </w:trPr>
        <w:tc>
          <w:tcPr>
            <w:tcW w:w="1417" w:type="dxa"/>
          </w:tcPr>
          <w:p w14:paraId="63E69D04" w14:textId="77777777" w:rsidR="00345CFD" w:rsidRPr="00345CFD" w:rsidRDefault="00345CFD" w:rsidP="00345CFD">
            <w:r w:rsidRPr="00345CFD">
              <w:t>16th Plenary Meeting,</w:t>
            </w:r>
            <w:hyperlink r:id="rId13" w:history="1">
              <w:r w:rsidRPr="00345CFD">
                <w:rPr>
                  <w:color w:val="0000FF"/>
                  <w:u w:val="single"/>
                </w:rPr>
                <w:t xml:space="preserve"> 206</w:t>
              </w:r>
            </w:hyperlink>
          </w:p>
        </w:tc>
        <w:tc>
          <w:tcPr>
            <w:tcW w:w="764" w:type="dxa"/>
          </w:tcPr>
          <w:p w14:paraId="212293AC" w14:textId="77777777" w:rsidR="00345CFD" w:rsidRPr="00345CFD" w:rsidRDefault="00345CFD" w:rsidP="00345CFD">
            <w:r w:rsidRPr="00345CFD">
              <w:t>3.5</w:t>
            </w:r>
          </w:p>
        </w:tc>
        <w:tc>
          <w:tcPr>
            <w:tcW w:w="1505" w:type="dxa"/>
          </w:tcPr>
          <w:p w14:paraId="4687F291" w14:textId="77777777" w:rsidR="00345CFD" w:rsidRPr="00345CFD" w:rsidRDefault="00345CFD" w:rsidP="00345CFD">
            <w:r w:rsidRPr="00345CFD">
              <w:t>Com 5 (</w:t>
            </w:r>
            <w:hyperlink r:id="rId14" w:history="1">
              <w:r w:rsidRPr="00345CFD">
                <w:rPr>
                  <w:color w:val="0000FF"/>
                  <w:u w:val="single"/>
                </w:rPr>
                <w:t>189</w:t>
              </w:r>
            </w:hyperlink>
            <w:r w:rsidRPr="00345CFD">
              <w:t>), Rec. 3</w:t>
            </w:r>
          </w:p>
        </w:tc>
        <w:tc>
          <w:tcPr>
            <w:tcW w:w="5386" w:type="dxa"/>
          </w:tcPr>
          <w:p w14:paraId="687190A5" w14:textId="77777777" w:rsidR="00345CFD" w:rsidRPr="00345CFD" w:rsidRDefault="00345CFD" w:rsidP="00345CFD">
            <w:r w:rsidRPr="00345CFD">
              <w:t>Recommendation 3: Committee 5 recommends that the Plenary adopt the following text:</w:t>
            </w:r>
          </w:p>
          <w:p w14:paraId="67C70053" w14:textId="77777777" w:rsidR="00345CFD" w:rsidRPr="00345CFD" w:rsidRDefault="00345CFD" w:rsidP="00345CFD">
            <w:r w:rsidRPr="00345CFD">
              <w:t>“This Plenipotentiary Conference (Bucharest, 2022) adopts and maintains the decision of the Plenipotentiary Conference (Dubai, 2018) contained in the Minutes of its Sixteenth Plenary Meeting (C-173) on Memoranda of Understanding (</w:t>
            </w:r>
            <w:proofErr w:type="spellStart"/>
            <w:r w:rsidRPr="00345CFD">
              <w:t>MoUs</w:t>
            </w:r>
            <w:proofErr w:type="spellEnd"/>
            <w:r w:rsidRPr="00345CFD">
              <w:t>) with substantial financial and/or strategic implications.”</w:t>
            </w:r>
          </w:p>
        </w:tc>
      </w:tr>
      <w:tr w:rsidR="00345CFD" w:rsidRPr="00345CFD" w14:paraId="5FDFF083" w14:textId="77777777" w:rsidTr="00345CFD">
        <w:trPr>
          <w:cantSplit/>
        </w:trPr>
        <w:tc>
          <w:tcPr>
            <w:tcW w:w="1417" w:type="dxa"/>
          </w:tcPr>
          <w:p w14:paraId="202BA540" w14:textId="77777777" w:rsidR="00345CFD" w:rsidRPr="00345CFD" w:rsidRDefault="00345CFD" w:rsidP="00345CFD">
            <w:r w:rsidRPr="00345CFD">
              <w:lastRenderedPageBreak/>
              <w:t>16th Plenary Meeting,</w:t>
            </w:r>
            <w:hyperlink r:id="rId15" w:history="1">
              <w:r w:rsidRPr="00345CFD">
                <w:rPr>
                  <w:color w:val="0000FF"/>
                  <w:u w:val="single"/>
                </w:rPr>
                <w:t xml:space="preserve"> 206</w:t>
              </w:r>
            </w:hyperlink>
          </w:p>
        </w:tc>
        <w:tc>
          <w:tcPr>
            <w:tcW w:w="764" w:type="dxa"/>
          </w:tcPr>
          <w:p w14:paraId="456F4BC3" w14:textId="77777777" w:rsidR="00345CFD" w:rsidRPr="00345CFD" w:rsidRDefault="00345CFD" w:rsidP="00345CFD">
            <w:r w:rsidRPr="00345CFD">
              <w:t>3.5</w:t>
            </w:r>
          </w:p>
        </w:tc>
        <w:tc>
          <w:tcPr>
            <w:tcW w:w="1505" w:type="dxa"/>
          </w:tcPr>
          <w:p w14:paraId="59BA4491" w14:textId="77777777" w:rsidR="00345CFD" w:rsidRPr="00345CFD" w:rsidRDefault="00345CFD" w:rsidP="00345CFD">
            <w:r w:rsidRPr="00345CFD">
              <w:t>Com 5 (</w:t>
            </w:r>
            <w:hyperlink r:id="rId16" w:history="1">
              <w:r w:rsidRPr="00345CFD">
                <w:rPr>
                  <w:color w:val="0000FF"/>
                  <w:u w:val="single"/>
                </w:rPr>
                <w:t>189</w:t>
              </w:r>
            </w:hyperlink>
            <w:r w:rsidRPr="00345CFD">
              <w:t>), Rec. 4</w:t>
            </w:r>
          </w:p>
        </w:tc>
        <w:tc>
          <w:tcPr>
            <w:tcW w:w="5386" w:type="dxa"/>
          </w:tcPr>
          <w:p w14:paraId="59E54883" w14:textId="77777777" w:rsidR="00345CFD" w:rsidRPr="00345CFD" w:rsidRDefault="00345CFD" w:rsidP="00345CFD">
            <w:r w:rsidRPr="00345CFD">
              <w:t xml:space="preserve">Recommendation 4: </w:t>
            </w:r>
          </w:p>
          <w:p w14:paraId="4C1BC1A0" w14:textId="77777777" w:rsidR="00345CFD" w:rsidRPr="00345CFD" w:rsidRDefault="00345CFD" w:rsidP="00345CFD">
            <w:r w:rsidRPr="00345CFD">
              <w:t>Committee 5 recommends that the Plenary instructs the Council to examine the matter of the conduct of election campaigns and procedures for electing the Secretary-General, Deputy Secretary-General, Directors of the Bureaux of the Sectors and Members of the Radio Regulations Board while ensuring that all candidates have the opportunity to participate in accordance with the principles of fairness, transparency, integrity and impartiality in the conduct of election campaigns. The examination of this matter should be completed by the end of 2024 Council and changes on this matter, if any, should be implemented before the next Plenipotentiary Conference. The Council should report to the next Plenipotentiary Conference on what has been implemented</w:t>
            </w:r>
          </w:p>
        </w:tc>
      </w:tr>
      <w:tr w:rsidR="00345CFD" w:rsidRPr="00345CFD" w14:paraId="2165BD89" w14:textId="77777777" w:rsidTr="00345CFD">
        <w:trPr>
          <w:cantSplit/>
        </w:trPr>
        <w:tc>
          <w:tcPr>
            <w:tcW w:w="1417" w:type="dxa"/>
          </w:tcPr>
          <w:p w14:paraId="2D1AC62E" w14:textId="77777777" w:rsidR="00345CFD" w:rsidRPr="00345CFD" w:rsidRDefault="00345CFD" w:rsidP="00345CFD">
            <w:r w:rsidRPr="00345CFD">
              <w:t>16th Plenary Meeting,</w:t>
            </w:r>
            <w:hyperlink r:id="rId17" w:history="1">
              <w:r w:rsidRPr="00345CFD">
                <w:rPr>
                  <w:color w:val="0000FF"/>
                  <w:u w:val="single"/>
                </w:rPr>
                <w:t xml:space="preserve"> 206</w:t>
              </w:r>
            </w:hyperlink>
          </w:p>
        </w:tc>
        <w:tc>
          <w:tcPr>
            <w:tcW w:w="764" w:type="dxa"/>
          </w:tcPr>
          <w:p w14:paraId="77319E76" w14:textId="77777777" w:rsidR="00345CFD" w:rsidRPr="00345CFD" w:rsidRDefault="00345CFD" w:rsidP="00345CFD">
            <w:r w:rsidRPr="00345CFD">
              <w:t>3.5</w:t>
            </w:r>
          </w:p>
        </w:tc>
        <w:tc>
          <w:tcPr>
            <w:tcW w:w="1505" w:type="dxa"/>
          </w:tcPr>
          <w:p w14:paraId="45990735" w14:textId="77777777" w:rsidR="00345CFD" w:rsidRPr="00345CFD" w:rsidRDefault="00345CFD" w:rsidP="00345CFD">
            <w:r w:rsidRPr="00345CFD">
              <w:t>Com 5 (</w:t>
            </w:r>
            <w:hyperlink r:id="rId18" w:history="1">
              <w:r w:rsidRPr="00345CFD">
                <w:rPr>
                  <w:color w:val="0000FF"/>
                  <w:u w:val="single"/>
                </w:rPr>
                <w:t>189</w:t>
              </w:r>
            </w:hyperlink>
            <w:r w:rsidRPr="00345CFD">
              <w:t>), Rec. 5</w:t>
            </w:r>
          </w:p>
        </w:tc>
        <w:tc>
          <w:tcPr>
            <w:tcW w:w="5386" w:type="dxa"/>
          </w:tcPr>
          <w:p w14:paraId="1AB65D4A" w14:textId="77777777" w:rsidR="00345CFD" w:rsidRPr="00345CFD" w:rsidRDefault="00345CFD" w:rsidP="00345CFD">
            <w:r w:rsidRPr="00345CFD">
              <w:t>Recommendation 5: Committee 5 recommends that the Plenary adopt the following text:</w:t>
            </w:r>
          </w:p>
          <w:p w14:paraId="61259BF9" w14:textId="77777777" w:rsidR="00345CFD" w:rsidRPr="00345CFD" w:rsidRDefault="00345CFD" w:rsidP="00345CFD">
            <w:r w:rsidRPr="00345CFD">
              <w:t xml:space="preserve">“The Secretary-General and the Directors of the Bureaux continue to encourage the enhanced participation of entities and organizations in the activities of the Union, in accordance with all relevant provisions of the ITU Constitution and Convention. </w:t>
            </w:r>
          </w:p>
          <w:p w14:paraId="7ADD9338" w14:textId="77777777" w:rsidR="00345CFD" w:rsidRPr="00345CFD" w:rsidRDefault="00345CFD" w:rsidP="00345CFD">
            <w:r w:rsidRPr="00345CFD">
              <w:t>The Plenipotentiary Conference further invites the Director of Bureaux to bring this topic to the attention of their respective advisory groups, as appropriate.”</w:t>
            </w:r>
          </w:p>
        </w:tc>
      </w:tr>
      <w:tr w:rsidR="00345CFD" w:rsidRPr="00345CFD" w14:paraId="0C89561D" w14:textId="77777777" w:rsidTr="00345CFD">
        <w:trPr>
          <w:cantSplit/>
        </w:trPr>
        <w:tc>
          <w:tcPr>
            <w:tcW w:w="1417" w:type="dxa"/>
          </w:tcPr>
          <w:p w14:paraId="572503B7" w14:textId="77777777" w:rsidR="00345CFD" w:rsidRPr="00345CFD" w:rsidRDefault="00345CFD" w:rsidP="00345CFD">
            <w:r w:rsidRPr="00345CFD">
              <w:t>16th Plenary Meeting,</w:t>
            </w:r>
            <w:hyperlink r:id="rId19" w:history="1">
              <w:r w:rsidRPr="00345CFD">
                <w:rPr>
                  <w:color w:val="0000FF"/>
                  <w:u w:val="single"/>
                </w:rPr>
                <w:t xml:space="preserve"> 206</w:t>
              </w:r>
            </w:hyperlink>
          </w:p>
        </w:tc>
        <w:tc>
          <w:tcPr>
            <w:tcW w:w="764" w:type="dxa"/>
          </w:tcPr>
          <w:p w14:paraId="420C603E" w14:textId="63150A7E" w:rsidR="00345CFD" w:rsidRPr="00345CFD" w:rsidRDefault="00345CFD" w:rsidP="00345CFD"/>
        </w:tc>
        <w:tc>
          <w:tcPr>
            <w:tcW w:w="1505" w:type="dxa"/>
          </w:tcPr>
          <w:p w14:paraId="6FD4FF6A" w14:textId="1FD5A065" w:rsidR="00345CFD" w:rsidRPr="00345CFD" w:rsidRDefault="00345CFD" w:rsidP="00345CFD">
            <w:r w:rsidRPr="00345CFD">
              <w:t>Com 6 (</w:t>
            </w:r>
            <w:hyperlink r:id="rId20" w:history="1">
              <w:r w:rsidRPr="00345CFD">
                <w:rPr>
                  <w:color w:val="0000FF"/>
                  <w:u w:val="single"/>
                </w:rPr>
                <w:t>157(Rev.1)</w:t>
              </w:r>
            </w:hyperlink>
            <w:r w:rsidRPr="00345CFD">
              <w:t>)</w:t>
            </w:r>
          </w:p>
        </w:tc>
        <w:tc>
          <w:tcPr>
            <w:tcW w:w="5386" w:type="dxa"/>
          </w:tcPr>
          <w:p w14:paraId="59577DFE" w14:textId="77777777" w:rsidR="00345CFD" w:rsidRPr="00345CFD" w:rsidRDefault="00345CFD" w:rsidP="00345CFD">
            <w:r w:rsidRPr="00345CFD">
              <w:t>On Res. 41: Committee 6 endorsed the recommendation to authorize the Council to revise, if necessary, the conditions for the establishment of repayment schedules, including measures such as the temporary reduction in the class of contribution.</w:t>
            </w:r>
          </w:p>
        </w:tc>
      </w:tr>
      <w:tr w:rsidR="00345CFD" w:rsidRPr="00345CFD" w14:paraId="7C37A71B" w14:textId="77777777" w:rsidTr="00345CFD">
        <w:trPr>
          <w:cantSplit/>
        </w:trPr>
        <w:tc>
          <w:tcPr>
            <w:tcW w:w="1417" w:type="dxa"/>
          </w:tcPr>
          <w:p w14:paraId="0BB94C0A" w14:textId="77777777" w:rsidR="00345CFD" w:rsidRPr="00345CFD" w:rsidRDefault="00345CFD" w:rsidP="00345CFD">
            <w:r w:rsidRPr="00345CFD">
              <w:lastRenderedPageBreak/>
              <w:t>16th Plenary Meeting,</w:t>
            </w:r>
            <w:hyperlink r:id="rId21" w:history="1">
              <w:r w:rsidRPr="00345CFD">
                <w:rPr>
                  <w:color w:val="0000FF"/>
                  <w:u w:val="single"/>
                </w:rPr>
                <w:t xml:space="preserve"> 206</w:t>
              </w:r>
            </w:hyperlink>
          </w:p>
        </w:tc>
        <w:tc>
          <w:tcPr>
            <w:tcW w:w="764" w:type="dxa"/>
          </w:tcPr>
          <w:p w14:paraId="5EA6C345" w14:textId="77777777" w:rsidR="00345CFD" w:rsidRPr="00345CFD" w:rsidRDefault="00345CFD" w:rsidP="00345CFD">
            <w:r w:rsidRPr="00345CFD">
              <w:t>2.5</w:t>
            </w:r>
          </w:p>
        </w:tc>
        <w:tc>
          <w:tcPr>
            <w:tcW w:w="1505" w:type="dxa"/>
          </w:tcPr>
          <w:p w14:paraId="3E9E0B47" w14:textId="0B4E82A0" w:rsidR="00345CFD" w:rsidRPr="00345CFD" w:rsidRDefault="00345CFD" w:rsidP="00345CFD">
            <w:r w:rsidRPr="00345CFD">
              <w:t>Com 6 (</w:t>
            </w:r>
            <w:hyperlink r:id="rId22" w:history="1">
              <w:r w:rsidRPr="00345CFD">
                <w:rPr>
                  <w:color w:val="0000FF"/>
                  <w:u w:val="single"/>
                </w:rPr>
                <w:t>157(Rev.1)</w:t>
              </w:r>
            </w:hyperlink>
            <w:r w:rsidRPr="00345CFD">
              <w:t>)</w:t>
            </w:r>
          </w:p>
        </w:tc>
        <w:tc>
          <w:tcPr>
            <w:tcW w:w="5386" w:type="dxa"/>
          </w:tcPr>
          <w:p w14:paraId="50237B22" w14:textId="77777777" w:rsidR="00345CFD" w:rsidRPr="00345CFD" w:rsidRDefault="00345CFD" w:rsidP="00345CFD">
            <w:r w:rsidRPr="00345CFD">
              <w:t>Committee 6 reached consensus on the following carefully crafted statement be adopted by the Plenary: “Committee 6 recommends that the Plenary adopts the following text: The potential reference of a side event output document, if any, in the outputs of ITU conferences, assemblies, or meetings shall be subject to the agreement or adoption by Member States attending these conferences, assemblies or meetings.”</w:t>
            </w:r>
          </w:p>
        </w:tc>
      </w:tr>
      <w:tr w:rsidR="00345CFD" w:rsidRPr="00345CFD" w14:paraId="1F9BFCA1" w14:textId="77777777" w:rsidTr="00345CFD">
        <w:trPr>
          <w:cantSplit/>
        </w:trPr>
        <w:tc>
          <w:tcPr>
            <w:tcW w:w="1417" w:type="dxa"/>
          </w:tcPr>
          <w:p w14:paraId="7E12BC41" w14:textId="77777777" w:rsidR="00345CFD" w:rsidRPr="00345CFD" w:rsidRDefault="00345CFD" w:rsidP="00345CFD">
            <w:r w:rsidRPr="00345CFD">
              <w:t>16th Plenary Meeting,</w:t>
            </w:r>
            <w:hyperlink r:id="rId23" w:history="1">
              <w:r w:rsidRPr="00345CFD">
                <w:rPr>
                  <w:color w:val="0000FF"/>
                  <w:u w:val="single"/>
                </w:rPr>
                <w:t xml:space="preserve"> 206</w:t>
              </w:r>
            </w:hyperlink>
          </w:p>
        </w:tc>
        <w:tc>
          <w:tcPr>
            <w:tcW w:w="764" w:type="dxa"/>
          </w:tcPr>
          <w:p w14:paraId="2FCCF6C9" w14:textId="77777777" w:rsidR="00345CFD" w:rsidRPr="00345CFD" w:rsidRDefault="00345CFD" w:rsidP="00345CFD">
            <w:r w:rsidRPr="00345CFD">
              <w:t>2.3</w:t>
            </w:r>
          </w:p>
        </w:tc>
        <w:tc>
          <w:tcPr>
            <w:tcW w:w="1505" w:type="dxa"/>
          </w:tcPr>
          <w:p w14:paraId="65244985" w14:textId="6A888AAC" w:rsidR="00345CFD" w:rsidRPr="00345CFD" w:rsidRDefault="00345CFD" w:rsidP="00345CFD">
            <w:r w:rsidRPr="00345CFD">
              <w:t>Com 6 (</w:t>
            </w:r>
            <w:hyperlink r:id="rId24" w:history="1">
              <w:r w:rsidRPr="00345CFD">
                <w:rPr>
                  <w:color w:val="0000FF"/>
                  <w:u w:val="single"/>
                </w:rPr>
                <w:t>157(Rev.1)</w:t>
              </w:r>
            </w:hyperlink>
            <w:r w:rsidRPr="00345CFD">
              <w:t>)</w:t>
            </w:r>
          </w:p>
        </w:tc>
        <w:tc>
          <w:tcPr>
            <w:tcW w:w="5386" w:type="dxa"/>
          </w:tcPr>
          <w:p w14:paraId="3C255E9D" w14:textId="77777777" w:rsidR="00345CFD" w:rsidRPr="00345CFD" w:rsidRDefault="00345CFD" w:rsidP="00345CFD">
            <w:r w:rsidRPr="00345CFD">
              <w:t xml:space="preserve">On Res. 11: </w:t>
            </w:r>
          </w:p>
          <w:p w14:paraId="00AB8B13" w14:textId="77777777" w:rsidR="00345CFD" w:rsidRPr="00345CFD" w:rsidRDefault="00345CFD" w:rsidP="00345CFD">
            <w:r w:rsidRPr="00345CFD">
              <w:t>26</w:t>
            </w:r>
            <w:r w:rsidRPr="00345CFD">
              <w:tab/>
              <w:t>Additionally, COM 6 recommends that the Plenary instructs the Council, at its ordinary session, to transfer the remaining balance of the Exhibition Working Capital Fund (EWCF) to the ICT Development Fund (ICT-DF).</w:t>
            </w:r>
          </w:p>
          <w:p w14:paraId="500309CE" w14:textId="77777777" w:rsidR="00345CFD" w:rsidRPr="00345CFD" w:rsidRDefault="00345CFD" w:rsidP="00345CFD">
            <w:r w:rsidRPr="00345CFD">
              <w:t>27</w:t>
            </w:r>
            <w:r w:rsidRPr="00345CFD">
              <w:tab/>
              <w:t>Finally, COM 6 recommends that the Plenary instructs the Secretary-General and the Directors of the Bureaux to continue to develop initiatives to encourage, grow and foster the participation of small and medium enterprises (SMEs) and all other stakeholders within the context of the ITU major events and forums.</w:t>
            </w:r>
          </w:p>
        </w:tc>
      </w:tr>
      <w:tr w:rsidR="00345CFD" w:rsidRPr="00345CFD" w14:paraId="185C1283" w14:textId="77777777" w:rsidTr="00345CFD">
        <w:trPr>
          <w:cantSplit/>
        </w:trPr>
        <w:tc>
          <w:tcPr>
            <w:tcW w:w="1417" w:type="dxa"/>
          </w:tcPr>
          <w:p w14:paraId="3E3774CB" w14:textId="77777777" w:rsidR="00345CFD" w:rsidRPr="00345CFD" w:rsidRDefault="00345CFD" w:rsidP="00345CFD">
            <w:r w:rsidRPr="00345CFD">
              <w:t>16th Plenary Meeting,</w:t>
            </w:r>
            <w:hyperlink r:id="rId25" w:history="1">
              <w:r w:rsidRPr="00345CFD">
                <w:rPr>
                  <w:color w:val="0000FF"/>
                  <w:u w:val="single"/>
                </w:rPr>
                <w:t xml:space="preserve"> 206</w:t>
              </w:r>
            </w:hyperlink>
          </w:p>
        </w:tc>
        <w:tc>
          <w:tcPr>
            <w:tcW w:w="764" w:type="dxa"/>
          </w:tcPr>
          <w:p w14:paraId="70887472" w14:textId="77777777" w:rsidR="00345CFD" w:rsidRPr="00345CFD" w:rsidRDefault="00345CFD" w:rsidP="00345CFD">
            <w:r w:rsidRPr="00345CFD">
              <w:t>2.4</w:t>
            </w:r>
          </w:p>
        </w:tc>
        <w:tc>
          <w:tcPr>
            <w:tcW w:w="1505" w:type="dxa"/>
          </w:tcPr>
          <w:p w14:paraId="3DE83E6A" w14:textId="3139C339" w:rsidR="00345CFD" w:rsidRPr="00345CFD" w:rsidRDefault="00345CFD" w:rsidP="00345CFD">
            <w:r w:rsidRPr="00345CFD">
              <w:t>Com 6 (</w:t>
            </w:r>
            <w:hyperlink r:id="rId26" w:history="1">
              <w:r w:rsidRPr="00345CFD">
                <w:rPr>
                  <w:color w:val="0000FF"/>
                  <w:u w:val="single"/>
                </w:rPr>
                <w:t>157(Rev.1)</w:t>
              </w:r>
            </w:hyperlink>
            <w:r w:rsidRPr="00345CFD">
              <w:t>)</w:t>
            </w:r>
          </w:p>
        </w:tc>
        <w:tc>
          <w:tcPr>
            <w:tcW w:w="5386" w:type="dxa"/>
          </w:tcPr>
          <w:p w14:paraId="11AF2BDF" w14:textId="77777777" w:rsidR="00345CFD" w:rsidRPr="00345CFD" w:rsidRDefault="00345CFD" w:rsidP="00345CFD">
            <w:r w:rsidRPr="00345CFD">
              <w:t>On Res. 191:</w:t>
            </w:r>
          </w:p>
          <w:p w14:paraId="1F4E428E" w14:textId="0A4A392F" w:rsidR="00345CFD" w:rsidRPr="00345CFD" w:rsidRDefault="00345CFD" w:rsidP="00514A0E">
            <w:r w:rsidRPr="00345CFD">
              <w:t>30</w:t>
            </w:r>
            <w:r w:rsidRPr="00345CFD">
              <w:tab/>
              <w:t>It was agreed by the Committee that the following statement should be included in the minutes of the Plenary: “Committee 6 recommends that the Plenary instructs the Secretary-General coordinating with the Directors of the Bureaux to submit to the 2024 session of Council a report on the implementation of the concept of One ITU.  The Council is instructed to evaluate the Secretary-General’s report and report to the next Plenipotentiary Conference on the implementation of the One ITU concept inter alia, the activities of regional and area offices.”.</w:t>
            </w:r>
          </w:p>
        </w:tc>
      </w:tr>
      <w:tr w:rsidR="00345CFD" w:rsidRPr="00345CFD" w14:paraId="38524B0D" w14:textId="77777777" w:rsidTr="00345CFD">
        <w:trPr>
          <w:cantSplit/>
        </w:trPr>
        <w:tc>
          <w:tcPr>
            <w:tcW w:w="1417" w:type="dxa"/>
          </w:tcPr>
          <w:p w14:paraId="1F3EE5A9" w14:textId="77777777" w:rsidR="00345CFD" w:rsidRPr="00345CFD" w:rsidRDefault="00345CFD" w:rsidP="00345CFD">
            <w:r w:rsidRPr="00345CFD">
              <w:lastRenderedPageBreak/>
              <w:t>16th Plenary Meeting,</w:t>
            </w:r>
            <w:hyperlink r:id="rId27" w:history="1">
              <w:r w:rsidRPr="00345CFD">
                <w:rPr>
                  <w:color w:val="0000FF"/>
                  <w:u w:val="single"/>
                </w:rPr>
                <w:t xml:space="preserve"> 206</w:t>
              </w:r>
            </w:hyperlink>
          </w:p>
        </w:tc>
        <w:tc>
          <w:tcPr>
            <w:tcW w:w="764" w:type="dxa"/>
          </w:tcPr>
          <w:p w14:paraId="4AFD5577" w14:textId="77777777" w:rsidR="00345CFD" w:rsidRPr="00345CFD" w:rsidRDefault="00345CFD" w:rsidP="00345CFD">
            <w:r w:rsidRPr="00345CFD">
              <w:t>1.8</w:t>
            </w:r>
          </w:p>
        </w:tc>
        <w:tc>
          <w:tcPr>
            <w:tcW w:w="1505" w:type="dxa"/>
          </w:tcPr>
          <w:p w14:paraId="73C4A499" w14:textId="77777777" w:rsidR="00345CFD" w:rsidRPr="00345CFD" w:rsidRDefault="00345CFD" w:rsidP="00345CFD">
            <w:r w:rsidRPr="00345CFD">
              <w:t>WG-PL (</w:t>
            </w:r>
            <w:hyperlink r:id="rId28" w:history="1">
              <w:r w:rsidRPr="00345CFD">
                <w:rPr>
                  <w:color w:val="0000FF"/>
                  <w:u w:val="single"/>
                </w:rPr>
                <w:t>188(Rev.1)</w:t>
              </w:r>
            </w:hyperlink>
            <w:r w:rsidRPr="00345CFD">
              <w:t>), Rec. 1</w:t>
            </w:r>
          </w:p>
        </w:tc>
        <w:tc>
          <w:tcPr>
            <w:tcW w:w="5386" w:type="dxa"/>
          </w:tcPr>
          <w:p w14:paraId="59EB70C6" w14:textId="77777777" w:rsidR="00345CFD" w:rsidRPr="00345CFD" w:rsidRDefault="00345CFD" w:rsidP="00345CFD">
            <w:r w:rsidRPr="00345CFD">
              <w:t>Considering the following regional proposals related to Resolution 205: EUR/44A23/1, ACP/80A20/1, AFCP/83A7/1, and with respect to the multi-country contribution submitted by Viet Nam, Laos, and Papua New Guinea (LAO/PNG/VTN/81/1), WGPL recommends that the Plenipotentiary Conference invites those Members to make relevant contributions to ITU-D Study Group 2 on digital transformation, in the context of the mandates of the relevant Study Questions.</w:t>
            </w:r>
          </w:p>
        </w:tc>
      </w:tr>
      <w:tr w:rsidR="00345CFD" w:rsidRPr="00345CFD" w14:paraId="4AA8BBE7" w14:textId="77777777" w:rsidTr="00345CFD">
        <w:trPr>
          <w:cantSplit/>
        </w:trPr>
        <w:tc>
          <w:tcPr>
            <w:tcW w:w="1417" w:type="dxa"/>
          </w:tcPr>
          <w:p w14:paraId="4815F382" w14:textId="77777777" w:rsidR="00345CFD" w:rsidRPr="00345CFD" w:rsidRDefault="00345CFD" w:rsidP="00345CFD">
            <w:r w:rsidRPr="00345CFD">
              <w:t>16th Plenary Meeting,</w:t>
            </w:r>
            <w:hyperlink r:id="rId29" w:history="1">
              <w:r w:rsidRPr="00345CFD">
                <w:rPr>
                  <w:color w:val="0000FF"/>
                  <w:u w:val="single"/>
                </w:rPr>
                <w:t xml:space="preserve"> 206</w:t>
              </w:r>
            </w:hyperlink>
          </w:p>
        </w:tc>
        <w:tc>
          <w:tcPr>
            <w:tcW w:w="764" w:type="dxa"/>
          </w:tcPr>
          <w:p w14:paraId="0D2BAE80" w14:textId="77777777" w:rsidR="00345CFD" w:rsidRPr="00345CFD" w:rsidRDefault="00345CFD" w:rsidP="00345CFD">
            <w:r w:rsidRPr="00345CFD">
              <w:t>1.8</w:t>
            </w:r>
          </w:p>
        </w:tc>
        <w:tc>
          <w:tcPr>
            <w:tcW w:w="1505" w:type="dxa"/>
          </w:tcPr>
          <w:p w14:paraId="5FD22A08" w14:textId="77777777" w:rsidR="00345CFD" w:rsidRPr="00345CFD" w:rsidRDefault="00345CFD" w:rsidP="00345CFD">
            <w:r w:rsidRPr="00345CFD">
              <w:t>WG-PL (</w:t>
            </w:r>
            <w:hyperlink r:id="rId30" w:history="1">
              <w:r w:rsidRPr="00345CFD">
                <w:rPr>
                  <w:color w:val="0000FF"/>
                  <w:u w:val="single"/>
                </w:rPr>
                <w:t>188(Rev.1)</w:t>
              </w:r>
            </w:hyperlink>
            <w:r w:rsidRPr="00345CFD">
              <w:t>), Rec. 2</w:t>
            </w:r>
          </w:p>
        </w:tc>
        <w:tc>
          <w:tcPr>
            <w:tcW w:w="5386" w:type="dxa"/>
          </w:tcPr>
          <w:p w14:paraId="1CA36454" w14:textId="0AE625DC" w:rsidR="00345CFD" w:rsidRPr="00345CFD" w:rsidRDefault="00345CFD" w:rsidP="00345CFD">
            <w:r w:rsidRPr="00345CFD">
              <w:t xml:space="preserve">RECOMMENDATION 2: </w:t>
            </w:r>
            <w:r w:rsidR="00504992" w:rsidRPr="00345CFD">
              <w:t>Connecting refugee settlements to the Internet</w:t>
            </w:r>
          </w:p>
          <w:p w14:paraId="434CA1D0" w14:textId="77777777" w:rsidR="00345CFD" w:rsidRPr="00345CFD" w:rsidRDefault="00345CFD" w:rsidP="00345CFD">
            <w:r w:rsidRPr="00345CFD">
              <w:t>Instructs the Secretary-General:</w:t>
            </w:r>
            <w:r w:rsidRPr="00345CFD">
              <w:tab/>
            </w:r>
          </w:p>
          <w:p w14:paraId="6DE88459" w14:textId="77777777" w:rsidR="00345CFD" w:rsidRPr="00345CFD" w:rsidRDefault="00345CFD" w:rsidP="00345CFD">
            <w:r w:rsidRPr="00345CFD">
              <w:t>- To continue to cooperate with UNHCR and other relevant bodies/agencies within the United Nations, regarding digital connectivity in support of refugees, taking into account the specific mandates and areas of expertise of the different agencies and within ITU budgetary constraints, as appropriate.</w:t>
            </w:r>
            <w:r w:rsidRPr="00345CFD">
              <w:tab/>
            </w:r>
          </w:p>
          <w:p w14:paraId="0C2A37BB" w14:textId="77777777" w:rsidR="00345CFD" w:rsidRPr="00345CFD" w:rsidRDefault="00345CFD" w:rsidP="00345CFD">
            <w:r w:rsidRPr="00345CFD">
              <w:t>- To report to ITU Council meetings over the next period, and to the next ITU PP conference, on actions taken in this regard.</w:t>
            </w:r>
          </w:p>
        </w:tc>
      </w:tr>
      <w:tr w:rsidR="00345CFD" w:rsidRPr="00345CFD" w14:paraId="038A1173" w14:textId="77777777" w:rsidTr="00345CFD">
        <w:trPr>
          <w:cantSplit/>
        </w:trPr>
        <w:tc>
          <w:tcPr>
            <w:tcW w:w="1417" w:type="dxa"/>
          </w:tcPr>
          <w:p w14:paraId="463D64E2" w14:textId="77777777" w:rsidR="00345CFD" w:rsidRPr="00345CFD" w:rsidRDefault="00345CFD" w:rsidP="00345CFD">
            <w:r w:rsidRPr="00345CFD">
              <w:t>16th Plenary Meeting,</w:t>
            </w:r>
            <w:hyperlink r:id="rId31" w:history="1">
              <w:r w:rsidRPr="00345CFD">
                <w:rPr>
                  <w:color w:val="0000FF"/>
                  <w:u w:val="single"/>
                </w:rPr>
                <w:t xml:space="preserve"> 206</w:t>
              </w:r>
            </w:hyperlink>
          </w:p>
        </w:tc>
        <w:tc>
          <w:tcPr>
            <w:tcW w:w="764" w:type="dxa"/>
          </w:tcPr>
          <w:p w14:paraId="3C541562" w14:textId="77777777" w:rsidR="00345CFD" w:rsidRPr="00345CFD" w:rsidRDefault="00345CFD" w:rsidP="00345CFD">
            <w:r w:rsidRPr="00345CFD">
              <w:t>1.8</w:t>
            </w:r>
          </w:p>
        </w:tc>
        <w:tc>
          <w:tcPr>
            <w:tcW w:w="1505" w:type="dxa"/>
          </w:tcPr>
          <w:p w14:paraId="00C51DEF" w14:textId="77777777" w:rsidR="00345CFD" w:rsidRPr="00345CFD" w:rsidRDefault="00345CFD" w:rsidP="00345CFD">
            <w:r w:rsidRPr="00345CFD">
              <w:t>WG-PL (</w:t>
            </w:r>
            <w:hyperlink r:id="rId32" w:history="1">
              <w:r w:rsidRPr="00345CFD">
                <w:rPr>
                  <w:color w:val="0000FF"/>
                  <w:u w:val="single"/>
                </w:rPr>
                <w:t>188(Rev.1)</w:t>
              </w:r>
            </w:hyperlink>
            <w:r w:rsidRPr="00345CFD">
              <w:t>), Rec. 3</w:t>
            </w:r>
          </w:p>
        </w:tc>
        <w:tc>
          <w:tcPr>
            <w:tcW w:w="5386" w:type="dxa"/>
          </w:tcPr>
          <w:p w14:paraId="2519F852" w14:textId="77777777" w:rsidR="00345CFD" w:rsidRPr="00345CFD" w:rsidRDefault="00345CFD" w:rsidP="00345CFD">
            <w:r w:rsidRPr="00345CFD">
              <w:t>RECOMMENDATION 3: Global Cybersecurity Agenda (GCA)</w:t>
            </w:r>
          </w:p>
          <w:p w14:paraId="705838DB" w14:textId="77777777" w:rsidR="00345CFD" w:rsidRPr="00345CFD" w:rsidRDefault="00345CFD" w:rsidP="00345CFD">
            <w:r w:rsidRPr="00345CFD">
              <w:t>WGPL recommends that the Plenipotentiary conference invites the Council to consider proposals from Member States regarding the GCA, its current use and possible future elaboration.</w:t>
            </w:r>
          </w:p>
        </w:tc>
      </w:tr>
    </w:tbl>
    <w:p w14:paraId="08DEFEAA" w14:textId="189CD545" w:rsidR="00345CFD" w:rsidRPr="00345CFD" w:rsidRDefault="00345CFD" w:rsidP="00345CFD">
      <w:pPr>
        <w:spacing w:before="840"/>
        <w:jc w:val="center"/>
        <w:rPr>
          <w:lang w:val="en-US"/>
        </w:rPr>
      </w:pPr>
      <w:r w:rsidRPr="00345CFD">
        <w:rPr>
          <w:lang w:val="en-US"/>
        </w:rPr>
        <w:t>________________</w:t>
      </w:r>
    </w:p>
    <w:sectPr w:rsidR="00345CFD" w:rsidRPr="00345CFD" w:rsidSect="00AD3606">
      <w:headerReference w:type="even" r:id="rId33"/>
      <w:headerReference w:type="default" r:id="rId34"/>
      <w:footerReference w:type="even" r:id="rId35"/>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p w14:paraId="563D249A" w14:textId="77777777" w:rsidR="00997007" w:rsidRDefault="00997007"/>
  </w:endnote>
  <w:endnote w:type="continuationSeparator" w:id="0">
    <w:p w14:paraId="4A51B857" w14:textId="77777777" w:rsidR="00A54171" w:rsidRDefault="00A54171">
      <w:r>
        <w:continuationSeparator/>
      </w:r>
    </w:p>
    <w:p w14:paraId="759D322D" w14:textId="77777777" w:rsidR="00997007" w:rsidRDefault="00997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5BBB" w14:textId="77777777" w:rsidR="00A41945" w:rsidRDefault="00A41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55F8F75E" w:rsidR="00EE49E8" w:rsidRDefault="00EE49E8" w:rsidP="00EE49E8">
          <w:pPr>
            <w:pStyle w:val="Header"/>
            <w:jc w:val="left"/>
            <w:rPr>
              <w:noProof/>
            </w:rPr>
          </w:pPr>
          <w:r>
            <w:rPr>
              <w:noProof/>
            </w:rPr>
            <w:t xml:space="preserve">DPS </w:t>
          </w:r>
          <w:r w:rsidR="00A41945">
            <w:rPr>
              <w:noProof/>
            </w:rPr>
            <w:t>520376</w:t>
          </w:r>
        </w:p>
      </w:tc>
      <w:tc>
        <w:tcPr>
          <w:tcW w:w="8261" w:type="dxa"/>
        </w:tcPr>
        <w:p w14:paraId="35709C74" w14:textId="2CDC8402" w:rsidR="00EE49E8" w:rsidRPr="00E06FD5" w:rsidRDefault="00EE49E8" w:rsidP="002331A4">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w:t>
          </w:r>
          <w:r w:rsidR="00345CFD">
            <w:rPr>
              <w:bCs/>
            </w:rPr>
            <w:t>3/INF</w:t>
          </w:r>
          <w:r w:rsidRPr="00623AE3">
            <w:rPr>
              <w:bCs/>
            </w:rPr>
            <w:t>/</w:t>
          </w:r>
          <w:r w:rsidR="002331A4">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p w14:paraId="1D7BD5BE" w14:textId="77777777" w:rsidR="00997007" w:rsidRDefault="009970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32392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F357A2A" w:rsidR="00EE49E8" w:rsidRPr="00E06FD5" w:rsidRDefault="00EE49E8" w:rsidP="002331A4">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w:t>
          </w:r>
          <w:r w:rsidR="00345CFD">
            <w:rPr>
              <w:bCs/>
            </w:rPr>
            <w:t>3/INF</w:t>
          </w:r>
          <w:r w:rsidRPr="00623AE3">
            <w:rPr>
              <w:bCs/>
            </w:rPr>
            <w:t>/</w:t>
          </w:r>
          <w:r w:rsidR="002331A4">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p w14:paraId="2417BBFA" w14:textId="77777777" w:rsidR="00997007" w:rsidRDefault="009970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p w14:paraId="67888CB8" w14:textId="77777777" w:rsidR="00997007" w:rsidRDefault="00997007"/>
  </w:footnote>
  <w:footnote w:type="continuationSeparator" w:id="0">
    <w:p w14:paraId="13CCF145" w14:textId="77777777" w:rsidR="00A54171" w:rsidRDefault="00A54171">
      <w:r>
        <w:continuationSeparator/>
      </w:r>
    </w:p>
    <w:p w14:paraId="452211BB" w14:textId="77777777" w:rsidR="00997007" w:rsidRDefault="00997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E0E3" w14:textId="77777777" w:rsidR="00A41945" w:rsidRDefault="00A41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1FBF" w14:textId="77777777" w:rsidR="00A41945" w:rsidRDefault="00A41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2DB"/>
    <w:rsid w:val="00085CF2"/>
    <w:rsid w:val="000B1705"/>
    <w:rsid w:val="000D75B2"/>
    <w:rsid w:val="001121F5"/>
    <w:rsid w:val="001133F7"/>
    <w:rsid w:val="001400DC"/>
    <w:rsid w:val="00140CE1"/>
    <w:rsid w:val="0017539C"/>
    <w:rsid w:val="00175AC2"/>
    <w:rsid w:val="0017609F"/>
    <w:rsid w:val="001A3173"/>
    <w:rsid w:val="001A7D1D"/>
    <w:rsid w:val="001B51DD"/>
    <w:rsid w:val="001C628E"/>
    <w:rsid w:val="001E0F7B"/>
    <w:rsid w:val="002119FD"/>
    <w:rsid w:val="002130E0"/>
    <w:rsid w:val="002331A4"/>
    <w:rsid w:val="00264425"/>
    <w:rsid w:val="00265875"/>
    <w:rsid w:val="0027303B"/>
    <w:rsid w:val="0028109B"/>
    <w:rsid w:val="002A2188"/>
    <w:rsid w:val="002B1F58"/>
    <w:rsid w:val="002C1C7A"/>
    <w:rsid w:val="002C54E2"/>
    <w:rsid w:val="0030160F"/>
    <w:rsid w:val="00320223"/>
    <w:rsid w:val="00322D0D"/>
    <w:rsid w:val="00323920"/>
    <w:rsid w:val="00345CFD"/>
    <w:rsid w:val="00361465"/>
    <w:rsid w:val="003877F5"/>
    <w:rsid w:val="0039100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4992"/>
    <w:rsid w:val="00514A0E"/>
    <w:rsid w:val="005243FF"/>
    <w:rsid w:val="00564FBC"/>
    <w:rsid w:val="005800BC"/>
    <w:rsid w:val="005805DE"/>
    <w:rsid w:val="00582442"/>
    <w:rsid w:val="005F3269"/>
    <w:rsid w:val="00623AE3"/>
    <w:rsid w:val="0064737F"/>
    <w:rsid w:val="006535F1"/>
    <w:rsid w:val="0065557D"/>
    <w:rsid w:val="00660D50"/>
    <w:rsid w:val="00662984"/>
    <w:rsid w:val="006716BB"/>
    <w:rsid w:val="006B1859"/>
    <w:rsid w:val="006B6680"/>
    <w:rsid w:val="006B6DCC"/>
    <w:rsid w:val="006F2F8F"/>
    <w:rsid w:val="00702DEF"/>
    <w:rsid w:val="00706861"/>
    <w:rsid w:val="0075051B"/>
    <w:rsid w:val="00793188"/>
    <w:rsid w:val="00794D34"/>
    <w:rsid w:val="007C1BE2"/>
    <w:rsid w:val="008017D9"/>
    <w:rsid w:val="00813E5E"/>
    <w:rsid w:val="0083581B"/>
    <w:rsid w:val="00863874"/>
    <w:rsid w:val="00864AFF"/>
    <w:rsid w:val="00865925"/>
    <w:rsid w:val="008B4A6A"/>
    <w:rsid w:val="008C7E27"/>
    <w:rsid w:val="008F7448"/>
    <w:rsid w:val="0090147A"/>
    <w:rsid w:val="009173EF"/>
    <w:rsid w:val="00932906"/>
    <w:rsid w:val="00961B0B"/>
    <w:rsid w:val="00997007"/>
    <w:rsid w:val="009B38C3"/>
    <w:rsid w:val="009D6E47"/>
    <w:rsid w:val="009E17BD"/>
    <w:rsid w:val="009E485A"/>
    <w:rsid w:val="00A04CEC"/>
    <w:rsid w:val="00A21384"/>
    <w:rsid w:val="00A27F92"/>
    <w:rsid w:val="00A32257"/>
    <w:rsid w:val="00A36D20"/>
    <w:rsid w:val="00A41945"/>
    <w:rsid w:val="00A514A4"/>
    <w:rsid w:val="00A54171"/>
    <w:rsid w:val="00A55622"/>
    <w:rsid w:val="00A83502"/>
    <w:rsid w:val="00AD15B3"/>
    <w:rsid w:val="00AD3606"/>
    <w:rsid w:val="00AD4A3D"/>
    <w:rsid w:val="00AE25F1"/>
    <w:rsid w:val="00AF6E49"/>
    <w:rsid w:val="00B04A67"/>
    <w:rsid w:val="00B0583C"/>
    <w:rsid w:val="00B40A81"/>
    <w:rsid w:val="00B44910"/>
    <w:rsid w:val="00B72267"/>
    <w:rsid w:val="00B76EB6"/>
    <w:rsid w:val="00B7737B"/>
    <w:rsid w:val="00B824C8"/>
    <w:rsid w:val="00B84B9D"/>
    <w:rsid w:val="00BC251A"/>
    <w:rsid w:val="00BD032B"/>
    <w:rsid w:val="00BE2640"/>
    <w:rsid w:val="00BE349D"/>
    <w:rsid w:val="00BF0C6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2236"/>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39100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PP-C-0206/en" TargetMode="External"/><Relationship Id="rId18" Type="http://schemas.openxmlformats.org/officeDocument/2006/relationships/hyperlink" Target="https://www.itu.int/md/S22-PP-C-0189/en" TargetMode="External"/><Relationship Id="rId26" Type="http://schemas.openxmlformats.org/officeDocument/2006/relationships/hyperlink" Target="https://www.itu.int/md/S22-PP-C-0157/en" TargetMode="External"/><Relationship Id="rId39" Type="http://schemas.openxmlformats.org/officeDocument/2006/relationships/fontTable" Target="fontTable.xml"/><Relationship Id="rId21" Type="http://schemas.openxmlformats.org/officeDocument/2006/relationships/hyperlink" Target="https://www.itu.int/md/S22-PP-C-0206/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22-PP-C-0189/en" TargetMode="External"/><Relationship Id="rId17" Type="http://schemas.openxmlformats.org/officeDocument/2006/relationships/hyperlink" Target="https://www.itu.int/md/S22-PP-C-0206/en" TargetMode="External"/><Relationship Id="rId25" Type="http://schemas.openxmlformats.org/officeDocument/2006/relationships/hyperlink" Target="https://www.itu.int/md/S22-PP-C-0206/e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S22-PP-C-0189/en" TargetMode="External"/><Relationship Id="rId20" Type="http://schemas.openxmlformats.org/officeDocument/2006/relationships/hyperlink" Target="https://www.itu.int/md/S22-PP-C-0157/en" TargetMode="External"/><Relationship Id="rId29" Type="http://schemas.openxmlformats.org/officeDocument/2006/relationships/hyperlink" Target="https://www.itu.int/md/S22-PP-C-02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206/en" TargetMode="External"/><Relationship Id="rId24" Type="http://schemas.openxmlformats.org/officeDocument/2006/relationships/hyperlink" Target="https://www.itu.int/md/S22-PP-C-0157/en" TargetMode="External"/><Relationship Id="rId32" Type="http://schemas.openxmlformats.org/officeDocument/2006/relationships/hyperlink" Target="https://www.itu.int/md/S22-PP-C-0188/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PP-C-0206/en" TargetMode="External"/><Relationship Id="rId23" Type="http://schemas.openxmlformats.org/officeDocument/2006/relationships/hyperlink" Target="https://www.itu.int/md/S22-PP-C-0206/en" TargetMode="External"/><Relationship Id="rId28" Type="http://schemas.openxmlformats.org/officeDocument/2006/relationships/hyperlink" Target="https://www.itu.int/md/S22-PP-C-0188/en" TargetMode="External"/><Relationship Id="rId36" Type="http://schemas.openxmlformats.org/officeDocument/2006/relationships/footer" Target="footer2.xml"/><Relationship Id="rId10" Type="http://schemas.openxmlformats.org/officeDocument/2006/relationships/hyperlink" Target="https://www.itu.int/md/S22-PP-C-0189/en" TargetMode="External"/><Relationship Id="rId19" Type="http://schemas.openxmlformats.org/officeDocument/2006/relationships/hyperlink" Target="https://www.itu.int/md/S22-PP-C-0206/en" TargetMode="External"/><Relationship Id="rId31" Type="http://schemas.openxmlformats.org/officeDocument/2006/relationships/hyperlink" Target="https://www.itu.int/md/S22-PP-C-0206/en" TargetMode="External"/><Relationship Id="rId4" Type="http://schemas.openxmlformats.org/officeDocument/2006/relationships/settings" Target="settings.xml"/><Relationship Id="rId9" Type="http://schemas.openxmlformats.org/officeDocument/2006/relationships/hyperlink" Target="https://www.itu.int/md/S22-PP-C-0206/en" TargetMode="External"/><Relationship Id="rId14" Type="http://schemas.openxmlformats.org/officeDocument/2006/relationships/hyperlink" Target="https://www.itu.int/md/S22-PP-C-0189/en" TargetMode="External"/><Relationship Id="rId22" Type="http://schemas.openxmlformats.org/officeDocument/2006/relationships/hyperlink" Target="https://www.itu.int/md/S22-PP-C-0157/en" TargetMode="External"/><Relationship Id="rId27" Type="http://schemas.openxmlformats.org/officeDocument/2006/relationships/hyperlink" Target="https://www.itu.int/md/S22-PP-C-0206/en" TargetMode="External"/><Relationship Id="rId30" Type="http://schemas.openxmlformats.org/officeDocument/2006/relationships/hyperlink" Target="https://www.itu.int/md/S22-PP-C-0188/en" TargetMode="External"/><Relationship Id="rId35" Type="http://schemas.openxmlformats.org/officeDocument/2006/relationships/footer" Target="footer1.xml"/><Relationship Id="rId8" Type="http://schemas.openxmlformats.org/officeDocument/2006/relationships/hyperlink" Target="https://www.itu.int/md/S21-CL-C-0058/en"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1110</Words>
  <Characters>7771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COMPILATION OF DECISIONS CAPTURED IN PP-22 SUMMARY RECORDS</vt:lpstr>
    </vt:vector>
  </TitlesOfParts>
  <Manager>General Secretariat - Pool</Manager>
  <Company>International Telecommunication Union (ITU)</Company>
  <LinksUpToDate>false</LinksUpToDate>
  <CharactersWithSpaces>8864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DECISIONS CAPTURED IN PP-22 SUMMARY RECORDS</dc:title>
  <dc:subject>Council 2023</dc:subject>
  <dc:creator>Pluchon, Beatrice</dc:creator>
  <cp:keywords>C2023, C23, Council-23</cp:keywords>
  <dc:description/>
  <cp:lastModifiedBy>Xue, Kun</cp:lastModifiedBy>
  <cp:revision>4</cp:revision>
  <cp:lastPrinted>2000-07-18T13:30:00Z</cp:lastPrinted>
  <dcterms:created xsi:type="dcterms:W3CDTF">2023-05-18T12:48:00Z</dcterms:created>
  <dcterms:modified xsi:type="dcterms:W3CDTF">2023-05-25T09:30:00Z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