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57C93" w14:paraId="79B4EC58" w14:textId="77777777" w:rsidTr="00C2346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5A4C63" w14:textId="0D317210" w:rsidR="00796BD3" w:rsidRPr="00457C9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6313B19" w14:textId="394E5B20" w:rsidR="00796BD3" w:rsidRPr="00457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57C93">
              <w:rPr>
                <w:b/>
                <w:lang w:val="ru-RU"/>
              </w:rPr>
              <w:t xml:space="preserve">Документ </w:t>
            </w:r>
            <w:r w:rsidR="00796BD3" w:rsidRPr="00457C93">
              <w:rPr>
                <w:b/>
                <w:lang w:val="ru-RU"/>
              </w:rPr>
              <w:t>C23/</w:t>
            </w:r>
            <w:r w:rsidR="00E269F2" w:rsidRPr="00457C93">
              <w:rPr>
                <w:b/>
                <w:lang w:val="ru-RU"/>
              </w:rPr>
              <w:t>1</w:t>
            </w:r>
            <w:r w:rsidR="005262BC" w:rsidRPr="00457C93">
              <w:rPr>
                <w:b/>
                <w:lang w:val="ru-RU"/>
              </w:rPr>
              <w:t>3</w:t>
            </w:r>
            <w:r w:rsidR="00A95E29" w:rsidRPr="00457C93">
              <w:rPr>
                <w:b/>
                <w:lang w:val="ru-RU"/>
              </w:rPr>
              <w:t>0</w:t>
            </w:r>
            <w:r w:rsidR="00796BD3" w:rsidRPr="00457C93">
              <w:rPr>
                <w:b/>
                <w:lang w:val="ru-RU"/>
              </w:rPr>
              <w:t>-R</w:t>
            </w:r>
          </w:p>
        </w:tc>
      </w:tr>
      <w:tr w:rsidR="00796BD3" w:rsidRPr="00457C93" w14:paraId="7EBD3854" w14:textId="77777777" w:rsidTr="00C23463">
        <w:trPr>
          <w:cantSplit/>
        </w:trPr>
        <w:tc>
          <w:tcPr>
            <w:tcW w:w="3969" w:type="dxa"/>
            <w:vMerge/>
          </w:tcPr>
          <w:p w14:paraId="2CDBEA00" w14:textId="77777777" w:rsidR="00796BD3" w:rsidRPr="00457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ACC98F" w14:textId="61B0CF91" w:rsidR="00796BD3" w:rsidRPr="00457C93" w:rsidRDefault="00BB3B7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F736C">
              <w:rPr>
                <w:rFonts w:cstheme="minorHAnsi"/>
                <w:b/>
                <w:bCs/>
                <w:szCs w:val="28"/>
                <w:lang w:val="ru-RU"/>
              </w:rPr>
              <w:t>2 октября 202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Pr="003F736C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796BD3" w:rsidRPr="00457C93" w14:paraId="71FCE40F" w14:textId="77777777" w:rsidTr="00C23463">
        <w:trPr>
          <w:cantSplit/>
          <w:trHeight w:val="23"/>
        </w:trPr>
        <w:tc>
          <w:tcPr>
            <w:tcW w:w="3969" w:type="dxa"/>
            <w:vMerge/>
          </w:tcPr>
          <w:p w14:paraId="3C26F65C" w14:textId="77777777" w:rsidR="00796BD3" w:rsidRPr="00457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C60D66" w14:textId="77777777" w:rsidR="00796BD3" w:rsidRPr="00457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57C9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457C93" w14:paraId="7D28750B" w14:textId="77777777" w:rsidTr="00C23463">
        <w:trPr>
          <w:cantSplit/>
          <w:trHeight w:val="23"/>
        </w:trPr>
        <w:tc>
          <w:tcPr>
            <w:tcW w:w="3969" w:type="dxa"/>
          </w:tcPr>
          <w:p w14:paraId="0DC603C5" w14:textId="77777777" w:rsidR="00796BD3" w:rsidRPr="00457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08B5AD6" w14:textId="77777777" w:rsidR="00796BD3" w:rsidRPr="00457C9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57C93" w14:paraId="076C8CA2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41F14C5" w14:textId="01CF8A01" w:rsidR="00796BD3" w:rsidRPr="00457C93" w:rsidRDefault="00A01260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57C93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457C93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457C93" w14:paraId="5DBEE2C4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5BC5C4" w14:textId="298F60A3" w:rsidR="00796BD3" w:rsidRPr="00457C93" w:rsidRDefault="00A95E29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57C93">
              <w:rPr>
                <w:rFonts w:cstheme="minorHAnsi"/>
                <w:sz w:val="32"/>
                <w:szCs w:val="32"/>
                <w:lang w:val="ru-RU"/>
              </w:rPr>
              <w:t>РЕЗОЛЮЦИИ И РЕШЕНИЯ</w:t>
            </w:r>
          </w:p>
        </w:tc>
      </w:tr>
      <w:bookmarkEnd w:id="2"/>
      <w:bookmarkEnd w:id="6"/>
    </w:tbl>
    <w:p w14:paraId="20751D2A" w14:textId="77777777" w:rsidR="00796BD3" w:rsidRPr="00457C93" w:rsidRDefault="00796BD3" w:rsidP="00796BD3">
      <w:pPr>
        <w:rPr>
          <w:lang w:val="ru-RU"/>
        </w:rPr>
      </w:pPr>
    </w:p>
    <w:p w14:paraId="03081711" w14:textId="648D1CE7" w:rsidR="00A95E29" w:rsidRPr="00457C93" w:rsidRDefault="00A95E29" w:rsidP="00ED4C3E">
      <w:pPr>
        <w:pStyle w:val="Normalaftertitle"/>
        <w:spacing w:before="840" w:after="240"/>
        <w:rPr>
          <w:lang w:val="ru-RU"/>
        </w:rPr>
      </w:pPr>
      <w:r w:rsidRPr="00457C93">
        <w:rPr>
          <w:lang w:val="ru-RU"/>
        </w:rPr>
        <w:t>Совет МСЭ на своей сессии 2023 года, состоявшейся с 11 по 21 июля 2023 года, принял следующие Резолюции и Решения: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554"/>
      </w:tblGrid>
      <w:tr w:rsidR="00A95E29" w:rsidRPr="00457C93" w14:paraId="5A423925" w14:textId="77777777" w:rsidTr="00ED4C3E">
        <w:tc>
          <w:tcPr>
            <w:tcW w:w="7512" w:type="dxa"/>
            <w:tcBorders>
              <w:bottom w:val="single" w:sz="4" w:space="0" w:color="auto"/>
            </w:tcBorders>
            <w:shd w:val="clear" w:color="auto" w:fill="D9D9D9"/>
          </w:tcPr>
          <w:p w14:paraId="6869896A" w14:textId="77777777" w:rsidR="00A95E29" w:rsidRPr="00457C93" w:rsidRDefault="00A95E29" w:rsidP="00523C1C">
            <w:pPr>
              <w:pStyle w:val="Tablehead"/>
              <w:rPr>
                <w:lang w:val="ru-RU"/>
              </w:rPr>
            </w:pPr>
            <w:r w:rsidRPr="00457C93">
              <w:rPr>
                <w:lang w:val="ru-RU"/>
              </w:rPr>
              <w:t>Резолюции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3C9A817" w14:textId="5B98EDA3" w:rsidR="00A95E29" w:rsidRPr="00457C93" w:rsidRDefault="00A95E29" w:rsidP="00523C1C">
            <w:pPr>
              <w:pStyle w:val="Tablehead"/>
              <w:rPr>
                <w:lang w:val="ru-RU"/>
              </w:rPr>
            </w:pPr>
            <w:r w:rsidRPr="00457C93">
              <w:rPr>
                <w:lang w:val="ru-RU"/>
              </w:rPr>
              <w:t>C23/№</w:t>
            </w:r>
          </w:p>
        </w:tc>
      </w:tr>
      <w:tr w:rsidR="00A95E29" w:rsidRPr="00457C93" w14:paraId="01D8D762" w14:textId="77777777" w:rsidTr="00ED4C3E">
        <w:tc>
          <w:tcPr>
            <w:tcW w:w="7512" w:type="dxa"/>
            <w:shd w:val="clear" w:color="auto" w:fill="auto"/>
          </w:tcPr>
          <w:p w14:paraId="39972286" w14:textId="720F04F8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>Резолюция</w:t>
            </w:r>
            <w:r w:rsidR="00A95E29" w:rsidRPr="00457C93">
              <w:rPr>
                <w:lang w:val="ru-RU"/>
              </w:rPr>
              <w:t xml:space="preserve"> </w:t>
            </w:r>
            <w:r w:rsidR="00A95E29" w:rsidRPr="00457C93">
              <w:rPr>
                <w:b/>
                <w:bCs/>
                <w:lang w:val="ru-RU"/>
              </w:rPr>
              <w:t>1415</w:t>
            </w:r>
            <w:r w:rsidR="00A95E29" w:rsidRPr="00457C93">
              <w:rPr>
                <w:lang w:val="ru-RU"/>
              </w:rPr>
              <w:tab/>
            </w:r>
            <w:r w:rsidR="00ED4C3E" w:rsidRPr="00457C93">
              <w:rPr>
                <w:lang w:val="ru-RU"/>
              </w:rPr>
              <w:t>Оперативный план Союза на 2024–2027 годы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76143F99" w14:textId="6E4650F2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7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C23/113</w:t>
              </w:r>
            </w:hyperlink>
          </w:p>
        </w:tc>
      </w:tr>
      <w:tr w:rsidR="00A95E29" w:rsidRPr="00457C93" w14:paraId="54B36A56" w14:textId="77777777" w:rsidTr="00ED4C3E"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76CB7562" w14:textId="06992CE5" w:rsidR="00A95E29" w:rsidRPr="00457C93" w:rsidRDefault="007626A1" w:rsidP="00ED4C3E">
            <w:pPr>
              <w:pStyle w:val="Tabletext"/>
              <w:tabs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1416</w:t>
            </w:r>
            <w:r w:rsidR="00ED4C3E" w:rsidRPr="00457C93">
              <w:rPr>
                <w:b/>
                <w:bCs/>
                <w:lang w:val="ru-RU"/>
              </w:rPr>
              <w:tab/>
            </w:r>
            <w:r w:rsidR="00A95E29" w:rsidRPr="00457C93">
              <w:rPr>
                <w:lang w:val="ru-RU"/>
              </w:rPr>
              <w:tab/>
            </w:r>
            <w:r w:rsidR="00ED4C3E" w:rsidRPr="00457C93">
              <w:rPr>
                <w:lang w:val="ru-RU"/>
              </w:rPr>
              <w:t>Всемирный день электросвязи и информационного общества 2024 и 2025 годов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25F0" w14:textId="78B5E744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8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C23/114</w:t>
              </w:r>
            </w:hyperlink>
          </w:p>
        </w:tc>
      </w:tr>
      <w:tr w:rsidR="00A95E29" w:rsidRPr="00457C93" w14:paraId="25AEF4B8" w14:textId="77777777" w:rsidTr="00ED4C3E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52B7" w14:textId="6839DE56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1417</w:t>
            </w:r>
            <w:r w:rsidR="00A95E29" w:rsidRPr="00457C93">
              <w:rPr>
                <w:lang w:val="ru-RU"/>
              </w:rPr>
              <w:tab/>
            </w:r>
            <w:r w:rsidR="00ED4C3E" w:rsidRPr="00457C93">
              <w:rPr>
                <w:lang w:val="ru-RU"/>
              </w:rPr>
              <w:t>Двухгодичный бюджет Союза на 2024–2025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8F86B" w14:textId="4D059D07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9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C23/115</w:t>
              </w:r>
            </w:hyperlink>
          </w:p>
        </w:tc>
      </w:tr>
      <w:tr w:rsidR="00A95E29" w:rsidRPr="00457C93" w14:paraId="29103D5E" w14:textId="77777777" w:rsidTr="00ED4C3E">
        <w:tc>
          <w:tcPr>
            <w:tcW w:w="7512" w:type="dxa"/>
            <w:shd w:val="clear" w:color="auto" w:fill="auto"/>
          </w:tcPr>
          <w:p w14:paraId="43EF0B23" w14:textId="5218BEDE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1418</w:t>
            </w:r>
            <w:r w:rsidR="00A95E29" w:rsidRPr="00457C93">
              <w:rPr>
                <w:lang w:val="ru-RU"/>
              </w:rPr>
              <w:tab/>
            </w:r>
            <w:r w:rsidR="00ED4C3E" w:rsidRPr="00457C93">
              <w:rPr>
                <w:lang w:val="ru-RU"/>
              </w:rPr>
              <w:t>Фонд развития информационно-коммуникационных технологий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448B24D1" w14:textId="41EAC546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lang w:val="ru-RU"/>
              </w:rPr>
            </w:pPr>
            <w:hyperlink r:id="rId10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C23/116</w:t>
              </w:r>
            </w:hyperlink>
          </w:p>
        </w:tc>
      </w:tr>
      <w:tr w:rsidR="00A95E29" w:rsidRPr="00457C93" w14:paraId="24AB269B" w14:textId="77777777" w:rsidTr="00ED4C3E">
        <w:tc>
          <w:tcPr>
            <w:tcW w:w="7512" w:type="dxa"/>
            <w:shd w:val="clear" w:color="auto" w:fill="auto"/>
          </w:tcPr>
          <w:p w14:paraId="4416C302" w14:textId="44607FD7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1419</w:t>
            </w:r>
            <w:r w:rsidR="00A95E29" w:rsidRPr="00457C93">
              <w:rPr>
                <w:lang w:val="ru-RU"/>
              </w:rPr>
              <w:tab/>
            </w:r>
            <w:r w:rsidR="00ED4C3E" w:rsidRPr="00457C93">
              <w:rPr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3844061C" w14:textId="669ED649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1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C23/117</w:t>
              </w:r>
            </w:hyperlink>
          </w:p>
        </w:tc>
      </w:tr>
      <w:tr w:rsidR="00A95E29" w:rsidRPr="00457C93" w14:paraId="2A519404" w14:textId="77777777" w:rsidTr="00ED4C3E">
        <w:tc>
          <w:tcPr>
            <w:tcW w:w="7512" w:type="dxa"/>
            <w:shd w:val="clear" w:color="auto" w:fill="auto"/>
          </w:tcPr>
          <w:p w14:paraId="6F0F1803" w14:textId="56CF6E4B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1420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Поправки к статуту Комиссии по международной гражданской службе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31191544" w14:textId="7C8B9649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2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C23/118</w:t>
              </w:r>
            </w:hyperlink>
          </w:p>
        </w:tc>
      </w:tr>
    </w:tbl>
    <w:p w14:paraId="348A50F4" w14:textId="77777777" w:rsidR="00A95E29" w:rsidRPr="00457C93" w:rsidRDefault="00A95E29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554"/>
      </w:tblGrid>
      <w:tr w:rsidR="00A95E29" w:rsidRPr="00457C93" w14:paraId="100EA1AC" w14:textId="77777777" w:rsidTr="00ED4C3E">
        <w:tc>
          <w:tcPr>
            <w:tcW w:w="7512" w:type="dxa"/>
            <w:tcBorders>
              <w:bottom w:val="single" w:sz="4" w:space="0" w:color="auto"/>
            </w:tcBorders>
            <w:shd w:val="clear" w:color="auto" w:fill="D9D9D9"/>
          </w:tcPr>
          <w:p w14:paraId="0D674E38" w14:textId="6B68AF8D" w:rsidR="00A95E29" w:rsidRPr="00457C93" w:rsidRDefault="00A95E29" w:rsidP="00523C1C">
            <w:pPr>
              <w:pStyle w:val="Tablehead"/>
              <w:rPr>
                <w:lang w:val="ru-RU"/>
              </w:rPr>
            </w:pPr>
            <w:r w:rsidRPr="00457C93">
              <w:rPr>
                <w:lang w:val="ru-RU"/>
              </w:rPr>
              <w:t>Измененные Резолюции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F306E91" w14:textId="77777777" w:rsidR="00A95E29" w:rsidRPr="00457C93" w:rsidRDefault="00A95E29" w:rsidP="00523C1C">
            <w:pPr>
              <w:pStyle w:val="Tablehead"/>
              <w:rPr>
                <w:lang w:val="ru-RU"/>
              </w:rPr>
            </w:pPr>
            <w:r w:rsidRPr="00457C93">
              <w:rPr>
                <w:lang w:val="ru-RU"/>
              </w:rPr>
              <w:t>C23/№</w:t>
            </w:r>
          </w:p>
        </w:tc>
      </w:tr>
      <w:tr w:rsidR="00A95E29" w:rsidRPr="00457C93" w14:paraId="5895DED5" w14:textId="77777777" w:rsidTr="00ED4C3E">
        <w:tc>
          <w:tcPr>
            <w:tcW w:w="7512" w:type="dxa"/>
            <w:shd w:val="clear" w:color="auto" w:fill="auto"/>
          </w:tcPr>
          <w:p w14:paraId="1C5CF3AA" w14:textId="1A7A64CA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1332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Роль МСЭ в выполнении решений ВВУИО и Повестки дня в области устойчивого развития на период до 2030 года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34FC92BB" w14:textId="79D79450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3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C23/119</w:t>
              </w:r>
            </w:hyperlink>
          </w:p>
        </w:tc>
      </w:tr>
      <w:tr w:rsidR="00A95E29" w:rsidRPr="00457C93" w14:paraId="4469BEDD" w14:textId="77777777" w:rsidTr="00ED4C3E"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0892757D" w14:textId="3B2A5193" w:rsidR="00A95E29" w:rsidRPr="00457C93" w:rsidRDefault="007626A1" w:rsidP="009C3A2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1334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Роль МСЭ в общем обзоре выполнения решений Всемирной встречи на высшем уровне по вопросам информационного общества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1E34C" w14:textId="64EA3A59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4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C23/120</w:t>
              </w:r>
            </w:hyperlink>
          </w:p>
        </w:tc>
      </w:tr>
      <w:tr w:rsidR="00A95E29" w:rsidRPr="00457C93" w14:paraId="06FCF9D1" w14:textId="77777777" w:rsidTr="00ED4C3E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FFA0" w14:textId="24FAD2C6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1379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A60B6" w14:textId="486461A5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5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C23/121</w:t>
              </w:r>
            </w:hyperlink>
          </w:p>
        </w:tc>
      </w:tr>
      <w:tr w:rsidR="00A95E29" w:rsidRPr="00457C93" w14:paraId="0592F2C3" w14:textId="77777777" w:rsidTr="00ED4C3E">
        <w:tc>
          <w:tcPr>
            <w:tcW w:w="7512" w:type="dxa"/>
            <w:shd w:val="clear" w:color="auto" w:fill="auto"/>
          </w:tcPr>
          <w:p w14:paraId="32087648" w14:textId="494EA4EF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Резолюция </w:t>
            </w:r>
            <w:r w:rsidR="00A95E29" w:rsidRPr="00457C93">
              <w:rPr>
                <w:b/>
                <w:bCs/>
                <w:lang w:val="ru-RU"/>
              </w:rPr>
              <w:t>1408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Помощь и поддержка Украине в восстановлении ее отрасли электросвязи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</w:tcPr>
          <w:p w14:paraId="09AE7A35" w14:textId="5B8C4BC9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6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C23/122</w:t>
              </w:r>
            </w:hyperlink>
          </w:p>
        </w:tc>
      </w:tr>
    </w:tbl>
    <w:p w14:paraId="07BE25EC" w14:textId="77777777" w:rsidR="00A95E29" w:rsidRPr="00457C93" w:rsidRDefault="00A95E29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8"/>
      </w:tblGrid>
      <w:tr w:rsidR="00A95E29" w:rsidRPr="00457C93" w14:paraId="14F10853" w14:textId="77777777" w:rsidTr="00ED4C3E">
        <w:tc>
          <w:tcPr>
            <w:tcW w:w="75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E1E51" w14:textId="23F919BD" w:rsidR="00A95E29" w:rsidRPr="00457C93" w:rsidRDefault="00A95E29" w:rsidP="007626A1">
            <w:pPr>
              <w:pStyle w:val="Tablehead"/>
              <w:pageBreakBefore/>
              <w:rPr>
                <w:bCs/>
                <w:lang w:val="ru-RU"/>
              </w:rPr>
            </w:pPr>
            <w:r w:rsidRPr="00457C93">
              <w:rPr>
                <w:bCs/>
                <w:lang w:val="ru-RU"/>
              </w:rPr>
              <w:lastRenderedPageBreak/>
              <w:t>Решения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AFDC812" w14:textId="40C8DB22" w:rsidR="00A95E29" w:rsidRPr="00457C93" w:rsidRDefault="00A95E29" w:rsidP="00523C1C">
            <w:pPr>
              <w:pStyle w:val="Tablehead"/>
              <w:rPr>
                <w:bCs/>
                <w:lang w:val="ru-RU"/>
              </w:rPr>
            </w:pPr>
            <w:r w:rsidRPr="00457C93">
              <w:rPr>
                <w:bCs/>
                <w:lang w:val="ru-RU"/>
              </w:rPr>
              <w:t>C23/№</w:t>
            </w:r>
          </w:p>
        </w:tc>
      </w:tr>
      <w:tr w:rsidR="00A95E29" w:rsidRPr="00457C93" w14:paraId="5479D258" w14:textId="77777777" w:rsidTr="00ED4C3E">
        <w:tc>
          <w:tcPr>
            <w:tcW w:w="7508" w:type="dxa"/>
            <w:shd w:val="clear" w:color="auto" w:fill="auto"/>
          </w:tcPr>
          <w:p w14:paraId="7DD90AF3" w14:textId="18B99649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>Решение</w:t>
            </w:r>
            <w:r w:rsidR="00A95E29" w:rsidRPr="00457C93">
              <w:rPr>
                <w:lang w:val="ru-RU"/>
              </w:rPr>
              <w:t xml:space="preserve"> </w:t>
            </w:r>
            <w:r w:rsidR="00A95E29" w:rsidRPr="00457C93">
              <w:rPr>
                <w:b/>
                <w:bCs/>
                <w:lang w:val="ru-RU"/>
              </w:rPr>
              <w:t>629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Созыв Всемирной ассамблеи по стандартизации электросвязи 2024 года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0A861254" w14:textId="145D870D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7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C23/123</w:t>
              </w:r>
            </w:hyperlink>
          </w:p>
        </w:tc>
      </w:tr>
      <w:tr w:rsidR="00A95E29" w:rsidRPr="00457C93" w14:paraId="03F7EB1B" w14:textId="77777777" w:rsidTr="00ED4C3E">
        <w:tc>
          <w:tcPr>
            <w:tcW w:w="7508" w:type="dxa"/>
            <w:shd w:val="clear" w:color="auto" w:fill="auto"/>
          </w:tcPr>
          <w:p w14:paraId="60874BCA" w14:textId="792CA4E9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630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Информационный ресурс для помощи Государствам-Членам в создании их потенциала кибербезопасности и киберустойчивости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1736BB6" w14:textId="6163A955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8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C23/124</w:t>
              </w:r>
            </w:hyperlink>
          </w:p>
        </w:tc>
      </w:tr>
      <w:tr w:rsidR="00A95E29" w:rsidRPr="00457C93" w14:paraId="5F2498A7" w14:textId="77777777" w:rsidTr="00ED4C3E">
        <w:tc>
          <w:tcPr>
            <w:tcW w:w="7508" w:type="dxa"/>
            <w:shd w:val="clear" w:color="auto" w:fill="auto"/>
          </w:tcPr>
          <w:p w14:paraId="590310F2" w14:textId="6C326D2A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631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Решение о выполнении Резолюции 70 "Учет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</w:t>
            </w:r>
            <w:r w:rsidR="009C3A21" w:rsidRPr="00457C93">
              <w:rPr>
                <w:lang w:val="ru-RU"/>
              </w:rPr>
              <w:br/>
            </w:r>
            <w:r w:rsidR="0025007C" w:rsidRPr="00457C93">
              <w:rPr>
                <w:lang w:val="ru-RU"/>
              </w:rPr>
              <w:t>информационно-коммуникационных технологий"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65ADFF36" w14:textId="64A23226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19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C23/125</w:t>
              </w:r>
            </w:hyperlink>
          </w:p>
        </w:tc>
      </w:tr>
      <w:tr w:rsidR="00A95E29" w:rsidRPr="00457C93" w14:paraId="68E10AB5" w14:textId="77777777" w:rsidTr="00ED4C3E">
        <w:tc>
          <w:tcPr>
            <w:tcW w:w="7508" w:type="dxa"/>
            <w:shd w:val="clear" w:color="auto" w:fill="auto"/>
          </w:tcPr>
          <w:p w14:paraId="3E5DE4D0" w14:textId="6021541A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632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Группа экспертов по Решению 482 (ГЭ-РЕШ482)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331FDFFF" w14:textId="3D6AC022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0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C23/126</w:t>
              </w:r>
            </w:hyperlink>
          </w:p>
        </w:tc>
      </w:tr>
      <w:tr w:rsidR="00A95E29" w:rsidRPr="00457C93" w14:paraId="6038010B" w14:textId="77777777" w:rsidTr="00ED4C3E">
        <w:tc>
          <w:tcPr>
            <w:tcW w:w="7508" w:type="dxa"/>
            <w:shd w:val="clear" w:color="auto" w:fill="auto"/>
          </w:tcPr>
          <w:p w14:paraId="7D774541" w14:textId="30B1AFC8" w:rsidR="00A95E29" w:rsidRPr="00457C93" w:rsidRDefault="007626A1" w:rsidP="0025007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633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Назначение членов Независимого консультативного комитета по управлению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63A8DD20" w14:textId="4359BA82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1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C23/127</w:t>
              </w:r>
            </w:hyperlink>
          </w:p>
        </w:tc>
      </w:tr>
      <w:tr w:rsidR="00A95E29" w:rsidRPr="00457C93" w14:paraId="7335EDF8" w14:textId="77777777" w:rsidTr="00ED4C3E">
        <w:tc>
          <w:tcPr>
            <w:tcW w:w="7508" w:type="dxa"/>
            <w:shd w:val="clear" w:color="auto" w:fill="auto"/>
          </w:tcPr>
          <w:p w14:paraId="3B948E36" w14:textId="5BCBD90E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634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4D20825C" w14:textId="6454E51E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2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C23/128</w:t>
              </w:r>
            </w:hyperlink>
          </w:p>
        </w:tc>
      </w:tr>
    </w:tbl>
    <w:p w14:paraId="74D0738C" w14:textId="77777777" w:rsidR="00A95E29" w:rsidRPr="00457C93" w:rsidRDefault="00A95E29" w:rsidP="00A95E29">
      <w:pPr>
        <w:rPr>
          <w:lang w:val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8"/>
      </w:tblGrid>
      <w:tr w:rsidR="00A95E29" w:rsidRPr="00457C93" w14:paraId="3588F080" w14:textId="77777777" w:rsidTr="00ED4C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BA12B" w14:textId="26E5F05C" w:rsidR="00A95E29" w:rsidRPr="00457C93" w:rsidRDefault="007626A1" w:rsidP="00A95E29">
            <w:pPr>
              <w:pStyle w:val="Tablehead"/>
              <w:rPr>
                <w:bCs/>
                <w:lang w:val="ru-RU"/>
              </w:rPr>
            </w:pPr>
            <w:r w:rsidRPr="00457C93">
              <w:rPr>
                <w:bCs/>
                <w:lang w:val="ru-RU"/>
              </w:rPr>
              <w:t>Измененное Решение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F2B14E" w14:textId="1FCBD098" w:rsidR="00A95E29" w:rsidRPr="00457C93" w:rsidRDefault="00A95E29" w:rsidP="00A95E29">
            <w:pPr>
              <w:pStyle w:val="Tablehead"/>
              <w:rPr>
                <w:bCs/>
                <w:lang w:val="ru-RU"/>
              </w:rPr>
            </w:pPr>
            <w:r w:rsidRPr="00457C93">
              <w:rPr>
                <w:bCs/>
                <w:lang w:val="ru-RU"/>
              </w:rPr>
              <w:t>C23/№</w:t>
            </w:r>
          </w:p>
        </w:tc>
      </w:tr>
      <w:tr w:rsidR="00A95E29" w:rsidRPr="00457C93" w14:paraId="0913E5E9" w14:textId="77777777" w:rsidTr="00ED4C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F61" w14:textId="41F34123" w:rsidR="00A95E29" w:rsidRPr="00457C93" w:rsidRDefault="007626A1" w:rsidP="00ED4C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1865" w:hanging="1865"/>
              <w:rPr>
                <w:lang w:val="ru-RU"/>
              </w:rPr>
            </w:pPr>
            <w:bookmarkStart w:id="7" w:name="_Hlk144737562"/>
            <w:r w:rsidRPr="00457C93">
              <w:rPr>
                <w:lang w:val="ru-RU"/>
              </w:rPr>
              <w:t xml:space="preserve">Решение </w:t>
            </w:r>
            <w:r w:rsidR="00A95E29" w:rsidRPr="00457C93">
              <w:rPr>
                <w:b/>
                <w:bCs/>
                <w:lang w:val="ru-RU"/>
              </w:rPr>
              <w:t>563</w:t>
            </w:r>
            <w:r w:rsidR="00A95E29" w:rsidRPr="00457C93">
              <w:rPr>
                <w:lang w:val="ru-RU"/>
              </w:rPr>
              <w:tab/>
            </w:r>
            <w:r w:rsidR="0025007C" w:rsidRPr="00457C93">
              <w:rPr>
                <w:lang w:val="ru-RU"/>
              </w:rPr>
              <w:t>Рабочая группа Совета по финансовым и людским ресурсам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F671E" w14:textId="77777777" w:rsidR="00A95E29" w:rsidRPr="00457C93" w:rsidRDefault="002F0A3F" w:rsidP="007626A1">
            <w:pPr>
              <w:spacing w:before="40" w:after="40"/>
              <w:jc w:val="center"/>
              <w:rPr>
                <w:rStyle w:val="Hyperlink"/>
                <w:b/>
                <w:bCs/>
                <w:sz w:val="20"/>
                <w:lang w:val="ru-RU"/>
              </w:rPr>
            </w:pPr>
            <w:hyperlink r:id="rId23" w:history="1">
              <w:r w:rsidR="00A95E29" w:rsidRPr="00457C93">
                <w:rPr>
                  <w:rStyle w:val="Hyperlink"/>
                  <w:b/>
                  <w:bCs/>
                  <w:sz w:val="20"/>
                  <w:lang w:val="ru-RU"/>
                </w:rPr>
                <w:t>C23/129</w:t>
              </w:r>
            </w:hyperlink>
          </w:p>
        </w:tc>
      </w:tr>
    </w:tbl>
    <w:bookmarkEnd w:id="7"/>
    <w:p w14:paraId="3CE4DBAF" w14:textId="77777777" w:rsidR="0046139D" w:rsidRPr="00457C93" w:rsidRDefault="0046139D" w:rsidP="0046139D">
      <w:pPr>
        <w:spacing w:before="720"/>
        <w:jc w:val="center"/>
        <w:rPr>
          <w:lang w:val="ru-RU"/>
        </w:rPr>
      </w:pPr>
      <w:r w:rsidRPr="00457C93">
        <w:rPr>
          <w:lang w:val="ru-RU"/>
        </w:rPr>
        <w:t>______________</w:t>
      </w:r>
    </w:p>
    <w:sectPr w:rsidR="0046139D" w:rsidRPr="00457C93" w:rsidSect="00796BD3">
      <w:footerReference w:type="default" r:id="rId24"/>
      <w:headerReference w:type="first" r:id="rId25"/>
      <w:footerReference w:type="first" r:id="rId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3A6A" w14:textId="77777777" w:rsidR="00A01260" w:rsidRDefault="00A01260">
      <w:r>
        <w:separator/>
      </w:r>
    </w:p>
  </w:endnote>
  <w:endnote w:type="continuationSeparator" w:id="0">
    <w:p w14:paraId="435A80C7" w14:textId="77777777" w:rsidR="00A01260" w:rsidRDefault="00A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4C1EE32" w14:textId="77777777" w:rsidTr="00E31DCE">
      <w:trPr>
        <w:jc w:val="center"/>
      </w:trPr>
      <w:tc>
        <w:tcPr>
          <w:tcW w:w="1803" w:type="dxa"/>
          <w:vAlign w:val="center"/>
        </w:tcPr>
        <w:p w14:paraId="7EF14551" w14:textId="01E326BC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D4C3E" w:rsidRPr="00ED4C3E">
            <w:rPr>
              <w:noProof/>
            </w:rPr>
            <w:t>527474</w:t>
          </w:r>
        </w:p>
      </w:tc>
      <w:tc>
        <w:tcPr>
          <w:tcW w:w="8261" w:type="dxa"/>
        </w:tcPr>
        <w:p w14:paraId="08FD3409" w14:textId="52D60BE7" w:rsidR="00672F8A" w:rsidRPr="00E06FD5" w:rsidRDefault="00672F8A" w:rsidP="00ED4C3E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D4C3E" w:rsidRPr="00623AE3">
            <w:rPr>
              <w:bCs/>
            </w:rPr>
            <w:t>C</w:t>
          </w:r>
          <w:r w:rsidR="00ED4C3E">
            <w:rPr>
              <w:bCs/>
            </w:rPr>
            <w:t>23</w:t>
          </w:r>
          <w:r w:rsidR="00ED4C3E" w:rsidRPr="00623AE3">
            <w:rPr>
              <w:bCs/>
            </w:rPr>
            <w:t>/</w:t>
          </w:r>
          <w:r w:rsidR="00ED4C3E">
            <w:rPr>
              <w:bCs/>
            </w:rPr>
            <w:t>130</w:t>
          </w:r>
          <w:r w:rsidR="00ED4C3E" w:rsidRPr="00623AE3">
            <w:rPr>
              <w:bCs/>
            </w:rPr>
            <w:t>-</w:t>
          </w:r>
          <w:r w:rsidR="00ED4C3E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DBE574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425FCE" w14:textId="77777777" w:rsidTr="00E31DCE">
      <w:trPr>
        <w:jc w:val="center"/>
      </w:trPr>
      <w:tc>
        <w:tcPr>
          <w:tcW w:w="1803" w:type="dxa"/>
          <w:vAlign w:val="center"/>
        </w:tcPr>
        <w:p w14:paraId="1D4A83F8" w14:textId="77777777" w:rsidR="00672F8A" w:rsidRDefault="002F0A3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B58F2C" w14:textId="5FD45148" w:rsidR="00672F8A" w:rsidRPr="00E06FD5" w:rsidRDefault="00672F8A" w:rsidP="00A95E29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269F2">
            <w:rPr>
              <w:bCs/>
            </w:rPr>
            <w:t>1</w:t>
          </w:r>
          <w:r w:rsidR="003165BA">
            <w:rPr>
              <w:bCs/>
            </w:rPr>
            <w:t>3</w:t>
          </w:r>
          <w:r w:rsidR="00A95E29">
            <w:rPr>
              <w:bCs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22CF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A0EE" w14:textId="77777777" w:rsidR="00A01260" w:rsidRDefault="00A01260">
      <w:r>
        <w:t>____________________</w:t>
      </w:r>
    </w:p>
  </w:footnote>
  <w:footnote w:type="continuationSeparator" w:id="0">
    <w:p w14:paraId="27159BC9" w14:textId="77777777" w:rsidR="00A01260" w:rsidRDefault="00A0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58EE6B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56807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22E1263D" wp14:editId="3284BD9D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8A191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F1370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D835A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1634CF6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0681" wp14:editId="09E54D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CC1AD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0"/>
    <w:rsid w:val="00005BE0"/>
    <w:rsid w:val="0002183E"/>
    <w:rsid w:val="000569B4"/>
    <w:rsid w:val="00080E82"/>
    <w:rsid w:val="00087D14"/>
    <w:rsid w:val="000B2DE7"/>
    <w:rsid w:val="000D0DAA"/>
    <w:rsid w:val="000E568E"/>
    <w:rsid w:val="00137561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5007C"/>
    <w:rsid w:val="00291EB6"/>
    <w:rsid w:val="002D2F57"/>
    <w:rsid w:val="002D48C5"/>
    <w:rsid w:val="003165BA"/>
    <w:rsid w:val="0033025A"/>
    <w:rsid w:val="003F099E"/>
    <w:rsid w:val="003F235E"/>
    <w:rsid w:val="004023E0"/>
    <w:rsid w:val="00403DD8"/>
    <w:rsid w:val="00442515"/>
    <w:rsid w:val="0045686C"/>
    <w:rsid w:val="00457C93"/>
    <w:rsid w:val="0046139D"/>
    <w:rsid w:val="004918C4"/>
    <w:rsid w:val="00497703"/>
    <w:rsid w:val="004A0374"/>
    <w:rsid w:val="004A45B5"/>
    <w:rsid w:val="004D0129"/>
    <w:rsid w:val="00510ABE"/>
    <w:rsid w:val="005262BC"/>
    <w:rsid w:val="005A64D5"/>
    <w:rsid w:val="005B3DEC"/>
    <w:rsid w:val="00601994"/>
    <w:rsid w:val="00607B3A"/>
    <w:rsid w:val="006127E8"/>
    <w:rsid w:val="00672F8A"/>
    <w:rsid w:val="006A7FC0"/>
    <w:rsid w:val="006E2D42"/>
    <w:rsid w:val="00703676"/>
    <w:rsid w:val="00707304"/>
    <w:rsid w:val="00732269"/>
    <w:rsid w:val="00762555"/>
    <w:rsid w:val="007626A1"/>
    <w:rsid w:val="00785ABD"/>
    <w:rsid w:val="00796BD3"/>
    <w:rsid w:val="007A2DD4"/>
    <w:rsid w:val="007D38B5"/>
    <w:rsid w:val="007E7EA0"/>
    <w:rsid w:val="00800D2E"/>
    <w:rsid w:val="00807255"/>
    <w:rsid w:val="0081023E"/>
    <w:rsid w:val="008173AA"/>
    <w:rsid w:val="00840A14"/>
    <w:rsid w:val="00892585"/>
    <w:rsid w:val="008B62B4"/>
    <w:rsid w:val="008D2D7B"/>
    <w:rsid w:val="008E0737"/>
    <w:rsid w:val="008F7C2C"/>
    <w:rsid w:val="00940E96"/>
    <w:rsid w:val="009B0BAE"/>
    <w:rsid w:val="009C1C89"/>
    <w:rsid w:val="009C3A21"/>
    <w:rsid w:val="009F3448"/>
    <w:rsid w:val="00A01260"/>
    <w:rsid w:val="00A01CF9"/>
    <w:rsid w:val="00A71773"/>
    <w:rsid w:val="00A95E29"/>
    <w:rsid w:val="00AE2C85"/>
    <w:rsid w:val="00B12A37"/>
    <w:rsid w:val="00B41837"/>
    <w:rsid w:val="00B63EF2"/>
    <w:rsid w:val="00BA7D89"/>
    <w:rsid w:val="00BB3B77"/>
    <w:rsid w:val="00BC0D39"/>
    <w:rsid w:val="00BC7BC0"/>
    <w:rsid w:val="00BD57B7"/>
    <w:rsid w:val="00BE63E2"/>
    <w:rsid w:val="00C23463"/>
    <w:rsid w:val="00C95CB1"/>
    <w:rsid w:val="00CD2009"/>
    <w:rsid w:val="00CF629C"/>
    <w:rsid w:val="00D92EEA"/>
    <w:rsid w:val="00DA5D4E"/>
    <w:rsid w:val="00E176BA"/>
    <w:rsid w:val="00E269F2"/>
    <w:rsid w:val="00E423EC"/>
    <w:rsid w:val="00E55121"/>
    <w:rsid w:val="00EB4FCB"/>
    <w:rsid w:val="00EC6BC5"/>
    <w:rsid w:val="00ED4C3E"/>
    <w:rsid w:val="00F35898"/>
    <w:rsid w:val="00F43B1A"/>
    <w:rsid w:val="00F5225B"/>
    <w:rsid w:val="00F9317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153DA"/>
  <w15:docId w15:val="{D5A11D20-307B-40E9-ADF4-5FCB17B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table" w:customStyle="1" w:styleId="TableGrid1">
    <w:name w:val="Table Grid1"/>
    <w:basedOn w:val="TableNormal"/>
    <w:next w:val="TableGrid"/>
    <w:rsid w:val="00A012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0AB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A95E29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A95E2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4/en" TargetMode="External"/><Relationship Id="rId13" Type="http://schemas.openxmlformats.org/officeDocument/2006/relationships/hyperlink" Target="https://www.itu.int/md/S23-CL-C-0119/en" TargetMode="External"/><Relationship Id="rId18" Type="http://schemas.openxmlformats.org/officeDocument/2006/relationships/hyperlink" Target="https://www.itu.int/md/S23-CL-C-0124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3-CL-C-0127/en" TargetMode="External"/><Relationship Id="rId7" Type="http://schemas.openxmlformats.org/officeDocument/2006/relationships/hyperlink" Target="https://www.itu.int/md/S23-CL-C-0113/en" TargetMode="External"/><Relationship Id="rId12" Type="http://schemas.openxmlformats.org/officeDocument/2006/relationships/hyperlink" Target="https://www.itu.int/md/S23-CL-C-0118/en" TargetMode="External"/><Relationship Id="rId17" Type="http://schemas.openxmlformats.org/officeDocument/2006/relationships/hyperlink" Target="https://www.itu.int/md/S23-CL-C-0123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122/en" TargetMode="External"/><Relationship Id="rId20" Type="http://schemas.openxmlformats.org/officeDocument/2006/relationships/hyperlink" Target="https://www.itu.int/md/S23-CL-C-012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117/e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121/en" TargetMode="External"/><Relationship Id="rId23" Type="http://schemas.openxmlformats.org/officeDocument/2006/relationships/hyperlink" Target="https://www.itu.int/md/S23-CL-C-0129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3-CL-C-0116/en" TargetMode="External"/><Relationship Id="rId19" Type="http://schemas.openxmlformats.org/officeDocument/2006/relationships/hyperlink" Target="https://www.itu.int/md/S23-CL-C-012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15/en" TargetMode="External"/><Relationship Id="rId14" Type="http://schemas.openxmlformats.org/officeDocument/2006/relationships/hyperlink" Target="https://www.itu.int/md/S23-CL-C-0120/en" TargetMode="External"/><Relationship Id="rId22" Type="http://schemas.openxmlformats.org/officeDocument/2006/relationships/hyperlink" Target="https://www.itu.int/md/S23-CL-C-0128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2</Pages>
  <Words>265</Words>
  <Characters>2740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and Vice-Chairs of the Council</vt:lpstr>
    </vt:vector>
  </TitlesOfParts>
  <Manager>General Secretariat - Pool</Manager>
  <Company>International Telecommunication Union (ITU)</Company>
  <LinksUpToDate>false</LinksUpToDate>
  <CharactersWithSpaces>3000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Council 2023</dc:subject>
  <dc:creator>Xue, Kun</dc:creator>
  <cp:keywords>C2023, C23, Council-23</cp:keywords>
  <dc:description/>
  <cp:lastModifiedBy>Xue, Kun</cp:lastModifiedBy>
  <cp:revision>4</cp:revision>
  <cp:lastPrinted>2006-03-28T16:12:00Z</cp:lastPrinted>
  <dcterms:created xsi:type="dcterms:W3CDTF">2023-10-04T08:57:00Z</dcterms:created>
  <dcterms:modified xsi:type="dcterms:W3CDTF">2023-10-04T08:58:00Z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