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813E5E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36306D9E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7B6A98A" w14:textId="0A988556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381252">
              <w:rPr>
                <w:b/>
              </w:rPr>
              <w:t>130</w:t>
            </w:r>
            <w:r>
              <w:rPr>
                <w:b/>
              </w:rPr>
              <w:t>-F</w:t>
            </w:r>
          </w:p>
        </w:tc>
      </w:tr>
      <w:tr w:rsidR="00D72F49" w:rsidRPr="00813E5E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2A0D64C9" w:rsidR="00D72F49" w:rsidRPr="00E85629" w:rsidRDefault="002B749A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 octobre</w:t>
            </w:r>
            <w:r w:rsidR="00D72F49">
              <w:rPr>
                <w:b/>
              </w:rPr>
              <w:t xml:space="preserve"> 2023</w:t>
            </w:r>
          </w:p>
        </w:tc>
      </w:tr>
      <w:tr w:rsidR="00D72F49" w:rsidRPr="00813E5E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22CE1">
              <w:rPr>
                <w:b/>
                <w:lang w:val="fr-CH"/>
              </w:rPr>
              <w:t>Original: anglais</w:t>
            </w:r>
          </w:p>
        </w:tc>
      </w:tr>
      <w:tr w:rsidR="00D72F49" w:rsidRPr="00813E5E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122CE1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492A589D" w:rsidR="00D72F49" w:rsidRPr="00C42437" w:rsidRDefault="00671EBF" w:rsidP="00D72F49">
            <w:pPr>
              <w:pStyle w:val="Source"/>
              <w:jc w:val="left"/>
              <w:rPr>
                <w:sz w:val="34"/>
                <w:szCs w:val="34"/>
                <w:lang w:val="fr-CH"/>
              </w:rPr>
            </w:pPr>
            <w:r>
              <w:rPr>
                <w:rFonts w:cstheme="minorHAnsi"/>
                <w:color w:val="000000"/>
                <w:sz w:val="34"/>
                <w:szCs w:val="34"/>
              </w:rPr>
              <w:t>Note</w:t>
            </w:r>
            <w:r w:rsidR="00D72F49" w:rsidRPr="00D72F49">
              <w:rPr>
                <w:rFonts w:cstheme="minorHAnsi"/>
                <w:color w:val="000000"/>
                <w:sz w:val="34"/>
                <w:szCs w:val="34"/>
              </w:rPr>
              <w:t xml:space="preserve"> </w:t>
            </w:r>
            <w:r w:rsidR="00E95647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="00D72F49" w:rsidRPr="00D72F49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>
              <w:rPr>
                <w:rFonts w:cstheme="minorHAnsi"/>
                <w:color w:val="000000"/>
                <w:sz w:val="34"/>
                <w:szCs w:val="34"/>
              </w:rPr>
              <w:t>e</w:t>
            </w:r>
            <w:r w:rsidR="00D72F49" w:rsidRPr="00C42437">
              <w:rPr>
                <w:sz w:val="34"/>
                <w:szCs w:val="34"/>
                <w:lang w:val="fr-CH"/>
              </w:rPr>
              <w:t xml:space="preserve"> </w:t>
            </w:r>
          </w:p>
        </w:tc>
      </w:tr>
      <w:tr w:rsidR="00D72F49" w:rsidRPr="00813E5E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625353D3" w:rsidR="00D72F49" w:rsidRPr="00813E5E" w:rsidRDefault="00671EBF" w:rsidP="00D72F49">
            <w:pPr>
              <w:pStyle w:val="Subtitle"/>
              <w:framePr w:hSpace="0" w:wrap="auto" w:hAnchor="text" w:xAlign="left" w:yAlign="inline"/>
            </w:pPr>
            <w:r w:rsidRPr="00671EBF">
              <w:rPr>
                <w:rFonts w:cstheme="minorHAnsi"/>
                <w:lang w:val="fr-FR"/>
              </w:rPr>
              <w:t>RÉSOLUTIONS ET DÉCISIONS</w:t>
            </w:r>
          </w:p>
        </w:tc>
      </w:tr>
    </w:tbl>
    <w:p w14:paraId="26018E72" w14:textId="70D10555" w:rsidR="00671EBF" w:rsidRPr="00381252" w:rsidRDefault="00671EBF" w:rsidP="003001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 w:after="240"/>
        <w:textAlignment w:val="auto"/>
        <w:rPr>
          <w:rFonts w:cs="Arial"/>
          <w:szCs w:val="24"/>
          <w:lang w:eastAsia="zh-CN"/>
        </w:rPr>
      </w:pPr>
      <w:r w:rsidRPr="00381252">
        <w:rPr>
          <w:color w:val="000000"/>
          <w:szCs w:val="24"/>
        </w:rPr>
        <w:t>Les Résolutions et Décisions suivantes ont été adoptées par le Conseil lors de sa session de 2023, du 11 au 21 juillet 2023: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0"/>
        <w:gridCol w:w="2250"/>
      </w:tblGrid>
      <w:tr w:rsidR="00671EBF" w:rsidRPr="003001C7" w14:paraId="4287BA38" w14:textId="77777777" w:rsidTr="0061618D">
        <w:trPr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C27F8F" w14:textId="3FBE17BC" w:rsidR="00671EBF" w:rsidRPr="003001C7" w:rsidRDefault="00381252" w:rsidP="00671EB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r w:rsidRPr="003001C7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Résolutions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A46A1D" w14:textId="77777777" w:rsidR="00671EBF" w:rsidRPr="003001C7" w:rsidRDefault="00671EBF" w:rsidP="00671EB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r w:rsidRPr="003001C7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C23/#</w:t>
            </w:r>
          </w:p>
        </w:tc>
      </w:tr>
      <w:tr w:rsidR="0061618D" w:rsidRPr="003001C7" w14:paraId="541F315D" w14:textId="77777777" w:rsidTr="0061618D">
        <w:trPr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CE75" w14:textId="1897CAA4" w:rsidR="0061618D" w:rsidRPr="0061618D" w:rsidRDefault="0061618D" w:rsidP="006161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ind w:left="1877" w:hanging="1877"/>
              <w:textAlignment w:val="auto"/>
              <w:rPr>
                <w:rFonts w:cs="Arial"/>
                <w:bCs/>
                <w:sz w:val="22"/>
                <w:szCs w:val="22"/>
                <w:lang w:eastAsia="zh-CN"/>
              </w:rPr>
            </w:pPr>
            <w:r w:rsidRPr="0061618D">
              <w:rPr>
                <w:rFonts w:cs="Arial"/>
                <w:bCs/>
                <w:sz w:val="22"/>
                <w:szCs w:val="22"/>
                <w:lang w:eastAsia="zh-CN"/>
              </w:rPr>
              <w:t xml:space="preserve">Résolution </w:t>
            </w:r>
            <w:r w:rsidRPr="0061618D">
              <w:rPr>
                <w:rFonts w:cs="Arial"/>
                <w:b/>
                <w:sz w:val="22"/>
                <w:szCs w:val="22"/>
                <w:lang w:eastAsia="zh-CN"/>
              </w:rPr>
              <w:t>1415</w:t>
            </w:r>
            <w:r w:rsidRPr="0061618D">
              <w:rPr>
                <w:rFonts w:cs="Arial"/>
                <w:bCs/>
                <w:sz w:val="22"/>
                <w:szCs w:val="22"/>
                <w:lang w:eastAsia="zh-CN"/>
              </w:rPr>
              <w:t xml:space="preserve"> </w:t>
            </w:r>
            <w:r w:rsidRPr="0061618D">
              <w:rPr>
                <w:rFonts w:cs="Arial"/>
                <w:bCs/>
                <w:sz w:val="22"/>
                <w:szCs w:val="22"/>
                <w:lang w:eastAsia="zh-CN"/>
              </w:rPr>
              <w:tab/>
              <w:t>Plan opérationnel de l'Union pour 2024-2027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A04FB8" w14:textId="54E5D861" w:rsidR="0061618D" w:rsidRPr="003001C7" w:rsidRDefault="002B749A" w:rsidP="006161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6" w:history="1">
              <w:r w:rsidR="0061618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C23/113</w:t>
              </w:r>
            </w:hyperlink>
          </w:p>
        </w:tc>
      </w:tr>
      <w:tr w:rsidR="0061618D" w:rsidRPr="003001C7" w14:paraId="272081DF" w14:textId="77777777" w:rsidTr="0061618D">
        <w:trPr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AFBA" w14:textId="6F2321EF" w:rsidR="0061618D" w:rsidRPr="0061618D" w:rsidRDefault="0061618D" w:rsidP="006161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ind w:left="1877" w:hanging="1877"/>
              <w:textAlignment w:val="auto"/>
              <w:rPr>
                <w:rFonts w:cs="Arial"/>
                <w:bCs/>
                <w:sz w:val="22"/>
                <w:szCs w:val="22"/>
                <w:lang w:eastAsia="zh-CN"/>
              </w:rPr>
            </w:pPr>
            <w:r w:rsidRPr="0061618D">
              <w:rPr>
                <w:rFonts w:cs="Arial"/>
                <w:bCs/>
                <w:sz w:val="22"/>
                <w:szCs w:val="22"/>
                <w:lang w:eastAsia="zh-CN"/>
              </w:rPr>
              <w:t xml:space="preserve">Résolution </w:t>
            </w:r>
            <w:r w:rsidRPr="0061618D">
              <w:rPr>
                <w:rFonts w:cs="Arial"/>
                <w:b/>
                <w:sz w:val="22"/>
                <w:szCs w:val="22"/>
                <w:lang w:eastAsia="zh-CN"/>
              </w:rPr>
              <w:t>1416</w:t>
            </w:r>
            <w:r w:rsidRPr="0061618D">
              <w:rPr>
                <w:rFonts w:cs="Arial"/>
                <w:bCs/>
                <w:sz w:val="22"/>
                <w:szCs w:val="22"/>
                <w:lang w:eastAsia="zh-CN"/>
              </w:rPr>
              <w:t xml:space="preserve"> </w:t>
            </w:r>
            <w:r w:rsidRPr="0061618D">
              <w:rPr>
                <w:rFonts w:cs="Arial"/>
                <w:bCs/>
                <w:sz w:val="22"/>
                <w:szCs w:val="22"/>
                <w:lang w:eastAsia="zh-CN"/>
              </w:rPr>
              <w:tab/>
              <w:t>Éditions de 2024 et 2025 de la Journée mondiale des</w:t>
            </w:r>
            <w:r>
              <w:rPr>
                <w:rFonts w:cs="Arial"/>
                <w:bCs/>
                <w:sz w:val="22"/>
                <w:szCs w:val="22"/>
                <w:lang w:eastAsia="zh-CN"/>
              </w:rPr>
              <w:t xml:space="preserve"> </w:t>
            </w:r>
            <w:r w:rsidRPr="0061618D">
              <w:rPr>
                <w:rFonts w:cs="Arial"/>
                <w:bCs/>
                <w:sz w:val="22"/>
                <w:szCs w:val="22"/>
                <w:lang w:eastAsia="zh-CN"/>
              </w:rPr>
              <w:t>télécommunications et de la société de l'information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233E7A" w14:textId="77B0CB52" w:rsidR="0061618D" w:rsidRPr="003001C7" w:rsidRDefault="002B749A" w:rsidP="006161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7" w:history="1">
              <w:r w:rsidR="0061618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C23/114</w:t>
              </w:r>
            </w:hyperlink>
          </w:p>
        </w:tc>
      </w:tr>
      <w:tr w:rsidR="0061618D" w:rsidRPr="003001C7" w14:paraId="0DA774CA" w14:textId="77777777" w:rsidTr="0061618D">
        <w:trPr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20A7" w14:textId="0D9D1AF6" w:rsidR="0061618D" w:rsidRPr="0061618D" w:rsidRDefault="0061618D" w:rsidP="006161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ind w:left="1877" w:hanging="1877"/>
              <w:textAlignment w:val="auto"/>
              <w:rPr>
                <w:rFonts w:cs="Arial"/>
                <w:bCs/>
                <w:sz w:val="22"/>
                <w:szCs w:val="22"/>
                <w:lang w:eastAsia="zh-CN"/>
              </w:rPr>
            </w:pPr>
            <w:r w:rsidRPr="0061618D">
              <w:rPr>
                <w:rFonts w:cs="Arial"/>
                <w:bCs/>
                <w:sz w:val="22"/>
                <w:szCs w:val="22"/>
                <w:lang w:eastAsia="zh-CN"/>
              </w:rPr>
              <w:t xml:space="preserve">Résolution </w:t>
            </w:r>
            <w:r w:rsidRPr="0061618D">
              <w:rPr>
                <w:rFonts w:cs="Arial"/>
                <w:b/>
                <w:sz w:val="22"/>
                <w:szCs w:val="22"/>
                <w:lang w:eastAsia="zh-CN"/>
              </w:rPr>
              <w:t>1417</w:t>
            </w:r>
            <w:r w:rsidRPr="0061618D">
              <w:rPr>
                <w:rFonts w:cs="Arial"/>
                <w:bCs/>
                <w:sz w:val="22"/>
                <w:szCs w:val="22"/>
                <w:lang w:eastAsia="zh-CN"/>
              </w:rPr>
              <w:t xml:space="preserve"> </w:t>
            </w:r>
            <w:r w:rsidRPr="0061618D">
              <w:rPr>
                <w:rFonts w:cs="Arial"/>
                <w:bCs/>
                <w:sz w:val="22"/>
                <w:szCs w:val="22"/>
                <w:lang w:eastAsia="zh-CN"/>
              </w:rPr>
              <w:tab/>
              <w:t>Budget biennal de l'Union pour 2024-2025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A87BF0" w14:textId="29512529" w:rsidR="0061618D" w:rsidRPr="003001C7" w:rsidRDefault="002B749A" w:rsidP="006161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8" w:history="1">
              <w:r w:rsidR="0061618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C23/115</w:t>
              </w:r>
            </w:hyperlink>
          </w:p>
        </w:tc>
      </w:tr>
      <w:tr w:rsidR="0061618D" w:rsidRPr="003001C7" w14:paraId="61863565" w14:textId="77777777" w:rsidTr="0061618D">
        <w:trPr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319C" w14:textId="379C85DE" w:rsidR="0061618D" w:rsidRPr="00330178" w:rsidRDefault="0061618D" w:rsidP="006161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ind w:left="1877" w:hanging="1877"/>
              <w:textAlignment w:val="auto"/>
              <w:rPr>
                <w:rFonts w:cs="Arial"/>
                <w:bCs/>
                <w:sz w:val="22"/>
                <w:szCs w:val="22"/>
                <w:lang w:eastAsia="zh-CN"/>
              </w:rPr>
            </w:pPr>
            <w:r w:rsidRPr="00330178">
              <w:rPr>
                <w:rFonts w:cs="Arial"/>
                <w:bCs/>
                <w:sz w:val="22"/>
                <w:szCs w:val="22"/>
                <w:lang w:eastAsia="zh-CN"/>
              </w:rPr>
              <w:t xml:space="preserve">Résolution </w:t>
            </w:r>
            <w:r w:rsidRPr="00330178">
              <w:rPr>
                <w:rFonts w:cs="Arial"/>
                <w:b/>
                <w:sz w:val="22"/>
                <w:szCs w:val="22"/>
                <w:lang w:eastAsia="zh-CN"/>
              </w:rPr>
              <w:t>1418</w:t>
            </w:r>
            <w:r w:rsidRPr="00330178">
              <w:rPr>
                <w:rFonts w:cs="Arial"/>
                <w:bCs/>
                <w:sz w:val="22"/>
                <w:szCs w:val="22"/>
                <w:lang w:eastAsia="zh-CN"/>
              </w:rPr>
              <w:t xml:space="preserve"> </w:t>
            </w:r>
            <w:r w:rsidRPr="00330178">
              <w:rPr>
                <w:rFonts w:cs="Arial"/>
                <w:bCs/>
                <w:sz w:val="22"/>
                <w:szCs w:val="22"/>
                <w:lang w:eastAsia="zh-CN"/>
              </w:rPr>
              <w:tab/>
            </w:r>
            <w:r w:rsidR="00330178" w:rsidRPr="00330178">
              <w:rPr>
                <w:rFonts w:cs="Arial"/>
                <w:bCs/>
                <w:sz w:val="22"/>
                <w:szCs w:val="22"/>
                <w:lang w:eastAsia="zh-CN"/>
              </w:rPr>
              <w:t>Fonds pour le développement des technologies de l'information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D431C5" w14:textId="36DE7010" w:rsidR="0061618D" w:rsidRPr="003001C7" w:rsidRDefault="002B749A" w:rsidP="006161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b/>
                <w:bCs/>
                <w:color w:val="0000FF"/>
                <w:sz w:val="22"/>
                <w:szCs w:val="22"/>
                <w:u w:val="single"/>
                <w:lang w:val="en-GB" w:eastAsia="zh-CN"/>
              </w:rPr>
            </w:pPr>
            <w:hyperlink r:id="rId9" w:history="1">
              <w:r w:rsidR="0061618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C23/116</w:t>
              </w:r>
            </w:hyperlink>
          </w:p>
        </w:tc>
      </w:tr>
      <w:tr w:rsidR="0061618D" w:rsidRPr="003001C7" w14:paraId="15FAF20B" w14:textId="77777777" w:rsidTr="0061618D">
        <w:trPr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53EE" w14:textId="1FA39C0D" w:rsidR="0061618D" w:rsidRPr="00330178" w:rsidRDefault="0061618D" w:rsidP="006161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335"/>
              </w:tabs>
              <w:overflowPunct/>
              <w:autoSpaceDE/>
              <w:autoSpaceDN/>
              <w:adjustRightInd/>
              <w:spacing w:before="40" w:after="40" w:line="256" w:lineRule="auto"/>
              <w:ind w:left="1877" w:hanging="1877"/>
              <w:textAlignment w:val="auto"/>
              <w:rPr>
                <w:rFonts w:cs="Arial"/>
                <w:bCs/>
                <w:sz w:val="22"/>
                <w:szCs w:val="22"/>
                <w:lang w:eastAsia="zh-CN"/>
              </w:rPr>
            </w:pPr>
            <w:r w:rsidRPr="00330178">
              <w:rPr>
                <w:rFonts w:cs="Arial"/>
                <w:bCs/>
                <w:sz w:val="22"/>
                <w:szCs w:val="22"/>
                <w:lang w:eastAsia="zh-CN"/>
              </w:rPr>
              <w:t xml:space="preserve">Résolution </w:t>
            </w:r>
            <w:r w:rsidRPr="00330178">
              <w:rPr>
                <w:rFonts w:cs="Arial"/>
                <w:b/>
                <w:sz w:val="22"/>
                <w:szCs w:val="22"/>
                <w:lang w:eastAsia="zh-CN"/>
              </w:rPr>
              <w:t>1419</w:t>
            </w:r>
            <w:r w:rsidRPr="00330178">
              <w:rPr>
                <w:rFonts w:cs="Arial"/>
                <w:bCs/>
                <w:sz w:val="22"/>
                <w:szCs w:val="22"/>
                <w:lang w:eastAsia="zh-CN"/>
              </w:rPr>
              <w:t xml:space="preserve"> </w:t>
            </w:r>
            <w:r w:rsidRPr="00330178">
              <w:rPr>
                <w:rFonts w:cs="Arial"/>
                <w:bCs/>
                <w:sz w:val="22"/>
                <w:szCs w:val="22"/>
                <w:lang w:eastAsia="zh-CN"/>
              </w:rPr>
              <w:tab/>
            </w:r>
            <w:r w:rsidR="00330178" w:rsidRPr="00330178">
              <w:rPr>
                <w:rFonts w:cs="Arial"/>
                <w:bCs/>
                <w:sz w:val="22"/>
                <w:szCs w:val="22"/>
                <w:lang w:eastAsia="zh-CN"/>
              </w:rPr>
              <w:t>Conditions d'emploi des fonctionnaires élus de l'UIT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8FD569" w14:textId="11BB7BB2" w:rsidR="0061618D" w:rsidRPr="003001C7" w:rsidRDefault="002B749A" w:rsidP="006161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sz w:val="22"/>
                <w:szCs w:val="22"/>
                <w:lang w:val="en-GB"/>
              </w:rPr>
            </w:pPr>
            <w:hyperlink r:id="rId10" w:history="1">
              <w:r w:rsidR="0061618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C23/117</w:t>
              </w:r>
            </w:hyperlink>
          </w:p>
        </w:tc>
      </w:tr>
      <w:tr w:rsidR="0061618D" w:rsidRPr="003001C7" w14:paraId="5D104123" w14:textId="77777777" w:rsidTr="0061618D">
        <w:trPr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BC1" w14:textId="277B6A6A" w:rsidR="0061618D" w:rsidRPr="00330178" w:rsidRDefault="0061618D" w:rsidP="006161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335"/>
              </w:tabs>
              <w:overflowPunct/>
              <w:autoSpaceDE/>
              <w:autoSpaceDN/>
              <w:adjustRightInd/>
              <w:spacing w:before="40" w:after="40" w:line="256" w:lineRule="auto"/>
              <w:ind w:left="1877" w:hanging="1877"/>
              <w:textAlignment w:val="auto"/>
              <w:rPr>
                <w:rFonts w:cs="Arial"/>
                <w:bCs/>
                <w:sz w:val="22"/>
                <w:szCs w:val="22"/>
                <w:lang w:eastAsia="zh-CN"/>
              </w:rPr>
            </w:pPr>
            <w:r w:rsidRPr="00330178">
              <w:rPr>
                <w:rFonts w:cs="Arial"/>
                <w:bCs/>
                <w:sz w:val="22"/>
                <w:szCs w:val="22"/>
                <w:lang w:eastAsia="zh-CN"/>
              </w:rPr>
              <w:t xml:space="preserve">Résolution </w:t>
            </w:r>
            <w:r w:rsidRPr="00330178">
              <w:rPr>
                <w:rFonts w:cs="Arial"/>
                <w:b/>
                <w:sz w:val="22"/>
                <w:szCs w:val="22"/>
                <w:lang w:eastAsia="zh-CN"/>
              </w:rPr>
              <w:t>1420</w:t>
            </w:r>
            <w:r w:rsidRPr="00330178">
              <w:rPr>
                <w:rFonts w:cs="Arial"/>
                <w:bCs/>
                <w:sz w:val="22"/>
                <w:szCs w:val="22"/>
                <w:lang w:eastAsia="zh-CN"/>
              </w:rPr>
              <w:t xml:space="preserve"> </w:t>
            </w:r>
            <w:r w:rsidRPr="00330178">
              <w:rPr>
                <w:rFonts w:cs="Arial"/>
                <w:bCs/>
                <w:sz w:val="22"/>
                <w:szCs w:val="22"/>
                <w:lang w:eastAsia="zh-CN"/>
              </w:rPr>
              <w:tab/>
            </w:r>
            <w:r w:rsidR="00330178" w:rsidRPr="00330178">
              <w:rPr>
                <w:rFonts w:cs="Arial"/>
                <w:bCs/>
                <w:sz w:val="22"/>
                <w:szCs w:val="22"/>
                <w:lang w:eastAsia="zh-CN"/>
              </w:rPr>
              <w:t>Amendements au statut de la Commission de la fonction publique internationale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1537F4" w14:textId="6B944A65" w:rsidR="0061618D" w:rsidRPr="003001C7" w:rsidRDefault="002B749A" w:rsidP="006161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jc w:val="center"/>
              <w:textAlignment w:val="auto"/>
              <w:rPr>
                <w:sz w:val="22"/>
                <w:szCs w:val="22"/>
                <w:lang w:val="en-GB"/>
              </w:rPr>
            </w:pPr>
            <w:hyperlink r:id="rId11" w:history="1">
              <w:r w:rsidR="0061618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C23/118</w:t>
              </w:r>
            </w:hyperlink>
          </w:p>
        </w:tc>
      </w:tr>
    </w:tbl>
    <w:p w14:paraId="19B39F28" w14:textId="77777777" w:rsidR="00671EBF" w:rsidRPr="00671EBF" w:rsidRDefault="00671EBF" w:rsidP="003001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  <w:rPr>
          <w:rFonts w:cs="Arial"/>
          <w:sz w:val="22"/>
          <w:szCs w:val="22"/>
          <w:u w:val="single"/>
          <w:lang w:val="en-GB" w:eastAsia="zh-CN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5"/>
        <w:gridCol w:w="2025"/>
      </w:tblGrid>
      <w:tr w:rsidR="00381252" w:rsidRPr="00381252" w14:paraId="2E1F3A96" w14:textId="77777777" w:rsidTr="0061618D">
        <w:trPr>
          <w:jc w:val="center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EB4C79" w14:textId="47E587DF" w:rsidR="00381252" w:rsidRPr="00381252" w:rsidRDefault="00381252" w:rsidP="0038125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47"/>
              </w:tabs>
              <w:overflowPunct/>
              <w:autoSpaceDE/>
              <w:autoSpaceDN/>
              <w:adjustRightInd/>
              <w:spacing w:before="80" w:after="80" w:line="256" w:lineRule="auto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r w:rsidRPr="00381252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ab/>
            </w:r>
            <w:r w:rsidRPr="003001C7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Résolution</w:t>
            </w:r>
            <w:r w:rsidR="00796B43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s</w:t>
            </w:r>
            <w:r w:rsidRPr="003001C7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 xml:space="preserve"> modifiée</w:t>
            </w:r>
            <w:r w:rsidR="00796B43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s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E187AF" w14:textId="77777777" w:rsidR="00381252" w:rsidRPr="00381252" w:rsidRDefault="00381252" w:rsidP="0038125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r w:rsidRPr="00381252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C23/#</w:t>
            </w:r>
          </w:p>
        </w:tc>
      </w:tr>
      <w:tr w:rsidR="00381252" w:rsidRPr="00381252" w14:paraId="5C45D9F3" w14:textId="77777777" w:rsidTr="0061618D">
        <w:trPr>
          <w:jc w:val="center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69A0" w14:textId="10CBC006" w:rsidR="00381252" w:rsidRPr="00330178" w:rsidRDefault="0061618D" w:rsidP="003301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before="40" w:after="40" w:line="256" w:lineRule="auto"/>
              <w:ind w:left="1735" w:hanging="1735"/>
              <w:textAlignment w:val="auto"/>
              <w:rPr>
                <w:rFonts w:cs="Arial"/>
                <w:bCs/>
                <w:sz w:val="22"/>
                <w:szCs w:val="22"/>
                <w:lang w:eastAsia="zh-CN"/>
              </w:rPr>
            </w:pPr>
            <w:r w:rsidRPr="00330178">
              <w:rPr>
                <w:rFonts w:cs="Arial"/>
                <w:bCs/>
                <w:sz w:val="22"/>
                <w:szCs w:val="22"/>
                <w:lang w:eastAsia="zh-CN"/>
              </w:rPr>
              <w:t>Résolution</w:t>
            </w:r>
            <w:r w:rsidR="00381252" w:rsidRPr="00330178">
              <w:rPr>
                <w:rFonts w:cs="Arial"/>
                <w:bCs/>
                <w:sz w:val="22"/>
                <w:szCs w:val="22"/>
                <w:lang w:eastAsia="zh-CN"/>
              </w:rPr>
              <w:t xml:space="preserve"> </w:t>
            </w:r>
            <w:r w:rsidR="00381252" w:rsidRPr="00330178">
              <w:rPr>
                <w:rFonts w:cs="Arial"/>
                <w:b/>
                <w:sz w:val="22"/>
                <w:szCs w:val="22"/>
                <w:lang w:eastAsia="zh-CN"/>
              </w:rPr>
              <w:t>1332</w:t>
            </w:r>
            <w:r w:rsidR="00330178">
              <w:rPr>
                <w:rFonts w:cs="Arial"/>
                <w:bCs/>
                <w:sz w:val="22"/>
                <w:szCs w:val="22"/>
                <w:lang w:eastAsia="zh-CN"/>
              </w:rPr>
              <w:tab/>
            </w:r>
            <w:r w:rsidR="00330178" w:rsidRPr="00330178">
              <w:rPr>
                <w:rFonts w:cs="Arial"/>
                <w:bCs/>
                <w:sz w:val="22"/>
                <w:szCs w:val="22"/>
                <w:lang w:eastAsia="zh-CN"/>
              </w:rPr>
              <w:t>Rôle de l'UIT dans la mise en ouvre des résultats du SMSI et du Programme de développement durable à l'horizon 2030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C16DC" w14:textId="74221ACC" w:rsidR="00381252" w:rsidRPr="00381252" w:rsidRDefault="002B749A" w:rsidP="0038125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 w:line="257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12" w:history="1">
              <w:r w:rsidR="00381252" w:rsidRPr="00381252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  <w:lang w:val="en-GB"/>
                </w:rPr>
                <w:t>C23/119</w:t>
              </w:r>
            </w:hyperlink>
          </w:p>
        </w:tc>
      </w:tr>
      <w:tr w:rsidR="00381252" w:rsidRPr="00381252" w14:paraId="501E3E0F" w14:textId="77777777" w:rsidTr="0061618D">
        <w:trPr>
          <w:jc w:val="center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2BEB" w14:textId="691740B8" w:rsidR="00381252" w:rsidRPr="00330178" w:rsidRDefault="0061618D" w:rsidP="003301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before="40" w:after="40" w:line="256" w:lineRule="auto"/>
              <w:ind w:left="1735" w:hanging="1735"/>
              <w:textAlignment w:val="auto"/>
              <w:rPr>
                <w:rFonts w:cs="Arial"/>
                <w:bCs/>
                <w:sz w:val="22"/>
                <w:szCs w:val="22"/>
                <w:lang w:eastAsia="zh-CN"/>
              </w:rPr>
            </w:pPr>
            <w:r w:rsidRPr="00330178">
              <w:rPr>
                <w:rFonts w:cs="Arial"/>
                <w:bCs/>
                <w:sz w:val="22"/>
                <w:szCs w:val="22"/>
                <w:lang w:eastAsia="zh-CN"/>
              </w:rPr>
              <w:t>Résolution</w:t>
            </w:r>
            <w:r w:rsidR="00381252" w:rsidRPr="00330178">
              <w:rPr>
                <w:rFonts w:cs="Arial"/>
                <w:bCs/>
                <w:sz w:val="22"/>
                <w:szCs w:val="22"/>
                <w:lang w:eastAsia="zh-CN"/>
              </w:rPr>
              <w:t xml:space="preserve"> </w:t>
            </w:r>
            <w:r w:rsidR="00381252" w:rsidRPr="00330178">
              <w:rPr>
                <w:rFonts w:cs="Arial"/>
                <w:b/>
                <w:sz w:val="22"/>
                <w:szCs w:val="22"/>
                <w:lang w:eastAsia="zh-CN"/>
              </w:rPr>
              <w:t>1334</w:t>
            </w:r>
            <w:r w:rsidR="00330178" w:rsidRPr="00330178">
              <w:rPr>
                <w:rFonts w:cs="Arial"/>
                <w:bCs/>
                <w:sz w:val="22"/>
                <w:szCs w:val="22"/>
                <w:lang w:eastAsia="zh-CN"/>
              </w:rPr>
              <w:tab/>
              <w:t>Rôle de l'UIT dans l'examen d'ensemble de la mise en ouvre des résultats du Sommet mondial sur la société de l'information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ECE51C" w14:textId="333826BF" w:rsidR="00381252" w:rsidRPr="00381252" w:rsidRDefault="002B749A" w:rsidP="0038125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 w:line="257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highlight w:val="yellow"/>
                <w:lang w:val="en-US" w:eastAsia="zh-CN"/>
              </w:rPr>
            </w:pPr>
            <w:hyperlink r:id="rId13" w:history="1">
              <w:r w:rsidR="00381252" w:rsidRPr="00381252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  <w:lang w:val="en-GB"/>
                </w:rPr>
                <w:t>C23/120</w:t>
              </w:r>
            </w:hyperlink>
          </w:p>
        </w:tc>
      </w:tr>
      <w:tr w:rsidR="00381252" w:rsidRPr="00381252" w14:paraId="22142780" w14:textId="77777777" w:rsidTr="0061618D">
        <w:trPr>
          <w:jc w:val="center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ABF4" w14:textId="105AA459" w:rsidR="00381252" w:rsidRPr="00330178" w:rsidRDefault="0061618D" w:rsidP="003301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before="40" w:after="40" w:line="256" w:lineRule="auto"/>
              <w:ind w:left="1735" w:hanging="1735"/>
              <w:textAlignment w:val="auto"/>
              <w:rPr>
                <w:rFonts w:cs="Arial"/>
                <w:bCs/>
                <w:sz w:val="22"/>
                <w:szCs w:val="22"/>
                <w:lang w:eastAsia="zh-CN"/>
              </w:rPr>
            </w:pPr>
            <w:r w:rsidRPr="00330178">
              <w:rPr>
                <w:rFonts w:cs="Arial"/>
                <w:bCs/>
                <w:sz w:val="22"/>
                <w:szCs w:val="22"/>
                <w:lang w:eastAsia="zh-CN"/>
              </w:rPr>
              <w:t>Résolution</w:t>
            </w:r>
            <w:r w:rsidR="00381252" w:rsidRPr="00330178">
              <w:rPr>
                <w:rFonts w:cs="Arial"/>
                <w:bCs/>
                <w:sz w:val="22"/>
                <w:szCs w:val="22"/>
                <w:lang w:eastAsia="zh-CN"/>
              </w:rPr>
              <w:t xml:space="preserve"> </w:t>
            </w:r>
            <w:r w:rsidR="00381252" w:rsidRPr="00330178">
              <w:rPr>
                <w:rFonts w:cs="Arial"/>
                <w:b/>
                <w:sz w:val="22"/>
                <w:szCs w:val="22"/>
                <w:lang w:eastAsia="zh-CN"/>
              </w:rPr>
              <w:t>1379</w:t>
            </w:r>
            <w:r w:rsidR="00330178" w:rsidRPr="00330178">
              <w:rPr>
                <w:rFonts w:cs="Arial"/>
                <w:bCs/>
                <w:sz w:val="22"/>
                <w:szCs w:val="22"/>
                <w:lang w:eastAsia="zh-CN"/>
              </w:rPr>
              <w:tab/>
              <w:t>Groupe d'experts sur le Règlement des télécommunications internationales (EG RTI)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B475B3" w14:textId="22551AE1" w:rsidR="00381252" w:rsidRPr="00381252" w:rsidRDefault="002B749A" w:rsidP="0038125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 w:line="257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  <w:u w:val="single"/>
                <w:lang w:val="en-GB"/>
              </w:rPr>
            </w:pPr>
            <w:hyperlink r:id="rId14" w:history="1">
              <w:r w:rsidR="00381252" w:rsidRPr="00381252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  <w:lang w:val="en-GB"/>
                </w:rPr>
                <w:t>C23/121</w:t>
              </w:r>
            </w:hyperlink>
          </w:p>
        </w:tc>
      </w:tr>
      <w:tr w:rsidR="00381252" w:rsidRPr="00381252" w14:paraId="620AEFB3" w14:textId="77777777" w:rsidTr="0061618D">
        <w:trPr>
          <w:jc w:val="center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1A4F" w14:textId="781B5ADC" w:rsidR="00381252" w:rsidRPr="00330178" w:rsidRDefault="0061618D" w:rsidP="003301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29"/>
              </w:tabs>
              <w:overflowPunct/>
              <w:autoSpaceDE/>
              <w:autoSpaceDN/>
              <w:adjustRightInd/>
              <w:spacing w:before="40" w:after="40" w:line="256" w:lineRule="auto"/>
              <w:ind w:left="1735" w:hanging="1735"/>
              <w:textAlignment w:val="auto"/>
              <w:rPr>
                <w:rFonts w:cs="Arial"/>
                <w:bCs/>
                <w:sz w:val="22"/>
                <w:szCs w:val="22"/>
                <w:lang w:eastAsia="zh-CN"/>
              </w:rPr>
            </w:pPr>
            <w:r w:rsidRPr="00330178">
              <w:rPr>
                <w:rFonts w:cs="Arial"/>
                <w:bCs/>
                <w:sz w:val="22"/>
                <w:szCs w:val="22"/>
                <w:lang w:eastAsia="zh-CN"/>
              </w:rPr>
              <w:t>Résolution</w:t>
            </w:r>
            <w:r w:rsidR="00381252" w:rsidRPr="00330178">
              <w:rPr>
                <w:rFonts w:cs="Arial"/>
                <w:bCs/>
                <w:sz w:val="22"/>
                <w:szCs w:val="22"/>
                <w:lang w:eastAsia="zh-CN"/>
              </w:rPr>
              <w:t xml:space="preserve"> </w:t>
            </w:r>
            <w:r w:rsidR="00381252" w:rsidRPr="00330178">
              <w:rPr>
                <w:rFonts w:cs="Arial"/>
                <w:b/>
                <w:sz w:val="22"/>
                <w:szCs w:val="22"/>
                <w:lang w:eastAsia="zh-CN"/>
              </w:rPr>
              <w:t>1408</w:t>
            </w:r>
            <w:r w:rsidR="00330178" w:rsidRPr="00330178">
              <w:rPr>
                <w:rFonts w:cs="Arial"/>
                <w:bCs/>
                <w:sz w:val="22"/>
                <w:szCs w:val="22"/>
                <w:lang w:eastAsia="zh-CN"/>
              </w:rPr>
              <w:tab/>
              <w:t>Assistance et appui à l'Ukraine pour la reconstruction de son secteur des télécommunications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CA4D78" w14:textId="109798F8" w:rsidR="00381252" w:rsidRPr="00381252" w:rsidRDefault="002B749A" w:rsidP="0038125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 w:line="257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  <w:u w:val="single"/>
                <w:lang w:val="en-GB"/>
              </w:rPr>
            </w:pPr>
            <w:hyperlink r:id="rId15" w:history="1">
              <w:r w:rsidR="00381252" w:rsidRPr="00381252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  <w:lang w:val="en-GB"/>
                </w:rPr>
                <w:t>C23/122</w:t>
              </w:r>
            </w:hyperlink>
          </w:p>
        </w:tc>
      </w:tr>
    </w:tbl>
    <w:p w14:paraId="1AED7A41" w14:textId="77777777" w:rsidR="00671EBF" w:rsidRDefault="00671EBF" w:rsidP="003001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  <w:rPr>
          <w:rFonts w:cs="Arial"/>
          <w:sz w:val="22"/>
          <w:szCs w:val="24"/>
          <w:lang w:val="en-GB" w:eastAsia="zh-CN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3"/>
        <w:gridCol w:w="1771"/>
      </w:tblGrid>
      <w:tr w:rsidR="00671EBF" w:rsidRPr="003001C7" w14:paraId="4FBE02D5" w14:textId="77777777" w:rsidTr="0061618D">
        <w:trPr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77D659" w14:textId="4B9A51F3" w:rsidR="00671EBF" w:rsidRPr="003001C7" w:rsidRDefault="003001C7" w:rsidP="0033017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 w:line="257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r w:rsidRPr="003001C7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lastRenderedPageBreak/>
              <w:t>Décision</w:t>
            </w:r>
            <w:r w:rsidR="00796B43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66D9CA" w14:textId="77777777" w:rsidR="00671EBF" w:rsidRPr="003001C7" w:rsidRDefault="00671EBF" w:rsidP="00671EB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r w:rsidRPr="003001C7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C23/#</w:t>
            </w:r>
          </w:p>
        </w:tc>
      </w:tr>
      <w:tr w:rsidR="0061618D" w:rsidRPr="003001C7" w14:paraId="2FCFAD31" w14:textId="77777777" w:rsidTr="0061618D">
        <w:trPr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0B50" w14:textId="648512CA" w:rsidR="0061618D" w:rsidRPr="004764C1" w:rsidRDefault="0061618D" w:rsidP="003301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ind w:left="1452" w:hanging="1452"/>
              <w:textAlignment w:val="auto"/>
              <w:rPr>
                <w:rFonts w:cs="Arial"/>
                <w:bCs/>
                <w:sz w:val="22"/>
                <w:szCs w:val="22"/>
                <w:lang w:eastAsia="zh-CN"/>
              </w:rPr>
            </w:pPr>
            <w:r w:rsidRPr="004764C1">
              <w:rPr>
                <w:rFonts w:cs="Arial"/>
                <w:bCs/>
                <w:sz w:val="22"/>
                <w:szCs w:val="22"/>
                <w:lang w:eastAsia="zh-CN"/>
              </w:rPr>
              <w:t xml:space="preserve">Décision </w:t>
            </w:r>
            <w:r w:rsidRPr="004764C1">
              <w:rPr>
                <w:rFonts w:cs="Arial"/>
                <w:b/>
                <w:sz w:val="22"/>
                <w:szCs w:val="22"/>
                <w:lang w:eastAsia="zh-CN"/>
              </w:rPr>
              <w:t>629</w:t>
            </w:r>
            <w:r w:rsidRPr="004764C1">
              <w:rPr>
                <w:rFonts w:cs="Arial"/>
                <w:bCs/>
                <w:sz w:val="22"/>
                <w:szCs w:val="22"/>
                <w:lang w:eastAsia="zh-CN"/>
              </w:rPr>
              <w:t xml:space="preserve"> </w:t>
            </w:r>
            <w:r w:rsidRPr="004764C1">
              <w:rPr>
                <w:rFonts w:cs="Arial"/>
                <w:bCs/>
                <w:sz w:val="22"/>
                <w:szCs w:val="22"/>
                <w:lang w:eastAsia="zh-CN"/>
              </w:rPr>
              <w:tab/>
            </w:r>
            <w:r w:rsidR="004764C1" w:rsidRPr="004764C1">
              <w:rPr>
                <w:rFonts w:cs="Arial"/>
                <w:bCs/>
                <w:sz w:val="22"/>
                <w:szCs w:val="22"/>
                <w:lang w:eastAsia="zh-CN"/>
              </w:rPr>
              <w:t>Convocation de l'Assemblée mondiale de normalisation des télécommunications de 2024</w:t>
            </w:r>
          </w:p>
        </w:tc>
        <w:tc>
          <w:tcPr>
            <w:tcW w:w="177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CBA041" w14:textId="4126475A" w:rsidR="0061618D" w:rsidRPr="003001C7" w:rsidRDefault="002B749A" w:rsidP="006161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sz w:val="22"/>
                <w:szCs w:val="22"/>
                <w:lang w:val="en-GB"/>
              </w:rPr>
            </w:pPr>
            <w:hyperlink r:id="rId16" w:history="1">
              <w:r w:rsidR="0061618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C23/123</w:t>
              </w:r>
            </w:hyperlink>
          </w:p>
        </w:tc>
      </w:tr>
      <w:tr w:rsidR="0061618D" w:rsidRPr="003001C7" w14:paraId="2BC48186" w14:textId="77777777" w:rsidTr="0061618D">
        <w:trPr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F788" w14:textId="27D2BF23" w:rsidR="0061618D" w:rsidRPr="004764C1" w:rsidRDefault="0061618D" w:rsidP="003301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ind w:left="1452" w:hanging="1452"/>
              <w:textAlignment w:val="auto"/>
              <w:rPr>
                <w:rFonts w:cs="Arial"/>
                <w:bCs/>
                <w:sz w:val="22"/>
                <w:szCs w:val="22"/>
                <w:lang w:eastAsia="zh-CN"/>
              </w:rPr>
            </w:pPr>
            <w:r w:rsidRPr="004764C1">
              <w:rPr>
                <w:rFonts w:cs="Arial"/>
                <w:bCs/>
                <w:sz w:val="22"/>
                <w:szCs w:val="22"/>
                <w:lang w:eastAsia="zh-CN"/>
              </w:rPr>
              <w:t>Décision</w:t>
            </w:r>
            <w:r w:rsidRPr="004764C1">
              <w:rPr>
                <w:rFonts w:cs="Arial"/>
                <w:b/>
                <w:sz w:val="22"/>
                <w:szCs w:val="22"/>
                <w:lang w:eastAsia="zh-CN"/>
              </w:rPr>
              <w:t xml:space="preserve"> 630 </w:t>
            </w:r>
            <w:r w:rsidRPr="004764C1">
              <w:rPr>
                <w:rFonts w:cs="Arial"/>
                <w:b/>
                <w:sz w:val="22"/>
                <w:szCs w:val="22"/>
                <w:lang w:eastAsia="zh-CN"/>
              </w:rPr>
              <w:tab/>
            </w:r>
            <w:r w:rsidR="004764C1" w:rsidRPr="004764C1">
              <w:rPr>
                <w:rFonts w:cs="Arial"/>
                <w:bCs/>
                <w:sz w:val="22"/>
                <w:szCs w:val="22"/>
                <w:lang w:eastAsia="zh-CN"/>
              </w:rPr>
              <w:t>Sources d'information visant à aider les États Membres à renforcer leurs capacités en matière de cybersécurité et de cyberrésilience</w:t>
            </w:r>
          </w:p>
        </w:tc>
        <w:tc>
          <w:tcPr>
            <w:tcW w:w="177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AC083A" w14:textId="3FC12D00" w:rsidR="0061618D" w:rsidRPr="003001C7" w:rsidRDefault="002B749A" w:rsidP="006161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17" w:history="1">
              <w:r w:rsidR="0061618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C23/124</w:t>
              </w:r>
            </w:hyperlink>
          </w:p>
        </w:tc>
      </w:tr>
      <w:tr w:rsidR="0061618D" w:rsidRPr="003001C7" w14:paraId="4FF599B1" w14:textId="77777777" w:rsidTr="0061618D">
        <w:trPr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D19" w14:textId="4554B4A8" w:rsidR="0061618D" w:rsidRPr="004764C1" w:rsidRDefault="0061618D" w:rsidP="003301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ind w:left="1452" w:hanging="1452"/>
              <w:textAlignment w:val="auto"/>
              <w:rPr>
                <w:rFonts w:cs="Arial"/>
                <w:bCs/>
                <w:sz w:val="22"/>
                <w:szCs w:val="22"/>
                <w:lang w:eastAsia="zh-CN"/>
              </w:rPr>
            </w:pPr>
            <w:r w:rsidRPr="004764C1">
              <w:rPr>
                <w:rFonts w:cs="Arial"/>
                <w:bCs/>
                <w:sz w:val="22"/>
                <w:szCs w:val="22"/>
                <w:lang w:eastAsia="zh-CN"/>
              </w:rPr>
              <w:t xml:space="preserve">Décision </w:t>
            </w:r>
            <w:r w:rsidRPr="004764C1">
              <w:rPr>
                <w:rFonts w:cs="Arial"/>
                <w:b/>
                <w:sz w:val="22"/>
                <w:szCs w:val="22"/>
                <w:lang w:eastAsia="zh-CN"/>
              </w:rPr>
              <w:t xml:space="preserve">631 </w:t>
            </w:r>
            <w:r w:rsidRPr="004764C1">
              <w:rPr>
                <w:rFonts w:cs="Arial"/>
                <w:b/>
                <w:sz w:val="22"/>
                <w:szCs w:val="22"/>
                <w:lang w:eastAsia="zh-CN"/>
              </w:rPr>
              <w:tab/>
            </w:r>
            <w:r w:rsidR="004764C1" w:rsidRPr="004764C1">
              <w:rPr>
                <w:rFonts w:cs="Arial"/>
                <w:bCs/>
                <w:sz w:val="22"/>
                <w:szCs w:val="22"/>
                <w:lang w:eastAsia="zh-CN"/>
              </w:rPr>
              <w:t>Décision sur l'application de la Résolution 70 intitulée "Intégration du principe de l'égalité hommes/femmes à l'UIT et promotion de l'égalité hommes/femmes et de l'autonomisation des femmes et des jeunes</w:t>
            </w:r>
            <w:r w:rsidR="004764C1">
              <w:rPr>
                <w:rFonts w:cs="Arial"/>
                <w:bCs/>
                <w:sz w:val="22"/>
                <w:szCs w:val="22"/>
                <w:lang w:eastAsia="zh-CN"/>
              </w:rPr>
              <w:t xml:space="preserve"> </w:t>
            </w:r>
            <w:r w:rsidR="004764C1" w:rsidRPr="004764C1">
              <w:rPr>
                <w:rFonts w:cs="Arial"/>
                <w:bCs/>
                <w:sz w:val="22"/>
                <w:szCs w:val="22"/>
                <w:lang w:eastAsia="zh-CN"/>
              </w:rPr>
              <w:t>filles grâce aux télécommunications/technologies de l'information et de la communication"</w:t>
            </w:r>
          </w:p>
        </w:tc>
        <w:tc>
          <w:tcPr>
            <w:tcW w:w="177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627380" w14:textId="17CDA9F4" w:rsidR="0061618D" w:rsidRPr="003001C7" w:rsidRDefault="002B749A" w:rsidP="006161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sz w:val="22"/>
                <w:szCs w:val="22"/>
                <w:lang w:val="en-GB"/>
              </w:rPr>
            </w:pPr>
            <w:hyperlink r:id="rId18" w:history="1">
              <w:r w:rsidR="0061618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C23/125</w:t>
              </w:r>
            </w:hyperlink>
          </w:p>
        </w:tc>
      </w:tr>
      <w:tr w:rsidR="0061618D" w:rsidRPr="003001C7" w14:paraId="4619C0C2" w14:textId="77777777" w:rsidTr="0061618D">
        <w:trPr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CF3C" w14:textId="00EAA8A7" w:rsidR="0061618D" w:rsidRPr="0061618D" w:rsidRDefault="0061618D" w:rsidP="003301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ind w:left="1452" w:hanging="1452"/>
              <w:textAlignment w:val="auto"/>
              <w:rPr>
                <w:rFonts w:cs="Arial"/>
                <w:bCs/>
                <w:sz w:val="22"/>
                <w:szCs w:val="22"/>
                <w:lang w:eastAsia="zh-CN"/>
              </w:rPr>
            </w:pPr>
            <w:r w:rsidRPr="0061618D">
              <w:rPr>
                <w:rFonts w:cs="Arial"/>
                <w:bCs/>
                <w:sz w:val="22"/>
                <w:szCs w:val="22"/>
                <w:lang w:eastAsia="zh-CN"/>
              </w:rPr>
              <w:t xml:space="preserve">Décision </w:t>
            </w:r>
            <w:r w:rsidRPr="0061618D">
              <w:rPr>
                <w:rFonts w:cs="Arial"/>
                <w:b/>
                <w:sz w:val="22"/>
                <w:szCs w:val="22"/>
                <w:lang w:eastAsia="zh-CN"/>
              </w:rPr>
              <w:t>632</w:t>
            </w:r>
            <w:r w:rsidRPr="0061618D">
              <w:rPr>
                <w:rFonts w:cs="Arial"/>
                <w:bCs/>
                <w:sz w:val="22"/>
                <w:szCs w:val="22"/>
                <w:lang w:eastAsia="zh-CN"/>
              </w:rPr>
              <w:t xml:space="preserve"> </w:t>
            </w:r>
            <w:r w:rsidRPr="0061618D">
              <w:rPr>
                <w:rFonts w:cs="Arial"/>
                <w:bCs/>
                <w:sz w:val="22"/>
                <w:szCs w:val="22"/>
                <w:lang w:eastAsia="zh-CN"/>
              </w:rPr>
              <w:tab/>
            </w:r>
            <w:r w:rsidR="004764C1" w:rsidRPr="004764C1">
              <w:rPr>
                <w:rFonts w:cs="Arial"/>
                <w:bCs/>
                <w:sz w:val="22"/>
                <w:szCs w:val="22"/>
                <w:lang w:eastAsia="zh-CN"/>
              </w:rPr>
              <w:t>Groupe d'experts sur la Décision 482 (EG-DEC482)</w:t>
            </w:r>
          </w:p>
        </w:tc>
        <w:tc>
          <w:tcPr>
            <w:tcW w:w="177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1A0AB7" w14:textId="6850C0F3" w:rsidR="0061618D" w:rsidRPr="003001C7" w:rsidRDefault="002B749A" w:rsidP="006161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sz w:val="22"/>
                <w:szCs w:val="22"/>
              </w:rPr>
            </w:pPr>
            <w:hyperlink r:id="rId19" w:history="1">
              <w:r w:rsidR="0061618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C23/126</w:t>
              </w:r>
            </w:hyperlink>
          </w:p>
        </w:tc>
      </w:tr>
      <w:tr w:rsidR="0061618D" w:rsidRPr="003001C7" w14:paraId="51ECAB31" w14:textId="77777777" w:rsidTr="0061618D">
        <w:trPr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86E7" w14:textId="31F0AC68" w:rsidR="0061618D" w:rsidRPr="004764C1" w:rsidRDefault="0061618D" w:rsidP="003301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ind w:left="1452" w:hanging="1452"/>
              <w:textAlignment w:val="auto"/>
              <w:rPr>
                <w:rFonts w:cs="Arial"/>
                <w:bCs/>
                <w:sz w:val="22"/>
                <w:szCs w:val="22"/>
                <w:lang w:eastAsia="zh-CN"/>
              </w:rPr>
            </w:pPr>
            <w:r w:rsidRPr="004764C1">
              <w:rPr>
                <w:rFonts w:cs="Arial"/>
                <w:bCs/>
                <w:sz w:val="22"/>
                <w:szCs w:val="22"/>
                <w:lang w:eastAsia="zh-CN"/>
              </w:rPr>
              <w:t xml:space="preserve">Décision </w:t>
            </w:r>
            <w:r w:rsidRPr="004764C1">
              <w:rPr>
                <w:rFonts w:cs="Arial"/>
                <w:b/>
                <w:sz w:val="22"/>
                <w:szCs w:val="22"/>
                <w:lang w:eastAsia="zh-CN"/>
              </w:rPr>
              <w:t>633</w:t>
            </w:r>
            <w:r w:rsidRPr="004764C1">
              <w:rPr>
                <w:rFonts w:cs="Arial"/>
                <w:bCs/>
                <w:sz w:val="22"/>
                <w:szCs w:val="22"/>
                <w:lang w:eastAsia="zh-CN"/>
              </w:rPr>
              <w:t xml:space="preserve"> </w:t>
            </w:r>
            <w:r w:rsidRPr="004764C1">
              <w:rPr>
                <w:rFonts w:cs="Arial"/>
                <w:bCs/>
                <w:sz w:val="22"/>
                <w:szCs w:val="22"/>
                <w:lang w:eastAsia="zh-CN"/>
              </w:rPr>
              <w:tab/>
            </w:r>
            <w:r w:rsidR="004764C1" w:rsidRPr="004764C1">
              <w:rPr>
                <w:rFonts w:cs="Arial"/>
                <w:bCs/>
                <w:sz w:val="22"/>
                <w:szCs w:val="22"/>
                <w:lang w:eastAsia="zh-CN"/>
              </w:rPr>
              <w:t>Nomination des membres du Comité consultatif indépendant pour les questions de gestion</w:t>
            </w:r>
          </w:p>
        </w:tc>
        <w:tc>
          <w:tcPr>
            <w:tcW w:w="177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222B86" w14:textId="13BF6758" w:rsidR="0061618D" w:rsidRPr="003001C7" w:rsidRDefault="002B749A" w:rsidP="006161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sz w:val="22"/>
                <w:szCs w:val="22"/>
              </w:rPr>
            </w:pPr>
            <w:hyperlink r:id="rId20" w:history="1">
              <w:r w:rsidR="0061618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C23/127</w:t>
              </w:r>
            </w:hyperlink>
          </w:p>
        </w:tc>
      </w:tr>
      <w:tr w:rsidR="0061618D" w:rsidRPr="003001C7" w14:paraId="2F3AEF1F" w14:textId="77777777" w:rsidTr="0061618D">
        <w:trPr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EAE1" w14:textId="572169AE" w:rsidR="0061618D" w:rsidRPr="004764C1" w:rsidRDefault="0061618D" w:rsidP="003301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256" w:lineRule="auto"/>
              <w:ind w:left="1452" w:hanging="1452"/>
              <w:textAlignment w:val="auto"/>
              <w:rPr>
                <w:rFonts w:cs="Arial"/>
                <w:b/>
                <w:sz w:val="22"/>
                <w:szCs w:val="22"/>
                <w:lang w:eastAsia="zh-CN"/>
              </w:rPr>
            </w:pPr>
            <w:r w:rsidRPr="004764C1">
              <w:rPr>
                <w:rFonts w:cs="Arial"/>
                <w:bCs/>
                <w:sz w:val="22"/>
                <w:szCs w:val="22"/>
                <w:lang w:eastAsia="zh-CN"/>
              </w:rPr>
              <w:t>Décision</w:t>
            </w:r>
            <w:r w:rsidRPr="004764C1">
              <w:rPr>
                <w:rFonts w:cs="Arial"/>
                <w:b/>
                <w:sz w:val="22"/>
                <w:szCs w:val="22"/>
                <w:lang w:eastAsia="zh-CN"/>
              </w:rPr>
              <w:t xml:space="preserve"> 634</w:t>
            </w:r>
            <w:r w:rsidRPr="004764C1">
              <w:rPr>
                <w:rFonts w:cs="Arial"/>
                <w:bCs/>
                <w:sz w:val="22"/>
                <w:szCs w:val="22"/>
                <w:lang w:eastAsia="zh-CN"/>
              </w:rPr>
              <w:t xml:space="preserve"> </w:t>
            </w:r>
            <w:r w:rsidRPr="004764C1">
              <w:rPr>
                <w:rFonts w:cs="Arial"/>
                <w:bCs/>
                <w:sz w:val="22"/>
                <w:szCs w:val="22"/>
                <w:lang w:eastAsia="zh-CN"/>
              </w:rPr>
              <w:tab/>
            </w:r>
            <w:r w:rsidR="004764C1" w:rsidRPr="004764C1">
              <w:rPr>
                <w:rFonts w:cs="Arial"/>
                <w:bCs/>
                <w:sz w:val="22"/>
                <w:szCs w:val="22"/>
                <w:lang w:eastAsia="zh-CN"/>
              </w:rPr>
              <w:t>Passation par pertes et profits d'intérêts moratoires et de créances irrécupérables</w:t>
            </w:r>
          </w:p>
        </w:tc>
        <w:tc>
          <w:tcPr>
            <w:tcW w:w="177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E06979" w14:textId="78A08E02" w:rsidR="0061618D" w:rsidRPr="003001C7" w:rsidRDefault="002B749A" w:rsidP="0061618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hyperlink r:id="rId21" w:history="1">
              <w:r w:rsidR="0061618D" w:rsidRPr="00B14DD1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</w:rPr>
                <w:t>C23/128</w:t>
              </w:r>
            </w:hyperlink>
          </w:p>
        </w:tc>
      </w:tr>
    </w:tbl>
    <w:p w14:paraId="2A12B2C6" w14:textId="77777777" w:rsidR="00381252" w:rsidRDefault="00381252" w:rsidP="003001C7">
      <w:pPr>
        <w:spacing w:before="240"/>
        <w:jc w:val="center"/>
        <w:rPr>
          <w:lang w:val="en-GB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3"/>
        <w:gridCol w:w="1551"/>
      </w:tblGrid>
      <w:tr w:rsidR="00381252" w:rsidRPr="00381252" w14:paraId="49F1833C" w14:textId="77777777" w:rsidTr="0061618D">
        <w:trPr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C1DD14" w14:textId="51E6A393" w:rsidR="00381252" w:rsidRPr="00381252" w:rsidRDefault="00381252" w:rsidP="0038125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120"/>
              </w:tabs>
              <w:overflowPunct/>
              <w:autoSpaceDE/>
              <w:autoSpaceDN/>
              <w:adjustRightInd/>
              <w:spacing w:before="80" w:after="80" w:line="256" w:lineRule="auto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bookmarkStart w:id="0" w:name="_Hlk144737562"/>
            <w:r w:rsidRPr="00381252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ab/>
            </w:r>
            <w:r w:rsidR="00796B43" w:rsidRPr="00796B43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 xml:space="preserve">Décisions </w:t>
            </w:r>
            <w:r w:rsidR="003001C7" w:rsidRPr="003001C7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modifiée</w:t>
            </w:r>
            <w:r w:rsidR="00796B43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4B4061" w14:textId="77777777" w:rsidR="00381252" w:rsidRPr="00381252" w:rsidRDefault="00381252" w:rsidP="0038125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0" w:after="80" w:line="256" w:lineRule="auto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en-US" w:eastAsia="zh-CN"/>
              </w:rPr>
            </w:pPr>
            <w:r w:rsidRPr="00381252">
              <w:rPr>
                <w:rFonts w:cs="Arial"/>
                <w:b/>
                <w:bCs/>
                <w:sz w:val="22"/>
                <w:szCs w:val="22"/>
                <w:lang w:val="en-US" w:eastAsia="zh-CN"/>
              </w:rPr>
              <w:t>C23/#</w:t>
            </w:r>
          </w:p>
        </w:tc>
      </w:tr>
      <w:tr w:rsidR="00381252" w:rsidRPr="00381252" w14:paraId="6F17E4D0" w14:textId="77777777" w:rsidTr="0061618D">
        <w:trPr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EE6" w14:textId="1463F8FB" w:rsidR="00381252" w:rsidRPr="006932AD" w:rsidRDefault="0061618D" w:rsidP="006932A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572"/>
              </w:tabs>
              <w:overflowPunct/>
              <w:autoSpaceDE/>
              <w:autoSpaceDN/>
              <w:adjustRightInd/>
              <w:spacing w:before="40" w:after="40" w:line="256" w:lineRule="auto"/>
              <w:ind w:left="1452" w:hanging="1452"/>
              <w:textAlignment w:val="auto"/>
              <w:rPr>
                <w:rFonts w:cs="Arial"/>
                <w:bCs/>
                <w:sz w:val="22"/>
                <w:szCs w:val="22"/>
                <w:lang w:eastAsia="zh-CN"/>
              </w:rPr>
            </w:pPr>
            <w:r w:rsidRPr="006932AD">
              <w:rPr>
                <w:rFonts w:cs="Arial"/>
                <w:bCs/>
                <w:sz w:val="22"/>
                <w:szCs w:val="22"/>
                <w:lang w:eastAsia="zh-CN"/>
              </w:rPr>
              <w:t>Décision</w:t>
            </w:r>
            <w:r w:rsidR="00381252" w:rsidRPr="006932AD">
              <w:rPr>
                <w:rFonts w:cs="Arial"/>
                <w:bCs/>
                <w:sz w:val="22"/>
                <w:szCs w:val="22"/>
                <w:lang w:eastAsia="zh-CN"/>
              </w:rPr>
              <w:t xml:space="preserve"> </w:t>
            </w:r>
            <w:r w:rsidR="00381252" w:rsidRPr="006932AD">
              <w:rPr>
                <w:rFonts w:cs="Arial"/>
                <w:b/>
                <w:sz w:val="22"/>
                <w:szCs w:val="22"/>
                <w:lang w:eastAsia="zh-CN"/>
              </w:rPr>
              <w:t>563</w:t>
            </w:r>
            <w:r w:rsidR="00330178" w:rsidRPr="006932AD">
              <w:rPr>
                <w:rFonts w:cs="Arial"/>
                <w:bCs/>
                <w:sz w:val="22"/>
                <w:szCs w:val="22"/>
                <w:lang w:eastAsia="zh-CN"/>
              </w:rPr>
              <w:tab/>
            </w:r>
            <w:r w:rsidR="006932AD" w:rsidRPr="006932AD">
              <w:rPr>
                <w:rFonts w:cs="Arial"/>
                <w:bCs/>
                <w:sz w:val="22"/>
                <w:szCs w:val="22"/>
                <w:lang w:eastAsia="zh-CN"/>
              </w:rPr>
              <w:t>Groupe de travail du Conseil sur les ressources financières et les ressources humaines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9900C" w14:textId="188BDDB6" w:rsidR="00381252" w:rsidRPr="00381252" w:rsidRDefault="002B749A" w:rsidP="0038125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 w:line="256" w:lineRule="auto"/>
              <w:jc w:val="center"/>
              <w:textAlignment w:val="auto"/>
              <w:rPr>
                <w:sz w:val="22"/>
                <w:szCs w:val="22"/>
                <w:highlight w:val="yellow"/>
                <w:lang w:val="en-GB"/>
              </w:rPr>
            </w:pPr>
            <w:hyperlink r:id="rId22" w:history="1">
              <w:r w:rsidR="00381252" w:rsidRPr="00381252">
                <w:rPr>
                  <w:rFonts w:asciiTheme="minorHAnsi" w:hAnsiTheme="minorHAnsi" w:cstheme="minorHAnsi"/>
                  <w:b/>
                  <w:bCs/>
                  <w:color w:val="0000FF"/>
                  <w:sz w:val="22"/>
                  <w:szCs w:val="22"/>
                  <w:u w:val="single"/>
                  <w:lang w:val="en-GB"/>
                </w:rPr>
                <w:t>C23/129</w:t>
              </w:r>
            </w:hyperlink>
          </w:p>
        </w:tc>
      </w:tr>
    </w:tbl>
    <w:bookmarkEnd w:id="0"/>
    <w:p w14:paraId="05309BCC" w14:textId="634EE764" w:rsidR="00897553" w:rsidRDefault="00671EBF" w:rsidP="00671EBF">
      <w:pPr>
        <w:spacing w:before="600"/>
        <w:jc w:val="center"/>
      </w:pPr>
      <w:r w:rsidRPr="00671EBF">
        <w:rPr>
          <w:lang w:val="en-GB"/>
        </w:rPr>
        <w:t>______________</w:t>
      </w:r>
    </w:p>
    <w:sectPr w:rsidR="00897553" w:rsidSect="00D72F49">
      <w:headerReference w:type="even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6BE431B3" w:rsidR="00732045" w:rsidRDefault="00796B43">
    <w:pPr>
      <w:pStyle w:val="Footer"/>
    </w:pPr>
    <w:fldSimple w:instr=" FILENAME \p \* MERGEFORMAT ">
      <w:r w:rsidR="00E4428F">
        <w:t>Document4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2B749A">
      <w:t>13.09.23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4428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4C751A63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81252">
            <w:rPr>
              <w:noProof/>
            </w:rPr>
            <w:t>527474</w:t>
          </w:r>
        </w:p>
      </w:tc>
      <w:tc>
        <w:tcPr>
          <w:tcW w:w="8261" w:type="dxa"/>
        </w:tcPr>
        <w:p w14:paraId="0DB0A3C6" w14:textId="351DBEEE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81252">
            <w:rPr>
              <w:bCs/>
            </w:rPr>
            <w:t>130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77777777" w:rsidR="00732045" w:rsidRPr="00A51849" w:rsidRDefault="00732045" w:rsidP="00A518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2B749A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28E4E925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81252">
            <w:rPr>
              <w:bCs/>
            </w:rPr>
            <w:t>130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77777777" w:rsidR="00732045" w:rsidRPr="00A51849" w:rsidRDefault="00732045" w:rsidP="00A51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76A2C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26657"/>
    <w:rsid w:val="002477A2"/>
    <w:rsid w:val="00263A51"/>
    <w:rsid w:val="00267E02"/>
    <w:rsid w:val="00293597"/>
    <w:rsid w:val="002A5D44"/>
    <w:rsid w:val="002B749A"/>
    <w:rsid w:val="002E0BC4"/>
    <w:rsid w:val="002F1B76"/>
    <w:rsid w:val="003001C7"/>
    <w:rsid w:val="00330178"/>
    <w:rsid w:val="00334E4C"/>
    <w:rsid w:val="0033568E"/>
    <w:rsid w:val="00355FF5"/>
    <w:rsid w:val="00361350"/>
    <w:rsid w:val="00381252"/>
    <w:rsid w:val="003C3FAE"/>
    <w:rsid w:val="004038CB"/>
    <w:rsid w:val="0040546F"/>
    <w:rsid w:val="0042404A"/>
    <w:rsid w:val="0044618F"/>
    <w:rsid w:val="0046769A"/>
    <w:rsid w:val="00475FB3"/>
    <w:rsid w:val="004764C1"/>
    <w:rsid w:val="004C37A9"/>
    <w:rsid w:val="004D1D50"/>
    <w:rsid w:val="004F259E"/>
    <w:rsid w:val="00511F1D"/>
    <w:rsid w:val="00520F36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7BFE"/>
    <w:rsid w:val="00600017"/>
    <w:rsid w:val="0061618D"/>
    <w:rsid w:val="006235CA"/>
    <w:rsid w:val="006643AB"/>
    <w:rsid w:val="00671EBF"/>
    <w:rsid w:val="006932AD"/>
    <w:rsid w:val="006F0A53"/>
    <w:rsid w:val="007210CD"/>
    <w:rsid w:val="00732045"/>
    <w:rsid w:val="007369DB"/>
    <w:rsid w:val="007956C2"/>
    <w:rsid w:val="00796B43"/>
    <w:rsid w:val="007A187E"/>
    <w:rsid w:val="007C72C2"/>
    <w:rsid w:val="007D4436"/>
    <w:rsid w:val="007F257A"/>
    <w:rsid w:val="007F3665"/>
    <w:rsid w:val="00800037"/>
    <w:rsid w:val="0083391C"/>
    <w:rsid w:val="00861D73"/>
    <w:rsid w:val="00897553"/>
    <w:rsid w:val="008A4E87"/>
    <w:rsid w:val="008D76E6"/>
    <w:rsid w:val="0092392D"/>
    <w:rsid w:val="0093234A"/>
    <w:rsid w:val="00956A78"/>
    <w:rsid w:val="0097363B"/>
    <w:rsid w:val="00973F53"/>
    <w:rsid w:val="009C307F"/>
    <w:rsid w:val="009C353C"/>
    <w:rsid w:val="00A2113E"/>
    <w:rsid w:val="00A23A51"/>
    <w:rsid w:val="00A24607"/>
    <w:rsid w:val="00A25CD3"/>
    <w:rsid w:val="00A51849"/>
    <w:rsid w:val="00A709FE"/>
    <w:rsid w:val="00A73C60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42437"/>
    <w:rsid w:val="00CA08ED"/>
    <w:rsid w:val="00CF183B"/>
    <w:rsid w:val="00D375CD"/>
    <w:rsid w:val="00D553A2"/>
    <w:rsid w:val="00D72F49"/>
    <w:rsid w:val="00D774D3"/>
    <w:rsid w:val="00D904E8"/>
    <w:rsid w:val="00DA08C3"/>
    <w:rsid w:val="00DB5A3E"/>
    <w:rsid w:val="00DC22AA"/>
    <w:rsid w:val="00DF74DD"/>
    <w:rsid w:val="00E25AD0"/>
    <w:rsid w:val="00E4428F"/>
    <w:rsid w:val="00E93668"/>
    <w:rsid w:val="00E95647"/>
    <w:rsid w:val="00EB6350"/>
    <w:rsid w:val="00F15B57"/>
    <w:rsid w:val="00F35EF4"/>
    <w:rsid w:val="00F37FE5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15/fr" TargetMode="External"/><Relationship Id="rId13" Type="http://schemas.openxmlformats.org/officeDocument/2006/relationships/hyperlink" Target="https://www.itu.int/md/S23-CL-C-0120/fr" TargetMode="External"/><Relationship Id="rId18" Type="http://schemas.openxmlformats.org/officeDocument/2006/relationships/hyperlink" Target="https://www.itu.int/md/S23-CL-C-0125/fr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www.itu.int/md/S23-CL-C-0128/fr" TargetMode="External"/><Relationship Id="rId7" Type="http://schemas.openxmlformats.org/officeDocument/2006/relationships/hyperlink" Target="https://www.itu.int/md/S23-CL-C-0114/fr" TargetMode="External"/><Relationship Id="rId12" Type="http://schemas.openxmlformats.org/officeDocument/2006/relationships/hyperlink" Target="https://www.itu.int/md/S23-CL-C-0119/fr" TargetMode="External"/><Relationship Id="rId17" Type="http://schemas.openxmlformats.org/officeDocument/2006/relationships/hyperlink" Target="https://www.itu.int/md/S23-CL-C-0124/fr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23-CL-C-0123/fr" TargetMode="External"/><Relationship Id="rId20" Type="http://schemas.openxmlformats.org/officeDocument/2006/relationships/hyperlink" Target="https://www.itu.int/md/S23-CL-C-0127/f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tu.int/md/S23-CL-C-0113/fr" TargetMode="External"/><Relationship Id="rId11" Type="http://schemas.openxmlformats.org/officeDocument/2006/relationships/hyperlink" Target="https://www.itu.int/md/S23-CL-C-0118/fr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23-CL-C-0122/fr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23-CL-C-0117/fr" TargetMode="External"/><Relationship Id="rId19" Type="http://schemas.openxmlformats.org/officeDocument/2006/relationships/hyperlink" Target="https://www.itu.int/md/S23-CL-C-0126/f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23-CL-C-0116/fr" TargetMode="External"/><Relationship Id="rId14" Type="http://schemas.openxmlformats.org/officeDocument/2006/relationships/hyperlink" Target="https://www.itu.int/md/S23-CL-C-0121/fr" TargetMode="External"/><Relationship Id="rId22" Type="http://schemas.openxmlformats.org/officeDocument/2006/relationships/hyperlink" Target="https://www.itu.int/md/S23-CL-C-0129/fr" TargetMode="Externa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331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RÉSOLUTIONS ET DÉCISIONS</vt:lpstr>
    </vt:vector>
  </TitlesOfParts>
  <Manager>Secrétariat général - Pool</Manager>
  <Company>Union internationale des télécommunications (UIT)</Company>
  <LinksUpToDate>false</LinksUpToDate>
  <CharactersWithSpaces>3318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RÉSOLUTIONS ET DÉCISIONS</dc:title>
  <dc:subject>Conseil 2023</dc:subject>
  <dc:creator>Xue, Kun</dc:creator>
  <cp:keywords>C2023, C23, Council-23</cp:keywords>
  <dc:description/>
  <cp:lastModifiedBy>Xue, Kun</cp:lastModifiedBy>
  <cp:revision>7</cp:revision>
  <cp:lastPrinted>2000-07-18T08:55:00Z</cp:lastPrinted>
  <dcterms:created xsi:type="dcterms:W3CDTF">2023-06-26T15:20:00Z</dcterms:created>
  <dcterms:modified xsi:type="dcterms:W3CDTF">2023-10-02T15:45:00Z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