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351E3" w:rsidRPr="00B86C33" w14:paraId="209BF8D5" w14:textId="77777777" w:rsidTr="00D6443D">
        <w:trPr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57201C5" w14:textId="6350647F" w:rsidR="00E351E3" w:rsidRPr="00B86C33" w:rsidRDefault="00E351E3" w:rsidP="00BA0C5E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5245" w:type="dxa"/>
          </w:tcPr>
          <w:p w14:paraId="71BAA6C0" w14:textId="3C39CAF2" w:rsidR="00E351E3" w:rsidRPr="00B86C33" w:rsidRDefault="00381574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86C33">
              <w:rPr>
                <w:b/>
              </w:rPr>
              <w:t>Document C23/</w:t>
            </w:r>
            <w:r w:rsidR="00FC7348">
              <w:rPr>
                <w:rFonts w:eastAsia="Times New Roman"/>
                <w:b/>
              </w:rPr>
              <w:t>12</w:t>
            </w:r>
            <w:r w:rsidR="00D11ADA">
              <w:rPr>
                <w:rFonts w:eastAsia="Times New Roman"/>
                <w:b/>
              </w:rPr>
              <w:t>8</w:t>
            </w:r>
            <w:r w:rsidRPr="00B86C33">
              <w:rPr>
                <w:b/>
              </w:rPr>
              <w:t>-F</w:t>
            </w:r>
          </w:p>
        </w:tc>
      </w:tr>
      <w:tr w:rsidR="00E351E3" w:rsidRPr="00B86C33" w14:paraId="0F493FDC" w14:textId="77777777" w:rsidTr="00D6443D">
        <w:tc>
          <w:tcPr>
            <w:tcW w:w="3969" w:type="dxa"/>
            <w:vMerge/>
          </w:tcPr>
          <w:p w14:paraId="1AA5B835" w14:textId="77777777" w:rsidR="00E351E3" w:rsidRPr="00B86C33" w:rsidRDefault="00E351E3" w:rsidP="00BA0C5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62987EE7" w14:textId="25B9FB26" w:rsidR="00E351E3" w:rsidRPr="00B86C33" w:rsidRDefault="00FC7348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Pr="00FC7348">
              <w:rPr>
                <w:b/>
              </w:rPr>
              <w:t xml:space="preserve">août </w:t>
            </w:r>
            <w:r w:rsidR="00381574" w:rsidRPr="00B86C33">
              <w:rPr>
                <w:b/>
              </w:rPr>
              <w:t>2023</w:t>
            </w:r>
          </w:p>
        </w:tc>
      </w:tr>
      <w:tr w:rsidR="00E351E3" w:rsidRPr="00B86C33" w14:paraId="3619C611" w14:textId="77777777" w:rsidTr="00D6443D">
        <w:trPr>
          <w:trHeight w:val="23"/>
        </w:trPr>
        <w:tc>
          <w:tcPr>
            <w:tcW w:w="3969" w:type="dxa"/>
            <w:vMerge/>
          </w:tcPr>
          <w:p w14:paraId="08238988" w14:textId="77777777" w:rsidR="00E351E3" w:rsidRPr="00B86C33" w:rsidRDefault="00E351E3" w:rsidP="00BA0C5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565FD922" w14:textId="1AAFC327" w:rsidR="00E351E3" w:rsidRPr="00B86C33" w:rsidRDefault="00381574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gramStart"/>
            <w:r w:rsidRPr="00B86C33">
              <w:rPr>
                <w:b/>
              </w:rPr>
              <w:t>Original</w:t>
            </w:r>
            <w:r w:rsidR="00BA0C5E" w:rsidRPr="00B86C33">
              <w:rPr>
                <w:b/>
              </w:rPr>
              <w:t>:</w:t>
            </w:r>
            <w:proofErr w:type="gramEnd"/>
            <w:r w:rsidRPr="00B86C33">
              <w:rPr>
                <w:b/>
              </w:rPr>
              <w:t xml:space="preserve"> anglais</w:t>
            </w:r>
          </w:p>
        </w:tc>
      </w:tr>
      <w:tr w:rsidR="00E351E3" w:rsidRPr="00B86C33" w14:paraId="5036B484" w14:textId="77777777" w:rsidTr="00D6443D">
        <w:trPr>
          <w:trHeight w:val="23"/>
        </w:trPr>
        <w:tc>
          <w:tcPr>
            <w:tcW w:w="3969" w:type="dxa"/>
          </w:tcPr>
          <w:p w14:paraId="15D0566A" w14:textId="77777777" w:rsidR="00E351E3" w:rsidRPr="00B86C33" w:rsidRDefault="00E351E3" w:rsidP="00BA0C5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48FEAFC" w14:textId="77777777" w:rsidR="00E351E3" w:rsidRPr="00B86C33" w:rsidRDefault="00E351E3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</w:tbl>
    <w:p w14:paraId="5B604E5D" w14:textId="1B5CEE87" w:rsidR="00AA5D37" w:rsidRPr="00B86C33" w:rsidRDefault="00AA5D37"/>
    <w:p w14:paraId="6B4771E6" w14:textId="71914C9C" w:rsidR="00E351E3" w:rsidRDefault="00381574" w:rsidP="00814B46">
      <w:pPr>
        <w:pStyle w:val="ResNo"/>
      </w:pPr>
      <w:r w:rsidRPr="00B86C33">
        <w:t xml:space="preserve">DÉCISION </w:t>
      </w:r>
      <w:r w:rsidR="00FC7348">
        <w:t>63</w:t>
      </w:r>
      <w:r w:rsidR="00D11ADA">
        <w:t>4</w:t>
      </w:r>
    </w:p>
    <w:p w14:paraId="199622BD" w14:textId="132B6F45" w:rsidR="00814B46" w:rsidRPr="00814B46" w:rsidRDefault="00814B46" w:rsidP="00814B46">
      <w:pPr>
        <w:jc w:val="center"/>
      </w:pPr>
      <w:r w:rsidRPr="00814B46">
        <w:t>(</w:t>
      </w:r>
      <w:proofErr w:type="gramStart"/>
      <w:r w:rsidRPr="00814B46">
        <w:t>adoptée</w:t>
      </w:r>
      <w:proofErr w:type="gramEnd"/>
      <w:r w:rsidRPr="00814B46">
        <w:t xml:space="preserve"> à la </w:t>
      </w:r>
      <w:r w:rsidR="00FC7348">
        <w:t>septième</w:t>
      </w:r>
      <w:r>
        <w:t xml:space="preserve"> </w:t>
      </w:r>
      <w:r w:rsidRPr="00814B46">
        <w:t>séance plénière)</w:t>
      </w:r>
    </w:p>
    <w:p w14:paraId="5583C3BE" w14:textId="77777777" w:rsidR="00D11ADA" w:rsidRPr="00D11ADA" w:rsidRDefault="00D11ADA" w:rsidP="00D11ADA">
      <w:pPr>
        <w:pStyle w:val="Restitle"/>
      </w:pPr>
      <w:r w:rsidRPr="00D11ADA">
        <w:t>Passation par pertes et profits d'intérêts moratoires et</w:t>
      </w:r>
      <w:r w:rsidRPr="00D11ADA">
        <w:br/>
        <w:t>de créances irrécupérables</w:t>
      </w:r>
    </w:p>
    <w:p w14:paraId="3AF94057" w14:textId="77777777" w:rsidR="00D11ADA" w:rsidRPr="00D11ADA" w:rsidRDefault="00D11ADA" w:rsidP="00D11ADA">
      <w:pPr>
        <w:pStyle w:val="Normalaftertitle"/>
      </w:pPr>
      <w:r w:rsidRPr="00D11ADA">
        <w:t>Le Conseil de l'UIT,</w:t>
      </w:r>
    </w:p>
    <w:p w14:paraId="07262E2A" w14:textId="77777777" w:rsidR="00D11ADA" w:rsidRPr="00D11ADA" w:rsidRDefault="00D11ADA" w:rsidP="00D11ADA">
      <w:pPr>
        <w:pStyle w:val="Call"/>
      </w:pPr>
      <w:proofErr w:type="gramStart"/>
      <w:r w:rsidRPr="00D11ADA">
        <w:t>ayant</w:t>
      </w:r>
      <w:proofErr w:type="gramEnd"/>
      <w:r w:rsidRPr="00D11ADA">
        <w:t xml:space="preserve"> examiné</w:t>
      </w:r>
    </w:p>
    <w:p w14:paraId="5EC5AB97" w14:textId="77777777" w:rsidR="00D11ADA" w:rsidRPr="00D11ADA" w:rsidRDefault="00D11ADA" w:rsidP="00D11ADA">
      <w:pPr>
        <w:rPr>
          <w:szCs w:val="24"/>
        </w:rPr>
      </w:pPr>
      <w:proofErr w:type="gramStart"/>
      <w:r w:rsidRPr="00D11ADA">
        <w:t>le</w:t>
      </w:r>
      <w:proofErr w:type="gramEnd"/>
      <w:r w:rsidRPr="00D11ADA">
        <w:t xml:space="preserve"> Rapport du Secrétaire général sur les arriérés et comptes spéciaux d'arriérés (</w:t>
      </w:r>
      <w:hyperlink r:id="rId8" w:history="1">
        <w:r w:rsidRPr="00D11ADA">
          <w:rPr>
            <w:color w:val="0000FF"/>
            <w:u w:val="single"/>
          </w:rPr>
          <w:t>Document C23/11</w:t>
        </w:r>
      </w:hyperlink>
      <w:r w:rsidRPr="00D11ADA">
        <w:t>)</w:t>
      </w:r>
      <w:r w:rsidRPr="00D11ADA">
        <w:rPr>
          <w:szCs w:val="24"/>
        </w:rPr>
        <w:t>,</w:t>
      </w:r>
    </w:p>
    <w:p w14:paraId="6054B1BF" w14:textId="77777777" w:rsidR="00D11ADA" w:rsidRPr="00D11ADA" w:rsidRDefault="00D11ADA" w:rsidP="00D11ADA">
      <w:pPr>
        <w:pStyle w:val="Call"/>
      </w:pPr>
      <w:proofErr w:type="gramStart"/>
      <w:r w:rsidRPr="00D11ADA">
        <w:t>décide</w:t>
      </w:r>
      <w:proofErr w:type="gramEnd"/>
    </w:p>
    <w:p w14:paraId="2C33C9D3" w14:textId="1EBEF875" w:rsidR="00D11ADA" w:rsidRDefault="00D11ADA" w:rsidP="00D11ADA">
      <w:proofErr w:type="gramStart"/>
      <w:r w:rsidRPr="00D11ADA">
        <w:t>d'approuver</w:t>
      </w:r>
      <w:proofErr w:type="gramEnd"/>
      <w:r w:rsidRPr="00D11ADA">
        <w:t xml:space="preserve"> la passation par pertes et profits des intérêts moratoires et des créances irrécupérables suivants pour un montant total de </w:t>
      </w:r>
      <w:r w:rsidRPr="00D11ADA">
        <w:rPr>
          <w:b/>
          <w:bCs/>
        </w:rPr>
        <w:t xml:space="preserve">2 969 139,02 CHF </w:t>
      </w:r>
      <w:r w:rsidRPr="00D11ADA">
        <w:t>par un prélèvement correspondant sur la Provision pour comptes débiteurs. Veuillez consulter le tableau ci-dessous pour plus de précisions.</w:t>
      </w:r>
    </w:p>
    <w:p w14:paraId="6F68B399" w14:textId="6E6B6575" w:rsidR="00D11ADA" w:rsidRDefault="00D11AD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29203EE1" w14:textId="77777777" w:rsidR="00D11ADA" w:rsidRPr="00D11ADA" w:rsidRDefault="00D11ADA" w:rsidP="00D11ADA">
      <w:pPr>
        <w:spacing w:after="100" w:afterAutospacing="1"/>
        <w:rPr>
          <w:rFonts w:eastAsia="Times New Roman"/>
        </w:rPr>
      </w:pPr>
    </w:p>
    <w:tbl>
      <w:tblPr>
        <w:tblW w:w="9897" w:type="dxa"/>
        <w:tblLook w:val="04A0" w:firstRow="1" w:lastRow="0" w:firstColumn="1" w:lastColumn="0" w:noHBand="0" w:noVBand="1"/>
      </w:tblPr>
      <w:tblGrid>
        <w:gridCol w:w="1408"/>
        <w:gridCol w:w="3827"/>
        <w:gridCol w:w="1105"/>
        <w:gridCol w:w="1120"/>
        <w:gridCol w:w="1218"/>
        <w:gridCol w:w="1220"/>
      </w:tblGrid>
      <w:tr w:rsidR="00D11ADA" w:rsidRPr="00D11ADA" w14:paraId="6E4BC278" w14:textId="77777777" w:rsidTr="008317F6">
        <w:trPr>
          <w:trHeight w:val="288"/>
          <w:tblHeader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D26A8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rFonts w:eastAsia="Times New Roman"/>
                <w:b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sz w:val="19"/>
                <w:szCs w:val="19"/>
                <w:lang w:eastAsia="en-GB"/>
              </w:rPr>
              <w:t>Pays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4DDD2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rFonts w:eastAsia="Times New Roman"/>
                <w:b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sz w:val="19"/>
                <w:szCs w:val="19"/>
                <w:lang w:eastAsia="en-GB"/>
              </w:rPr>
              <w:t>Organisation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2A7477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rFonts w:eastAsia="Times New Roman"/>
                <w:b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sz w:val="19"/>
                <w:szCs w:val="19"/>
                <w:lang w:eastAsia="en-GB"/>
              </w:rPr>
              <w:t>Année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C2DBC3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rFonts w:eastAsia="Times New Roman"/>
                <w:b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sz w:val="19"/>
                <w:szCs w:val="19"/>
                <w:lang w:eastAsia="en-GB"/>
              </w:rPr>
              <w:t>Capital restant dû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759C3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rFonts w:eastAsia="Times New Roman"/>
                <w:b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sz w:val="19"/>
                <w:szCs w:val="19"/>
                <w:lang w:eastAsia="en-GB"/>
              </w:rPr>
              <w:t>Intérêts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F68B53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rFonts w:eastAsia="Times New Roman"/>
                <w:b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sz w:val="19"/>
                <w:szCs w:val="19"/>
                <w:lang w:eastAsia="en-GB"/>
              </w:rPr>
              <w:t>Total</w:t>
            </w:r>
          </w:p>
        </w:tc>
      </w:tr>
      <w:tr w:rsidR="00D11ADA" w:rsidRPr="00D11ADA" w14:paraId="42E16235" w14:textId="77777777" w:rsidTr="008317F6">
        <w:trPr>
          <w:trHeight w:val="28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0753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Libye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CE5E4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Autorité générale des communications et de l'informatique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C36DE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2014-2022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1B0B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58D64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733 619,90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DE330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733 619,90</w:t>
            </w:r>
          </w:p>
        </w:tc>
      </w:tr>
      <w:tr w:rsidR="00D11ADA" w:rsidRPr="00D11ADA" w14:paraId="75640362" w14:textId="77777777" w:rsidTr="008317F6">
        <w:trPr>
          <w:trHeight w:val="42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66D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Émirats arabes unis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2386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Autorité de régulation des télécommunications et des services publics numériques (TDRA)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B283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229B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7D8C7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27 124,40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4462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27 124,40</w:t>
            </w:r>
          </w:p>
        </w:tc>
      </w:tr>
      <w:tr w:rsidR="00D11ADA" w:rsidRPr="00D11ADA" w14:paraId="4D533898" w14:textId="77777777" w:rsidTr="008317F6">
        <w:trPr>
          <w:trHeight w:val="300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2AFCE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b/>
                <w:bCs/>
                <w:i/>
                <w:i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i/>
                <w:iCs/>
                <w:sz w:val="19"/>
                <w:szCs w:val="19"/>
                <w:lang w:eastAsia="en-GB"/>
              </w:rPr>
              <w:t>Sous-total 3.2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263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0</w:t>
            </w: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,</w:t>
            </w: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BE2E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760 744</w:t>
            </w: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,</w:t>
            </w: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30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DF6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760 744</w:t>
            </w: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,</w:t>
            </w: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30</w:t>
            </w:r>
          </w:p>
        </w:tc>
      </w:tr>
      <w:tr w:rsidR="00D11ADA" w:rsidRPr="00D11ADA" w14:paraId="321CB4E0" w14:textId="77777777" w:rsidTr="008317F6">
        <w:trPr>
          <w:trHeight w:val="28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F0D7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Algérie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362F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INPTIC, Alger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AEE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2012-2013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E080C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2 318,40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814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1 795,65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8A27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4 114,05</w:t>
            </w:r>
          </w:p>
        </w:tc>
      </w:tr>
      <w:tr w:rsidR="00D11ADA" w:rsidRPr="00D11ADA" w14:paraId="2145C366" w14:textId="77777777" w:rsidTr="008317F6">
        <w:trPr>
          <w:trHeight w:val="40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B777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Côte d'Ivoire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0BA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Association des Consommateurs de Télécommunications de Côte d'Ivoire – ACOTELCI, Abidjan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5BAB8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2007-2008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8EF6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4 306,25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4EBA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6 057,80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055BC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10 364,05</w:t>
            </w:r>
          </w:p>
        </w:tc>
      </w:tr>
      <w:tr w:rsidR="00D11ADA" w:rsidRPr="00D11ADA" w14:paraId="774ABBF4" w14:textId="77777777" w:rsidTr="008317F6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914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Côte d'Ivoire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45908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Côte d'Ivoire Telecom, Abidjan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5A69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2002-2006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3CC43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335 325,00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FFA0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648 802,50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00FC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984 127,50</w:t>
            </w:r>
          </w:p>
        </w:tc>
      </w:tr>
      <w:tr w:rsidR="00D11ADA" w:rsidRPr="00D11ADA" w14:paraId="67E8C1F7" w14:textId="77777777" w:rsidTr="008317F6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97BE0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Fidji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FA2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Commission du Pacifique Sud, Suva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390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2012-2013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5B3D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3 975,00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19FE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3 025,00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FC4A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7 000,00</w:t>
            </w:r>
          </w:p>
        </w:tc>
      </w:tr>
      <w:tr w:rsidR="00D11ADA" w:rsidRPr="00D11ADA" w14:paraId="349B8AD6" w14:textId="77777777" w:rsidTr="008317F6">
        <w:trPr>
          <w:trHeight w:val="444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6058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Finlande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E31D4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proofErr w:type="spellStart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>Octagon</w:t>
            </w:r>
            <w:proofErr w:type="spellEnd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 xml:space="preserve"> Telecom Oy (anciennement Oy </w:t>
            </w:r>
            <w:proofErr w:type="spellStart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>Cubio</w:t>
            </w:r>
            <w:proofErr w:type="spellEnd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 xml:space="preserve"> Communications Ltd.), Helsinki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778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2012-2013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8EE0E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13 066,67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171E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1 156,75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0E4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14 223,42</w:t>
            </w:r>
          </w:p>
        </w:tc>
      </w:tr>
      <w:tr w:rsidR="00D11ADA" w:rsidRPr="00D11ADA" w14:paraId="7B388B56" w14:textId="77777777" w:rsidTr="008317F6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A088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Inde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4777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Tata Communications, New Delhi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D812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E9EE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3 975,00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7FAB3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2 992,55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9511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6 967,55</w:t>
            </w:r>
          </w:p>
        </w:tc>
      </w:tr>
      <w:tr w:rsidR="00D11ADA" w:rsidRPr="00D11ADA" w14:paraId="37AF4D87" w14:textId="77777777" w:rsidTr="008317F6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653FC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Inde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0BA3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 xml:space="preserve">Vihaan </w:t>
            </w:r>
            <w:proofErr w:type="spellStart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>Ntwks</w:t>
            </w:r>
            <w:proofErr w:type="spellEnd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>. Ltd., Gurgaon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ED3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0949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35 775,00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28DB4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26 932,70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2E24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62 707,70</w:t>
            </w:r>
          </w:p>
        </w:tc>
      </w:tr>
      <w:tr w:rsidR="00D11ADA" w:rsidRPr="00D11ADA" w14:paraId="542648D7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136D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Mexique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C1F33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CANITEC, Mexico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5E93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2011-2013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1401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3 975,00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B37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3 171,40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5681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7 146,40</w:t>
            </w:r>
          </w:p>
        </w:tc>
      </w:tr>
      <w:tr w:rsidR="00D11ADA" w:rsidRPr="00D11ADA" w14:paraId="27310235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532D3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Pakistan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B6D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proofErr w:type="gramStart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>e</w:t>
            </w:r>
            <w:proofErr w:type="gramEnd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 xml:space="preserve"> Worldwide Group, Islamabad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36A4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2011-2013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0AA1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3 975,00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90F3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3 072,05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97DE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7 047,05</w:t>
            </w:r>
          </w:p>
        </w:tc>
      </w:tr>
      <w:tr w:rsidR="00D11ADA" w:rsidRPr="00D11ADA" w14:paraId="77102D78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E709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Soudan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11ED3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val="en-GB"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>Open University of Sudan, Khartoum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86EAE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2013-2014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BD97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2 484,35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7FC0E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1 638,90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D99B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4 123,25</w:t>
            </w:r>
          </w:p>
        </w:tc>
      </w:tr>
      <w:tr w:rsidR="00D11ADA" w:rsidRPr="00D11ADA" w14:paraId="06942E02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D42D0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Tunisie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906E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val="en-GB"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 xml:space="preserve">Orascom Telecom </w:t>
            </w:r>
            <w:proofErr w:type="spellStart"/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>Tunisiana</w:t>
            </w:r>
            <w:proofErr w:type="spellEnd"/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>, Tunis Carthage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A572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E7CC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3 975,00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704E4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2 992,55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363A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6 967,55</w:t>
            </w:r>
          </w:p>
        </w:tc>
      </w:tr>
      <w:tr w:rsidR="00D11ADA" w:rsidRPr="00D11ADA" w14:paraId="0BCCC7A0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5B8E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Royaume-Uni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335E8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val="en-GB"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>KRE Corporate Recovery LLP (</w:t>
            </w:r>
            <w:proofErr w:type="spellStart"/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>anciennement</w:t>
            </w:r>
            <w:proofErr w:type="spellEnd"/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 xml:space="preserve"> ICO Satellite Limited), Berks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7E3E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2012-2013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F71A8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24 733,20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81837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2 082,30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5DC2E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26 815,50</w:t>
            </w:r>
          </w:p>
        </w:tc>
      </w:tr>
      <w:tr w:rsidR="00D11ADA" w:rsidRPr="00D11ADA" w14:paraId="14B5642A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302C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États-Unis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EEC07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proofErr w:type="spellStart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>Animatele</w:t>
            </w:r>
            <w:proofErr w:type="spellEnd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 xml:space="preserve"> Inc., New York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1B0EC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D022E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10 600,00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9A49C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10 276,55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CBEEC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20 876,55</w:t>
            </w:r>
          </w:p>
        </w:tc>
      </w:tr>
      <w:tr w:rsidR="00D11ADA" w:rsidRPr="00D11ADA" w14:paraId="4FD776DD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5F7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États-Unis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B71FD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AOL, New York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09FE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2002-2003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2FBB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78 750,00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082E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175 431,40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0B2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254 181,40</w:t>
            </w:r>
          </w:p>
        </w:tc>
      </w:tr>
      <w:tr w:rsidR="00D11ADA" w:rsidRPr="00D11ADA" w14:paraId="41BD243E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7CFC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États-Unis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A064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proofErr w:type="spellStart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>Compuware</w:t>
            </w:r>
            <w:proofErr w:type="spellEnd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 xml:space="preserve"> Corporation, Détroit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0234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2009-2010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6C8FD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7 949,70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97C7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8 826,10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799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16 775,80</w:t>
            </w:r>
          </w:p>
        </w:tc>
      </w:tr>
      <w:tr w:rsidR="00D11ADA" w:rsidRPr="00D11ADA" w14:paraId="4C4BEF50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4339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États-Unis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B21BC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val="en-GB" w:eastAsia="en-GB"/>
              </w:rPr>
            </w:pPr>
            <w:proofErr w:type="spellStart"/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>Covad</w:t>
            </w:r>
            <w:proofErr w:type="spellEnd"/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 xml:space="preserve"> Communications Co., San José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9FDE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2001-2002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DF070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46 142,25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DE60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113 040,70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DB52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159 182,95</w:t>
            </w:r>
          </w:p>
        </w:tc>
      </w:tr>
      <w:tr w:rsidR="00D11ADA" w:rsidRPr="00D11ADA" w14:paraId="29802A34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AED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États-Unis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8C0D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val="en-GB"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>Cypress Semiconductor Corp., San José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1CB08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2004-2005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6B29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16 625,00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D5B83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31 081,10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C8D93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47 706.10</w:t>
            </w:r>
          </w:p>
        </w:tc>
      </w:tr>
      <w:tr w:rsidR="00D11ADA" w:rsidRPr="00D11ADA" w14:paraId="4E08CF69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D2A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États-Unis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1084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proofErr w:type="spellStart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>Lightwaves</w:t>
            </w:r>
            <w:proofErr w:type="spellEnd"/>
            <w:r w:rsidRPr="00D11ADA">
              <w:rPr>
                <w:rFonts w:eastAsia="Times New Roman"/>
                <w:sz w:val="19"/>
                <w:szCs w:val="19"/>
                <w:lang w:eastAsia="en-GB"/>
              </w:rPr>
              <w:t xml:space="preserve"> Inc., Cedar Rapids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6EA01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BDEE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10 600,00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3737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12 856,90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1F034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23 456,90</w:t>
            </w:r>
          </w:p>
        </w:tc>
      </w:tr>
      <w:tr w:rsidR="00D11ADA" w:rsidRPr="00D11ADA" w14:paraId="79766034" w14:textId="77777777" w:rsidTr="008317F6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9C4C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États-Unis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F447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val="en-GB"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val="en-GB" w:eastAsia="en-GB"/>
              </w:rPr>
              <w:t>The Village Group Inc., Waltham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23CD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2007-2008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7D2C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7 950,00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ABC5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10 735,25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738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18 685,25</w:t>
            </w:r>
          </w:p>
        </w:tc>
      </w:tr>
      <w:tr w:rsidR="00D11ADA" w:rsidRPr="00D11ADA" w14:paraId="2098DB26" w14:textId="77777777" w:rsidTr="008317F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59A6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États-Unis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0863A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 xml:space="preserve">Vocal Technologies Ltd, Amherst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A5D19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1998-2002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75D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160 100,00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00A0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365 825,75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B217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sz w:val="19"/>
                <w:szCs w:val="19"/>
                <w:lang w:eastAsia="en-GB"/>
              </w:rPr>
              <w:t>525 925,75</w:t>
            </w:r>
          </w:p>
        </w:tc>
      </w:tr>
      <w:tr w:rsidR="00D11ADA" w:rsidRPr="00D11ADA" w14:paraId="4F8C4011" w14:textId="77777777" w:rsidTr="008317F6">
        <w:trPr>
          <w:trHeight w:val="300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BFC86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rFonts w:eastAsia="Times New Roman"/>
                <w:b/>
                <w:bCs/>
                <w:i/>
                <w:i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i/>
                <w:iCs/>
                <w:sz w:val="19"/>
                <w:szCs w:val="19"/>
                <w:lang w:eastAsia="en-GB"/>
              </w:rPr>
              <w:t>Sous-total 3.3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719B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776 600,82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016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1 431 793,90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3B74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2 208 394,72</w:t>
            </w:r>
          </w:p>
        </w:tc>
      </w:tr>
      <w:tr w:rsidR="00D11ADA" w:rsidRPr="00D11ADA" w14:paraId="17FCEF5F" w14:textId="77777777" w:rsidTr="008317F6">
        <w:trPr>
          <w:trHeight w:val="300"/>
        </w:trPr>
        <w:tc>
          <w:tcPr>
            <w:tcW w:w="6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BB7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Total général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DD422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776 600,82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026B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2 192 538,20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33BF" w14:textId="77777777" w:rsidR="00D11ADA" w:rsidRPr="00D11ADA" w:rsidRDefault="00D11ADA" w:rsidP="00D11A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right"/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</w:pPr>
            <w:r w:rsidRPr="00D11ADA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2 969 139,02</w:t>
            </w:r>
          </w:p>
        </w:tc>
      </w:tr>
    </w:tbl>
    <w:p w14:paraId="4D56F59D" w14:textId="27A07CCA" w:rsidR="00E351E3" w:rsidRPr="00B86C33" w:rsidRDefault="00381574" w:rsidP="00FC7348">
      <w:pPr>
        <w:spacing w:before="360"/>
        <w:jc w:val="center"/>
      </w:pPr>
      <w:r w:rsidRPr="00B86C33">
        <w:t>______________</w:t>
      </w:r>
    </w:p>
    <w:sectPr w:rsidR="00E351E3" w:rsidRPr="00B86C3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6A51" w14:textId="77777777" w:rsidR="00E351E3" w:rsidRDefault="00381574">
      <w:r>
        <w:separator/>
      </w:r>
    </w:p>
  </w:endnote>
  <w:endnote w:type="continuationSeparator" w:id="0">
    <w:p w14:paraId="41EBEA4A" w14:textId="77777777" w:rsidR="00E351E3" w:rsidRDefault="0038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3004" w14:textId="12E42CE9" w:rsidR="00E351E3" w:rsidRDefault="00E05D6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81574">
      <w:t>P:\TRAD\F\SG\CONSEIL\C23\000\024FMontage.docx</w:t>
    </w:r>
    <w:r>
      <w:fldChar w:fldCharType="end"/>
    </w:r>
    <w:r w:rsidR="00381574">
      <w:t xml:space="preserve"> </w:t>
    </w:r>
    <w:r w:rsidR="00381574">
      <w:fldChar w:fldCharType="begin"/>
    </w:r>
    <w:r w:rsidR="00381574">
      <w:instrText xml:space="preserve"> savedate \@ dd.MM.yy </w:instrText>
    </w:r>
    <w:r w:rsidR="00381574">
      <w:fldChar w:fldCharType="separate"/>
    </w:r>
    <w:r>
      <w:rPr>
        <w:noProof/>
      </w:rPr>
      <w:t>23.08.23</w:t>
    </w:r>
    <w:r w:rsidR="00381574">
      <w:fldChar w:fldCharType="end"/>
    </w:r>
    <w:r w:rsidR="00381574">
      <w:t xml:space="preserve"> </w:t>
    </w:r>
    <w:r w:rsidR="00381574">
      <w:fldChar w:fldCharType="begin"/>
    </w:r>
    <w:r w:rsidR="00381574">
      <w:instrText xml:space="preserve"> printdate \@ dd.MM.yy </w:instrText>
    </w:r>
    <w:r w:rsidR="00381574">
      <w:fldChar w:fldCharType="separate"/>
    </w:r>
    <w:r w:rsidR="00381574">
      <w:t>18.07.00</w:t>
    </w:r>
    <w:r w:rsidR="0038157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351E3" w14:paraId="5D478725" w14:textId="77777777">
      <w:trPr>
        <w:jc w:val="center"/>
      </w:trPr>
      <w:tc>
        <w:tcPr>
          <w:tcW w:w="1803" w:type="dxa"/>
          <w:vAlign w:val="center"/>
        </w:tcPr>
        <w:p w14:paraId="45581206" w14:textId="04148F8D" w:rsidR="00E351E3" w:rsidRDefault="00381574">
          <w:pPr>
            <w:pStyle w:val="Header"/>
            <w:jc w:val="left"/>
          </w:pPr>
          <w:r>
            <w:t>DPS 52</w:t>
          </w:r>
          <w:r w:rsidR="00FC7348">
            <w:t>6865</w:t>
          </w:r>
        </w:p>
      </w:tc>
      <w:tc>
        <w:tcPr>
          <w:tcW w:w="8261" w:type="dxa"/>
        </w:tcPr>
        <w:p w14:paraId="5EB83EA1" w14:textId="318FFC23" w:rsidR="00E351E3" w:rsidRDefault="00381574" w:rsidP="00BA0C5E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>C23/</w:t>
          </w:r>
          <w:r w:rsidR="00FC7348">
            <w:rPr>
              <w:bCs/>
            </w:rPr>
            <w:t>12</w:t>
          </w:r>
          <w:r w:rsidR="00D11ADA">
            <w:rPr>
              <w:bCs/>
            </w:rPr>
            <w:t>7</w:t>
          </w:r>
          <w:r>
            <w:rPr>
              <w:bCs/>
            </w:rPr>
            <w:t xml:space="preserve">-F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C187C6C" w14:textId="69780740" w:rsidR="00E351E3" w:rsidRDefault="007221C2">
    <w:pPr>
      <w:pStyle w:val="Footer"/>
      <w:spacing w:before="240"/>
    </w:pPr>
    <w:r w:rsidRPr="007221C2">
      <w:rPr>
        <w:color w:val="F2F2F2" w:themeColor="background1" w:themeShade="F2"/>
      </w:rPr>
      <w:fldChar w:fldCharType="begin"/>
    </w:r>
    <w:r w:rsidRPr="007221C2">
      <w:rPr>
        <w:color w:val="F2F2F2" w:themeColor="background1" w:themeShade="F2"/>
      </w:rPr>
      <w:instrText xml:space="preserve"> FILENAME \p  \* MERGEFORMAT </w:instrText>
    </w:r>
    <w:r w:rsidRPr="007221C2">
      <w:rPr>
        <w:color w:val="F2F2F2" w:themeColor="background1" w:themeShade="F2"/>
      </w:rPr>
      <w:fldChar w:fldCharType="separate"/>
    </w:r>
    <w:r w:rsidR="00BA0C5E" w:rsidRPr="007221C2">
      <w:rPr>
        <w:noProof/>
        <w:color w:val="F2F2F2" w:themeColor="background1" w:themeShade="F2"/>
      </w:rPr>
      <w:t>P:\FRA\SG\CONSEIL\C23\000\024F.docx</w:t>
    </w:r>
    <w:r w:rsidRPr="007221C2">
      <w:rPr>
        <w:noProof/>
        <w:color w:val="F2F2F2" w:themeColor="background1" w:themeShade="F2"/>
      </w:rPr>
      <w:fldChar w:fldCharType="end"/>
    </w:r>
    <w:r w:rsidR="00381574" w:rsidRPr="007221C2">
      <w:rPr>
        <w:color w:val="F2F2F2" w:themeColor="background1" w:themeShade="F2"/>
      </w:rPr>
      <w:t xml:space="preserve"> (520577)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351E3" w14:paraId="6D204142" w14:textId="77777777">
      <w:trPr>
        <w:jc w:val="center"/>
      </w:trPr>
      <w:tc>
        <w:tcPr>
          <w:tcW w:w="1803" w:type="dxa"/>
          <w:vAlign w:val="center"/>
        </w:tcPr>
        <w:p w14:paraId="333DBBBE" w14:textId="77777777" w:rsidR="00E351E3" w:rsidRDefault="00E05D6C">
          <w:pPr>
            <w:pStyle w:val="Header"/>
            <w:jc w:val="left"/>
          </w:pPr>
          <w:hyperlink r:id="rId1" w:history="1">
            <w:r w:rsidR="0038157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2583619" w14:textId="2A3B05EC" w:rsidR="00E351E3" w:rsidRDefault="00381574" w:rsidP="00BA0C5E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>C23/</w:t>
          </w:r>
          <w:r w:rsidR="00FC7348">
            <w:rPr>
              <w:bCs/>
            </w:rPr>
            <w:t>12</w:t>
          </w:r>
          <w:r w:rsidR="00D11ADA">
            <w:rPr>
              <w:bCs/>
            </w:rPr>
            <w:t>8</w:t>
          </w:r>
          <w:r>
            <w:rPr>
              <w:bCs/>
            </w:rPr>
            <w:t xml:space="preserve">-F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9747B90" w14:textId="0A7C1F3E" w:rsidR="00E351E3" w:rsidRDefault="00B86C33" w:rsidP="00BA0C5E">
    <w:pPr>
      <w:pStyle w:val="Footer"/>
    </w:pPr>
    <w:r w:rsidRPr="007221C2">
      <w:rPr>
        <w:color w:val="F2F2F2" w:themeColor="background1" w:themeShade="F2"/>
      </w:rPr>
      <w:fldChar w:fldCharType="begin"/>
    </w:r>
    <w:r w:rsidRPr="007221C2">
      <w:rPr>
        <w:color w:val="F2F2F2" w:themeColor="background1" w:themeShade="F2"/>
      </w:rPr>
      <w:instrText xml:space="preserve"> FILENAME \p  \* MERGEFORMAT </w:instrText>
    </w:r>
    <w:r w:rsidRPr="007221C2">
      <w:rPr>
        <w:color w:val="F2F2F2" w:themeColor="background1" w:themeShade="F2"/>
      </w:rPr>
      <w:fldChar w:fldCharType="separate"/>
    </w:r>
    <w:r w:rsidR="00BA0C5E" w:rsidRPr="007221C2">
      <w:rPr>
        <w:noProof/>
        <w:color w:val="F2F2F2" w:themeColor="background1" w:themeShade="F2"/>
      </w:rPr>
      <w:t>P:\FRA\SG\CONSEIL\C23\000\024F.docx</w:t>
    </w:r>
    <w:r w:rsidRPr="007221C2">
      <w:rPr>
        <w:noProof/>
        <w:color w:val="F2F2F2" w:themeColor="background1" w:themeShade="F2"/>
      </w:rPr>
      <w:fldChar w:fldCharType="end"/>
    </w:r>
    <w:r w:rsidR="00BA0C5E" w:rsidRPr="007221C2">
      <w:rPr>
        <w:color w:val="F2F2F2" w:themeColor="background1" w:themeShade="F2"/>
      </w:rPr>
      <w:t xml:space="preserve"> (520577)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4875" w14:textId="77777777" w:rsidR="00E351E3" w:rsidRDefault="00381574">
      <w:r>
        <w:t>____________________</w:t>
      </w:r>
    </w:p>
  </w:footnote>
  <w:footnote w:type="continuationSeparator" w:id="0">
    <w:p w14:paraId="6290EFFC" w14:textId="77777777" w:rsidR="00E351E3" w:rsidRDefault="0038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F03A" w14:textId="77777777" w:rsidR="00E351E3" w:rsidRDefault="0038157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77B29930" w14:textId="77777777" w:rsidR="00E351E3" w:rsidRDefault="00381574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351E3" w14:paraId="614C283E" w14:textId="77777777">
      <w:trPr>
        <w:trHeight w:val="1104"/>
        <w:jc w:val="center"/>
      </w:trPr>
      <w:tc>
        <w:tcPr>
          <w:tcW w:w="4390" w:type="dxa"/>
          <w:vAlign w:val="center"/>
        </w:tcPr>
        <w:p w14:paraId="6630DFB1" w14:textId="77777777" w:rsidR="00E351E3" w:rsidRDefault="00381574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3EE324B" wp14:editId="540C2E9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C026DED" w14:textId="77777777" w:rsidR="00E351E3" w:rsidRDefault="00E351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4401B22" w14:textId="77777777" w:rsidR="00E351E3" w:rsidRDefault="00E351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A5D888C" w14:textId="77777777" w:rsidR="00E351E3" w:rsidRDefault="00381574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41B0B401" w14:textId="77777777" w:rsidR="00E351E3" w:rsidRDefault="00381574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3BA9B" wp14:editId="76FABA27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14790B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1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E3"/>
    <w:rsid w:val="00016836"/>
    <w:rsid w:val="000E5D84"/>
    <w:rsid w:val="00100980"/>
    <w:rsid w:val="00216423"/>
    <w:rsid w:val="002748BE"/>
    <w:rsid w:val="002F7BB6"/>
    <w:rsid w:val="00381574"/>
    <w:rsid w:val="003C4E60"/>
    <w:rsid w:val="003D6924"/>
    <w:rsid w:val="004625B0"/>
    <w:rsid w:val="004A690D"/>
    <w:rsid w:val="004E2013"/>
    <w:rsid w:val="005C55B9"/>
    <w:rsid w:val="00674C8E"/>
    <w:rsid w:val="007221C2"/>
    <w:rsid w:val="00814B46"/>
    <w:rsid w:val="00831A9C"/>
    <w:rsid w:val="008C5D88"/>
    <w:rsid w:val="0093168F"/>
    <w:rsid w:val="009535F1"/>
    <w:rsid w:val="00987FDF"/>
    <w:rsid w:val="00A92AC6"/>
    <w:rsid w:val="00AA5D37"/>
    <w:rsid w:val="00B17F94"/>
    <w:rsid w:val="00B82906"/>
    <w:rsid w:val="00B86C33"/>
    <w:rsid w:val="00BA0C5E"/>
    <w:rsid w:val="00C668DB"/>
    <w:rsid w:val="00C75B1A"/>
    <w:rsid w:val="00C80BAC"/>
    <w:rsid w:val="00D11ADA"/>
    <w:rsid w:val="00D6443D"/>
    <w:rsid w:val="00D82FB5"/>
    <w:rsid w:val="00E05D6C"/>
    <w:rsid w:val="00E351E3"/>
    <w:rsid w:val="00F1557F"/>
    <w:rsid w:val="00F82488"/>
    <w:rsid w:val="00FC7348"/>
    <w:rsid w:val="00FE3BD4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B3F56"/>
  <w15:docId w15:val="{5B6C5224-570F-4589-A357-058D443F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Pr>
      <w:rFonts w:ascii="Calibri" w:hAnsi="Calibri"/>
      <w:i/>
      <w:sz w:val="24"/>
      <w:lang w:val="fr-FR" w:eastAsia="en-US"/>
    </w:rPr>
  </w:style>
  <w:style w:type="paragraph" w:styleId="Revision">
    <w:name w:val="Revision"/>
    <w:hidden/>
    <w:uiPriority w:val="99"/>
    <w:semiHidden/>
    <w:rsid w:val="00B82906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11/e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F9FE-3B66-40EB-A288-24C2998D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DÉCISION 634 - Passation par pertes et profits d'intérêts moratoires et de créances irrécupérables</vt:lpstr>
    </vt:vector>
  </TitlesOfParts>
  <Manager>Secrétariat général - Pool</Manager>
  <Company>Union internationale des télécommunications (UIT)</Company>
  <LinksUpToDate>false</LinksUpToDate>
  <CharactersWithSpaces>2848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634 - Passation par pertes et profits d'intérêts moratoires et de créances irrécupérables</dc:title>
  <dc:subject>Conseil 2023</dc:subject>
  <dc:creator>French</dc:creator>
  <cp:keywords>C2023, C23, Council-23</cp:keywords>
  <dc:description/>
  <cp:lastModifiedBy>Xue, Kun</cp:lastModifiedBy>
  <cp:revision>3</cp:revision>
  <cp:lastPrinted>2000-07-18T08:55:00Z</cp:lastPrinted>
  <dcterms:created xsi:type="dcterms:W3CDTF">2023-08-23T14:00:00Z</dcterms:created>
  <dcterms:modified xsi:type="dcterms:W3CDTF">2023-08-30T13:15:00Z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