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21D55AE0"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1D8D9711" w:rsidR="00AD3606" w:rsidRPr="00693D8E" w:rsidRDefault="00AD3606" w:rsidP="00472BAD">
            <w:pPr>
              <w:tabs>
                <w:tab w:val="left" w:pos="851"/>
              </w:tabs>
              <w:spacing w:before="0" w:line="240" w:lineRule="atLeast"/>
              <w:jc w:val="right"/>
              <w:rPr>
                <w:b/>
              </w:rPr>
            </w:pPr>
            <w:r w:rsidRPr="00693D8E">
              <w:rPr>
                <w:b/>
              </w:rPr>
              <w:t>Document C23/</w:t>
            </w:r>
            <w:r w:rsidR="00D864F1">
              <w:rPr>
                <w:b/>
              </w:rPr>
              <w:t>1</w:t>
            </w:r>
            <w:r w:rsidR="00D47ED5">
              <w:rPr>
                <w:b/>
              </w:rPr>
              <w:t>26</w:t>
            </w:r>
            <w:r w:rsidRPr="00693D8E">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7746A9F6" w:rsidR="00AD3606" w:rsidRPr="00693D8E" w:rsidRDefault="00D10D19" w:rsidP="00AD3606">
            <w:pPr>
              <w:tabs>
                <w:tab w:val="left" w:pos="851"/>
              </w:tabs>
              <w:spacing w:before="0"/>
              <w:jc w:val="right"/>
              <w:rPr>
                <w:b/>
              </w:rPr>
            </w:pPr>
            <w:r>
              <w:rPr>
                <w:b/>
              </w:rPr>
              <w:t>4</w:t>
            </w:r>
            <w:r w:rsidR="00D864F1">
              <w:rPr>
                <w:b/>
              </w:rPr>
              <w:t xml:space="preserve"> August</w:t>
            </w:r>
            <w:r w:rsidR="00AD3606" w:rsidRPr="00693D8E">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693D8E" w:rsidRDefault="00AD3606" w:rsidP="00AD3606">
            <w:pPr>
              <w:tabs>
                <w:tab w:val="left" w:pos="851"/>
              </w:tabs>
              <w:spacing w:before="0" w:line="240" w:lineRule="atLeast"/>
              <w:jc w:val="right"/>
              <w:rPr>
                <w:b/>
              </w:rPr>
            </w:pPr>
            <w:r w:rsidRPr="00693D8E">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bookmarkEnd w:id="3"/>
    </w:tbl>
    <w:p w14:paraId="3CFD2B0A" w14:textId="77777777" w:rsidR="00485E98" w:rsidRDefault="00485E98">
      <w:pPr>
        <w:tabs>
          <w:tab w:val="clear" w:pos="567"/>
          <w:tab w:val="clear" w:pos="1134"/>
          <w:tab w:val="clear" w:pos="1701"/>
          <w:tab w:val="clear" w:pos="2268"/>
          <w:tab w:val="clear" w:pos="2835"/>
        </w:tabs>
        <w:overflowPunct/>
        <w:autoSpaceDE/>
        <w:autoSpaceDN/>
        <w:adjustRightInd/>
        <w:spacing w:before="0"/>
        <w:textAlignment w:val="auto"/>
      </w:pPr>
    </w:p>
    <w:p w14:paraId="49F130AC" w14:textId="3848ADB2" w:rsidR="00A40383" w:rsidRDefault="00D47ED5" w:rsidP="003A556D">
      <w:pPr>
        <w:pStyle w:val="ResNo"/>
      </w:pPr>
      <w:r>
        <w:t>Decision 632</w:t>
      </w:r>
    </w:p>
    <w:p w14:paraId="6555CFFC" w14:textId="1B899FED" w:rsidR="003A556D" w:rsidRDefault="003A556D" w:rsidP="003A556D">
      <w:pPr>
        <w:jc w:val="center"/>
        <w:rPr>
          <w:rFonts w:eastAsia="SimSun"/>
          <w:lang w:eastAsia="en-GB"/>
        </w:rPr>
      </w:pPr>
      <w:r w:rsidRPr="00D864F1">
        <w:rPr>
          <w:rFonts w:eastAsia="SimSun"/>
          <w:lang w:eastAsia="en-GB"/>
        </w:rPr>
        <w:t>(</w:t>
      </w:r>
      <w:proofErr w:type="gramStart"/>
      <w:r w:rsidRPr="00D864F1">
        <w:rPr>
          <w:rFonts w:eastAsia="SimSun"/>
          <w:lang w:eastAsia="en-GB"/>
        </w:rPr>
        <w:t>adopted</w:t>
      </w:r>
      <w:proofErr w:type="gramEnd"/>
      <w:r w:rsidRPr="00D864F1">
        <w:rPr>
          <w:rFonts w:eastAsia="SimSun"/>
          <w:lang w:eastAsia="en-GB"/>
        </w:rPr>
        <w:t xml:space="preserve"> at the </w:t>
      </w:r>
      <w:r w:rsidR="00D47ED5">
        <w:rPr>
          <w:rFonts w:eastAsia="SimSun"/>
          <w:lang w:eastAsia="en-GB"/>
        </w:rPr>
        <w:t>seventh</w:t>
      </w:r>
      <w:r w:rsidRPr="00D864F1">
        <w:rPr>
          <w:rFonts w:eastAsia="SimSun"/>
          <w:lang w:eastAsia="en-GB"/>
        </w:rPr>
        <w:t xml:space="preserve"> Plenary </w:t>
      </w:r>
      <w:r w:rsidR="00D864F1" w:rsidRPr="00D864F1">
        <w:rPr>
          <w:rFonts w:eastAsia="SimSun"/>
          <w:lang w:eastAsia="en-GB"/>
        </w:rPr>
        <w:t>m</w:t>
      </w:r>
      <w:r w:rsidRPr="00D864F1">
        <w:rPr>
          <w:rFonts w:eastAsia="SimSun"/>
          <w:lang w:eastAsia="en-GB"/>
        </w:rPr>
        <w:t>eeting)</w:t>
      </w:r>
    </w:p>
    <w:p w14:paraId="615A4478" w14:textId="77777777" w:rsidR="00D47ED5" w:rsidRPr="004A29FF" w:rsidRDefault="00D47ED5" w:rsidP="00D47ED5">
      <w:pPr>
        <w:pStyle w:val="Restitle"/>
      </w:pPr>
      <w:r w:rsidRPr="004A29FF">
        <w:t xml:space="preserve">Expert Group on </w:t>
      </w:r>
      <w:r>
        <w:t>Decision 482</w:t>
      </w:r>
      <w:r w:rsidRPr="004A29FF">
        <w:t xml:space="preserve"> (EG-</w:t>
      </w:r>
      <w:r>
        <w:t>DEC482</w:t>
      </w:r>
      <w:r w:rsidRPr="004A29FF">
        <w:t>)</w:t>
      </w:r>
    </w:p>
    <w:p w14:paraId="5F018BAE" w14:textId="77777777" w:rsidR="00D47ED5" w:rsidRPr="004A29FF" w:rsidRDefault="00D47ED5" w:rsidP="00D47ED5">
      <w:pPr>
        <w:pStyle w:val="Normalaftertitle"/>
      </w:pPr>
      <w:r w:rsidRPr="004A29FF">
        <w:t xml:space="preserve">The </w:t>
      </w:r>
      <w:r>
        <w:t xml:space="preserve">ITU </w:t>
      </w:r>
      <w:r w:rsidRPr="004A29FF">
        <w:t>Council,</w:t>
      </w:r>
    </w:p>
    <w:p w14:paraId="5958751D" w14:textId="77777777" w:rsidR="00D47ED5" w:rsidRPr="002238C4" w:rsidRDefault="00D47ED5" w:rsidP="00D47ED5">
      <w:pPr>
        <w:pStyle w:val="Call"/>
      </w:pPr>
      <w:r w:rsidRPr="005A119B">
        <w:t>considering</w:t>
      </w:r>
    </w:p>
    <w:p w14:paraId="3191D0BF" w14:textId="77777777" w:rsidR="00D47ED5" w:rsidRPr="002238C4" w:rsidRDefault="00D47ED5" w:rsidP="00D47ED5">
      <w:r>
        <w:rPr>
          <w:i/>
          <w:iCs/>
        </w:rPr>
        <w:t>a</w:t>
      </w:r>
      <w:r w:rsidRPr="002238C4">
        <w:rPr>
          <w:i/>
          <w:iCs/>
        </w:rPr>
        <w:t>)</w:t>
      </w:r>
      <w:r w:rsidRPr="002238C4">
        <w:tab/>
        <w:t>Resolution </w:t>
      </w:r>
      <w:r>
        <w:t xml:space="preserve">91 </w:t>
      </w:r>
      <w:r w:rsidRPr="002238C4">
        <w:t>(Rev. </w:t>
      </w:r>
      <w:r>
        <w:t>Guadalajara, 2010</w:t>
      </w:r>
      <w:r w:rsidRPr="002238C4">
        <w:t xml:space="preserve">) of the Plenipotentiary Conference, on </w:t>
      </w:r>
      <w:r>
        <w:t xml:space="preserve">cost recovery for some ITU products and </w:t>
      </w:r>
      <w:proofErr w:type="gramStart"/>
      <w:r>
        <w:t>services;</w:t>
      </w:r>
      <w:proofErr w:type="gramEnd"/>
    </w:p>
    <w:p w14:paraId="420208DA" w14:textId="77777777" w:rsidR="00D47ED5" w:rsidRPr="002238C4" w:rsidRDefault="00D47ED5" w:rsidP="00D47ED5">
      <w:r>
        <w:rPr>
          <w:i/>
        </w:rPr>
        <w:t>b</w:t>
      </w:r>
      <w:r w:rsidRPr="002238C4">
        <w:rPr>
          <w:i/>
        </w:rPr>
        <w:t>)</w:t>
      </w:r>
      <w:r w:rsidRPr="002238C4">
        <w:tab/>
      </w:r>
      <w:r>
        <w:t>Decision 482 (C01, last amended C20) on the implementation of cost recovery for satellite network filings</w:t>
      </w:r>
      <w:r w:rsidRPr="002238C4">
        <w:t>,</w:t>
      </w:r>
    </w:p>
    <w:p w14:paraId="631A6863" w14:textId="77777777" w:rsidR="00D47ED5" w:rsidRPr="002238C4" w:rsidRDefault="00D47ED5" w:rsidP="00D47ED5">
      <w:pPr>
        <w:pStyle w:val="Call"/>
      </w:pPr>
      <w:r>
        <w:t>decides</w:t>
      </w:r>
    </w:p>
    <w:p w14:paraId="07238BF7" w14:textId="77777777" w:rsidR="00D47ED5" w:rsidRPr="002238C4" w:rsidRDefault="00D47ED5" w:rsidP="00D47ED5">
      <w:r>
        <w:t xml:space="preserve">to create </w:t>
      </w:r>
      <w:r w:rsidRPr="002238C4">
        <w:t xml:space="preserve">an Expert Group on </w:t>
      </w:r>
      <w:r>
        <w:t xml:space="preserve">Decision 482 </w:t>
      </w:r>
      <w:r w:rsidRPr="002238C4">
        <w:t>(EG-</w:t>
      </w:r>
      <w:r>
        <w:t>DEC482</w:t>
      </w:r>
      <w:r w:rsidRPr="002238C4">
        <w:t xml:space="preserve">) with the Terms of Reference shown in Annex 1 of this </w:t>
      </w:r>
      <w:r>
        <w:t>Decision</w:t>
      </w:r>
      <w:r w:rsidRPr="002238C4">
        <w:t>,</w:t>
      </w:r>
    </w:p>
    <w:p w14:paraId="79BD28B7" w14:textId="77777777" w:rsidR="00D47ED5" w:rsidRPr="002238C4" w:rsidRDefault="00D47ED5" w:rsidP="00D47ED5">
      <w:pPr>
        <w:pStyle w:val="Call"/>
      </w:pPr>
      <w:r w:rsidRPr="002238C4">
        <w:t xml:space="preserve">instructs the </w:t>
      </w:r>
      <w:proofErr w:type="gramStart"/>
      <w:r w:rsidRPr="002238C4">
        <w:t>Secretary-General</w:t>
      </w:r>
      <w:proofErr w:type="gramEnd"/>
    </w:p>
    <w:p w14:paraId="68CFF834" w14:textId="77777777" w:rsidR="00D47ED5" w:rsidRDefault="00D47ED5" w:rsidP="00D47ED5">
      <w:r w:rsidRPr="002238C4">
        <w:rPr>
          <w:spacing w:val="1"/>
        </w:rPr>
        <w:t>t</w:t>
      </w:r>
      <w:r w:rsidRPr="002238C4">
        <w:t>o</w:t>
      </w:r>
      <w:r w:rsidRPr="002238C4">
        <w:rPr>
          <w:spacing w:val="-4"/>
        </w:rPr>
        <w:t xml:space="preserve"> </w:t>
      </w:r>
      <w:r w:rsidRPr="002238C4">
        <w:t>ma</w:t>
      </w:r>
      <w:r w:rsidRPr="002238C4">
        <w:rPr>
          <w:spacing w:val="2"/>
        </w:rPr>
        <w:t>k</w:t>
      </w:r>
      <w:r w:rsidRPr="002238C4">
        <w:t>e</w:t>
      </w:r>
      <w:r w:rsidRPr="002238C4">
        <w:rPr>
          <w:spacing w:val="-6"/>
        </w:rPr>
        <w:t xml:space="preserve"> </w:t>
      </w:r>
      <w:r>
        <w:rPr>
          <w:spacing w:val="-6"/>
        </w:rPr>
        <w:t xml:space="preserve">the </w:t>
      </w:r>
      <w:r w:rsidRPr="002238C4">
        <w:t>nece</w:t>
      </w:r>
      <w:r w:rsidRPr="002238C4">
        <w:rPr>
          <w:spacing w:val="2"/>
        </w:rPr>
        <w:t>ss</w:t>
      </w:r>
      <w:r w:rsidRPr="002238C4">
        <w:t>a</w:t>
      </w:r>
      <w:r w:rsidRPr="002238C4">
        <w:rPr>
          <w:spacing w:val="-2"/>
        </w:rPr>
        <w:t>r</w:t>
      </w:r>
      <w:r w:rsidRPr="002238C4">
        <w:t>y</w:t>
      </w:r>
      <w:r w:rsidRPr="002238C4">
        <w:rPr>
          <w:spacing w:val="-7"/>
        </w:rPr>
        <w:t xml:space="preserve"> </w:t>
      </w:r>
      <w:r w:rsidRPr="002238C4">
        <w:t>a</w:t>
      </w:r>
      <w:r w:rsidRPr="002238C4">
        <w:rPr>
          <w:spacing w:val="-2"/>
        </w:rPr>
        <w:t>rr</w:t>
      </w:r>
      <w:r w:rsidRPr="002238C4">
        <w:t>an</w:t>
      </w:r>
      <w:r w:rsidRPr="002238C4">
        <w:rPr>
          <w:spacing w:val="2"/>
        </w:rPr>
        <w:t>g</w:t>
      </w:r>
      <w:r w:rsidRPr="002238C4">
        <w:t>em</w:t>
      </w:r>
      <w:r w:rsidRPr="002238C4">
        <w:rPr>
          <w:spacing w:val="1"/>
        </w:rPr>
        <w:t>e</w:t>
      </w:r>
      <w:r w:rsidRPr="002238C4">
        <w:t>n</w:t>
      </w:r>
      <w:r w:rsidRPr="002238C4">
        <w:rPr>
          <w:spacing w:val="1"/>
        </w:rPr>
        <w:t>t</w:t>
      </w:r>
      <w:r w:rsidRPr="002238C4">
        <w:t>s</w:t>
      </w:r>
      <w:r w:rsidRPr="002238C4">
        <w:rPr>
          <w:spacing w:val="-9"/>
        </w:rPr>
        <w:t xml:space="preserve"> </w:t>
      </w:r>
      <w:r w:rsidRPr="002238C4">
        <w:t xml:space="preserve">to implement this </w:t>
      </w:r>
      <w:r>
        <w:rPr>
          <w:spacing w:val="-2"/>
        </w:rPr>
        <w:t>Decision</w:t>
      </w:r>
      <w:r w:rsidRPr="002238C4">
        <w:t>.</w:t>
      </w:r>
    </w:p>
    <w:p w14:paraId="0D71C952" w14:textId="285FDFA7" w:rsidR="00D47ED5" w:rsidRPr="00D47ED5" w:rsidRDefault="00D47ED5" w:rsidP="00D47ED5">
      <w:pPr>
        <w:pStyle w:val="enumlev1"/>
        <w:spacing w:before="1440"/>
        <w:ind w:left="0" w:firstLine="0"/>
        <w:rPr>
          <w:i/>
          <w:iCs/>
          <w:szCs w:val="24"/>
        </w:rPr>
      </w:pPr>
      <w:r w:rsidRPr="00D47ED5">
        <w:rPr>
          <w:i/>
          <w:iCs/>
          <w:szCs w:val="24"/>
        </w:rPr>
        <w:t>Annex:</w:t>
      </w:r>
      <w:r w:rsidRPr="00D47ED5">
        <w:rPr>
          <w:b/>
          <w:bCs/>
          <w:i/>
          <w:iCs/>
          <w:szCs w:val="24"/>
        </w:rPr>
        <w:t xml:space="preserve"> 1</w:t>
      </w:r>
    </w:p>
    <w:p w14:paraId="1C165C45" w14:textId="77777777" w:rsidR="00D47ED5" w:rsidRDefault="00D47ED5" w:rsidP="00D47ED5">
      <w:r>
        <w:br w:type="page"/>
      </w:r>
    </w:p>
    <w:p w14:paraId="11850DD5" w14:textId="77777777" w:rsidR="00D47ED5" w:rsidRPr="00D47ED5" w:rsidRDefault="00D47ED5" w:rsidP="00D47ED5">
      <w:pPr>
        <w:pStyle w:val="AnnexNo"/>
        <w:spacing w:before="0"/>
        <w:rPr>
          <w:sz w:val="16"/>
          <w:szCs w:val="16"/>
        </w:rPr>
      </w:pPr>
    </w:p>
    <w:p w14:paraId="20DE8B39" w14:textId="4BBFA0B5" w:rsidR="00D47ED5" w:rsidRPr="004A29FF" w:rsidRDefault="00D47ED5" w:rsidP="00D47ED5">
      <w:pPr>
        <w:pStyle w:val="AnnexNo"/>
        <w:spacing w:before="480"/>
      </w:pPr>
      <w:r w:rsidRPr="004A29FF">
        <w:t>Annex</w:t>
      </w:r>
    </w:p>
    <w:p w14:paraId="148FE07A" w14:textId="77777777" w:rsidR="00D47ED5" w:rsidRPr="00D47ED5" w:rsidRDefault="00D47ED5" w:rsidP="00D47ED5">
      <w:pPr>
        <w:pStyle w:val="Annextitle"/>
      </w:pPr>
      <w:r w:rsidRPr="00D47ED5">
        <w:t>Terms of Reference of the Council expert group on Decision 482</w:t>
      </w:r>
    </w:p>
    <w:p w14:paraId="6EA368D5" w14:textId="77777777" w:rsidR="00D47ED5" w:rsidRDefault="00D47ED5" w:rsidP="00D47ED5">
      <w:r>
        <w:t>The terms of reference of the Council Expert Group on Decision 482 are as follows:</w:t>
      </w:r>
    </w:p>
    <w:p w14:paraId="0DF99C48" w14:textId="77777777" w:rsidR="00D47ED5" w:rsidRDefault="00D47ED5" w:rsidP="00D47ED5">
      <w:r>
        <w:t>1.</w:t>
      </w:r>
      <w:r>
        <w:tab/>
        <w:t xml:space="preserve">The Council Expert Group on Decision 482 shall, based on principles and guidelines provided in Resolution 91 (Rev. Guadalajara, 2010), in particular </w:t>
      </w:r>
      <w:r w:rsidRPr="001220B8">
        <w:rPr>
          <w:i/>
          <w:iCs/>
        </w:rPr>
        <w:t>resolv</w:t>
      </w:r>
      <w:r>
        <w:rPr>
          <w:i/>
          <w:iCs/>
        </w:rPr>
        <w:t>es</w:t>
      </w:r>
      <w:r>
        <w:t xml:space="preserve"> 4 vi), study the appropriateness or otherwise of any of the items listed below (derived from Annex 1 to Document </w:t>
      </w:r>
      <w:hyperlink r:id="rId11" w:history="1">
        <w:r w:rsidRPr="005020F6">
          <w:rPr>
            <w:rStyle w:val="Hyperlink"/>
          </w:rPr>
          <w:t>C23/19</w:t>
        </w:r>
      </w:hyperlink>
      <w:r>
        <w:t xml:space="preserve">), based on information provided by the Radiocommunication Bureau if requested and contributions submitted to its meetings. </w:t>
      </w:r>
    </w:p>
    <w:p w14:paraId="3BED3506" w14:textId="77777777" w:rsidR="00D47ED5" w:rsidRDefault="00D47ED5" w:rsidP="00D47ED5">
      <w:pPr>
        <w:tabs>
          <w:tab w:val="left" w:pos="851"/>
        </w:tabs>
      </w:pPr>
      <w:r>
        <w:tab/>
        <w:t>a.</w:t>
      </w:r>
      <w:r>
        <w:tab/>
        <w:t>In the case of non-receivable fil</w:t>
      </w:r>
      <w:r w:rsidRPr="00076ECC">
        <w:t xml:space="preserve">ings, the </w:t>
      </w:r>
      <w:r>
        <w:t>appropriateness</w:t>
      </w:r>
      <w:r w:rsidRPr="00076ECC">
        <w:t xml:space="preserve"> </w:t>
      </w:r>
      <w:r>
        <w:t xml:space="preserve">or otherwise </w:t>
      </w:r>
      <w:r w:rsidRPr="00076ECC">
        <w:t>of charging a fraction of the amount of an equivalent receivable filing for such cases</w:t>
      </w:r>
      <w:r>
        <w:t xml:space="preserve">, </w:t>
      </w:r>
      <w:proofErr w:type="gramStart"/>
      <w:r>
        <w:t>taking into account</w:t>
      </w:r>
      <w:proofErr w:type="gramEnd"/>
      <w:r>
        <w:t xml:space="preserve"> the needs of developing countries.</w:t>
      </w:r>
    </w:p>
    <w:p w14:paraId="1617E9DE" w14:textId="77777777" w:rsidR="00D47ED5" w:rsidRDefault="00D47ED5" w:rsidP="00D47ED5">
      <w:pPr>
        <w:tabs>
          <w:tab w:val="left" w:pos="851"/>
        </w:tabs>
      </w:pPr>
      <w:r>
        <w:tab/>
        <w:t xml:space="preserve">b. </w:t>
      </w:r>
      <w:r>
        <w:tab/>
      </w:r>
      <w:r w:rsidRPr="00234B18">
        <w:t>Whether there are</w:t>
      </w:r>
      <w:r>
        <w:t xml:space="preserve"> categories of </w:t>
      </w:r>
      <w:r w:rsidRPr="00F209F7">
        <w:t xml:space="preserve">filings </w:t>
      </w:r>
      <w:r>
        <w:t xml:space="preserve">for non-GSO satellite systems that, due to their complexity, should not be </w:t>
      </w:r>
      <w:r w:rsidRPr="00F209F7">
        <w:t xml:space="preserve">eligible to </w:t>
      </w:r>
      <w:r>
        <w:t>free entitlement.</w:t>
      </w:r>
    </w:p>
    <w:p w14:paraId="2E73B674" w14:textId="77777777" w:rsidR="00D47ED5" w:rsidRDefault="00D47ED5" w:rsidP="00D47ED5">
      <w:pPr>
        <w:tabs>
          <w:tab w:val="left" w:pos="851"/>
        </w:tabs>
      </w:pPr>
      <w:r>
        <w:tab/>
        <w:t xml:space="preserve">c. </w:t>
      </w:r>
      <w:r>
        <w:tab/>
        <w:t>W</w:t>
      </w:r>
      <w:r w:rsidRPr="00B21E86">
        <w:t xml:space="preserve">hether specific fees should be paid for </w:t>
      </w:r>
      <w:r w:rsidRPr="00234B18">
        <w:t>processing submissions related to</w:t>
      </w:r>
      <w:r>
        <w:t xml:space="preserve"> </w:t>
      </w:r>
      <w:r w:rsidRPr="00B21E86">
        <w:t xml:space="preserve">earth stations </w:t>
      </w:r>
      <w:r>
        <w:t xml:space="preserve">in motion, while avoiding double invoicing. </w:t>
      </w:r>
    </w:p>
    <w:p w14:paraId="282B3A96" w14:textId="77777777" w:rsidR="00D47ED5" w:rsidRDefault="00D47ED5" w:rsidP="00D47ED5">
      <w:pPr>
        <w:tabs>
          <w:tab w:val="left" w:pos="851"/>
        </w:tabs>
      </w:pPr>
      <w:r>
        <w:tab/>
        <w:t xml:space="preserve">d. </w:t>
      </w:r>
      <w:r>
        <w:tab/>
        <w:t xml:space="preserve">The </w:t>
      </w:r>
      <w:r w:rsidRPr="003F2CE4">
        <w:t xml:space="preserve">cost of </w:t>
      </w:r>
      <w:r>
        <w:t xml:space="preserve">processing </w:t>
      </w:r>
      <w:r w:rsidRPr="003F2CE4">
        <w:t>resubmissions</w:t>
      </w:r>
      <w:r>
        <w:t xml:space="preserve"> of notification requests.</w:t>
      </w:r>
    </w:p>
    <w:p w14:paraId="1D735A0C" w14:textId="77777777" w:rsidR="00D47ED5" w:rsidRDefault="00D47ED5" w:rsidP="00D47ED5">
      <w:pPr>
        <w:tabs>
          <w:tab w:val="left" w:pos="851"/>
        </w:tabs>
      </w:pPr>
      <w:r>
        <w:tab/>
        <w:t xml:space="preserve">e. </w:t>
      </w:r>
      <w:r>
        <w:tab/>
        <w:t xml:space="preserve">The costs associated with the BR’s implementation of additional provisions: </w:t>
      </w:r>
      <w:r w:rsidRPr="003F2CE4">
        <w:t xml:space="preserve">Resolutions </w:t>
      </w:r>
      <w:r w:rsidRPr="001220B8">
        <w:rPr>
          <w:b/>
          <w:bCs/>
        </w:rPr>
        <w:t>4</w:t>
      </w:r>
      <w:r w:rsidRPr="003F2CE4">
        <w:t xml:space="preserve"> and </w:t>
      </w:r>
      <w:r w:rsidRPr="001220B8">
        <w:rPr>
          <w:b/>
          <w:bCs/>
        </w:rPr>
        <w:t>49</w:t>
      </w:r>
      <w:r w:rsidRPr="003F2CE4">
        <w:t xml:space="preserve">, Nos. </w:t>
      </w:r>
      <w:r w:rsidRPr="001220B8">
        <w:rPr>
          <w:b/>
          <w:bCs/>
        </w:rPr>
        <w:t>11.32A</w:t>
      </w:r>
      <w:r w:rsidRPr="003F2CE4">
        <w:t xml:space="preserve"> (see footnote a), </w:t>
      </w:r>
      <w:r w:rsidRPr="001220B8">
        <w:rPr>
          <w:b/>
          <w:bCs/>
        </w:rPr>
        <w:t>11.41</w:t>
      </w:r>
      <w:r w:rsidRPr="003F2CE4">
        <w:t xml:space="preserve">, </w:t>
      </w:r>
      <w:r w:rsidRPr="001220B8">
        <w:rPr>
          <w:b/>
          <w:bCs/>
        </w:rPr>
        <w:t>11.47</w:t>
      </w:r>
      <w:r w:rsidRPr="003F2CE4">
        <w:t xml:space="preserve">, </w:t>
      </w:r>
      <w:r w:rsidRPr="001220B8">
        <w:rPr>
          <w:b/>
          <w:bCs/>
        </w:rPr>
        <w:t>11.49</w:t>
      </w:r>
      <w:r w:rsidRPr="003F2CE4">
        <w:t xml:space="preserve">, Subsection IID of Article </w:t>
      </w:r>
      <w:r w:rsidRPr="001220B8">
        <w:rPr>
          <w:b/>
          <w:bCs/>
        </w:rPr>
        <w:t>9</w:t>
      </w:r>
      <w:r w:rsidRPr="003F2CE4">
        <w:t xml:space="preserve">, Sections 1 and 2 of Article </w:t>
      </w:r>
      <w:r w:rsidRPr="00E227D1">
        <w:rPr>
          <w:b/>
          <w:bCs/>
        </w:rPr>
        <w:t>13</w:t>
      </w:r>
      <w:r w:rsidRPr="003F2CE4">
        <w:t xml:space="preserve">, Article </w:t>
      </w:r>
      <w:r w:rsidRPr="00E227D1">
        <w:rPr>
          <w:b/>
          <w:bCs/>
        </w:rPr>
        <w:t>14</w:t>
      </w:r>
      <w:r>
        <w:t>. The Bureau is invited to provide information on the cases already submitted.</w:t>
      </w:r>
    </w:p>
    <w:p w14:paraId="6D5231C2" w14:textId="69C10BF2" w:rsidR="00D47ED5" w:rsidRDefault="00D47ED5" w:rsidP="00D47ED5">
      <w:pPr>
        <w:tabs>
          <w:tab w:val="left" w:pos="851"/>
        </w:tabs>
      </w:pPr>
      <w:r>
        <w:tab/>
      </w:r>
      <w:r w:rsidRPr="007319BD">
        <w:t xml:space="preserve">f. </w:t>
      </w:r>
      <w:r>
        <w:tab/>
      </w:r>
      <w:r w:rsidRPr="00234B18">
        <w:t>The costs of processing n</w:t>
      </w:r>
      <w:r w:rsidRPr="007319BD">
        <w:t xml:space="preserve">on-GSO filings having more than 75 000 units </w:t>
      </w:r>
      <w:r>
        <w:t xml:space="preserve">or, alternatively, whether </w:t>
      </w:r>
      <w:r w:rsidRPr="003F2CE4">
        <w:t xml:space="preserve">the formula to compute units for </w:t>
      </w:r>
      <w:r>
        <w:t xml:space="preserve">such </w:t>
      </w:r>
      <w:r w:rsidRPr="003F2CE4">
        <w:t xml:space="preserve">non-GSO </w:t>
      </w:r>
      <w:r>
        <w:t xml:space="preserve">satellite </w:t>
      </w:r>
      <w:r w:rsidRPr="003F2CE4">
        <w:t>systems</w:t>
      </w:r>
      <w:r>
        <w:t xml:space="preserve"> should </w:t>
      </w:r>
      <w:proofErr w:type="gramStart"/>
      <w:r>
        <w:t>take into account</w:t>
      </w:r>
      <w:proofErr w:type="gramEnd"/>
      <w:r>
        <w:t xml:space="preserve"> </w:t>
      </w:r>
      <w:r w:rsidRPr="007319BD">
        <w:t>the impact of the number of different orbital altitudes, number of satellites, number of earth stations, or other characteristics affecting workload</w:t>
      </w:r>
      <w:r>
        <w:t xml:space="preserve"> associated with the processing of non-GSO systems.</w:t>
      </w:r>
    </w:p>
    <w:p w14:paraId="054BD08C" w14:textId="77777777" w:rsidR="00D47ED5" w:rsidRDefault="00D47ED5" w:rsidP="00D47ED5">
      <w:pPr>
        <w:tabs>
          <w:tab w:val="left" w:pos="851"/>
        </w:tabs>
      </w:pPr>
      <w:r>
        <w:tab/>
        <w:t xml:space="preserve">g. </w:t>
      </w:r>
      <w:r>
        <w:tab/>
        <w:t>C</w:t>
      </w:r>
      <w:r w:rsidRPr="00D37507">
        <w:t xml:space="preserve">onsider the introduction of units in categories A1 and N4, with a different fee being charged </w:t>
      </w:r>
      <w:r>
        <w:t xml:space="preserve">for more complex or larger systems, </w:t>
      </w:r>
      <w:r w:rsidRPr="00D37507">
        <w:t>depending on the number of units.</w:t>
      </w:r>
    </w:p>
    <w:p w14:paraId="488C4215" w14:textId="77777777" w:rsidR="00D47ED5" w:rsidRDefault="00D47ED5" w:rsidP="00D47ED5">
      <w:pPr>
        <w:tabs>
          <w:tab w:val="left" w:pos="851"/>
        </w:tabs>
      </w:pPr>
      <w:r>
        <w:tab/>
      </w:r>
      <w:r w:rsidRPr="00076ECC">
        <w:t xml:space="preserve">h. </w:t>
      </w:r>
      <w:r>
        <w:tab/>
      </w:r>
      <w:r w:rsidRPr="00076ECC">
        <w:t xml:space="preserve">An additional fee for recovering the costs of </w:t>
      </w:r>
      <w:proofErr w:type="spellStart"/>
      <w:r w:rsidRPr="00076ECC">
        <w:t>epfd</w:t>
      </w:r>
      <w:proofErr w:type="spellEnd"/>
      <w:r w:rsidRPr="00076ECC">
        <w:t xml:space="preserve"> examination of coordination requests and notifications. </w:t>
      </w:r>
      <w:r>
        <w:t xml:space="preserve"> </w:t>
      </w:r>
    </w:p>
    <w:p w14:paraId="47CFF473" w14:textId="77777777" w:rsidR="00D47ED5" w:rsidRDefault="00D47ED5" w:rsidP="00D47ED5">
      <w:pPr>
        <w:tabs>
          <w:tab w:val="left" w:pos="851"/>
        </w:tabs>
      </w:pPr>
      <w:r>
        <w:tab/>
      </w:r>
      <w:r w:rsidRPr="00076ECC">
        <w:t xml:space="preserve">i. </w:t>
      </w:r>
      <w:r>
        <w:tab/>
        <w:t>C</w:t>
      </w:r>
      <w:r w:rsidRPr="00076ECC">
        <w:t>onsequences of modifications</w:t>
      </w:r>
      <w:r>
        <w:t xml:space="preserve"> </w:t>
      </w:r>
      <w:r w:rsidRPr="00D671D0">
        <w:t xml:space="preserve">introduced by </w:t>
      </w:r>
      <w:r>
        <w:t xml:space="preserve">any </w:t>
      </w:r>
      <w:r w:rsidRPr="00D671D0">
        <w:t>WRC</w:t>
      </w:r>
      <w:r>
        <w:t xml:space="preserve"> after WRC-2000, if any,</w:t>
      </w:r>
      <w:r w:rsidRPr="00D671D0">
        <w:t xml:space="preserve"> to </w:t>
      </w:r>
      <w:r>
        <w:t xml:space="preserve">regulatory provisions </w:t>
      </w:r>
      <w:r w:rsidRPr="00D671D0">
        <w:t>governing</w:t>
      </w:r>
      <w:r w:rsidRPr="00076ECC">
        <w:t xml:space="preserve"> the Space Plans</w:t>
      </w:r>
      <w:r>
        <w:t>.</w:t>
      </w:r>
    </w:p>
    <w:p w14:paraId="0FE1AAEF" w14:textId="77777777" w:rsidR="00D47ED5" w:rsidRDefault="00D47ED5" w:rsidP="00D47ED5">
      <w:pPr>
        <w:tabs>
          <w:tab w:val="left" w:pos="851"/>
        </w:tabs>
      </w:pPr>
      <w:r>
        <w:tab/>
        <w:t xml:space="preserve">j. </w:t>
      </w:r>
      <w:r>
        <w:tab/>
        <w:t xml:space="preserve">The cost of </w:t>
      </w:r>
      <w:r w:rsidRPr="00076ECC">
        <w:t>dedicated resources needed to continually update and modernize the Bureau software applications used for satellite filings</w:t>
      </w:r>
      <w:r>
        <w:t>. H</w:t>
      </w:r>
      <w:r w:rsidRPr="00076ECC">
        <w:t>owever</w:t>
      </w:r>
      <w:r>
        <w:t>,</w:t>
      </w:r>
      <w:r w:rsidRPr="00076ECC">
        <w:t xml:space="preserve"> satellite cost recovery should not be used to fund development of software tools for processing terrestrial</w:t>
      </w:r>
      <w:r>
        <w:t xml:space="preserve"> filings.</w:t>
      </w:r>
    </w:p>
    <w:p w14:paraId="5F674D6B" w14:textId="77777777" w:rsidR="00D47ED5" w:rsidRDefault="00D47ED5" w:rsidP="00D47ED5">
      <w:r>
        <w:t>2.</w:t>
      </w:r>
      <w:r>
        <w:tab/>
        <w:t>It shall prepare an interim report containing recommendations for the possible revision of Decision 482 for submission to the 2024 session of the ITU Council.</w:t>
      </w:r>
    </w:p>
    <w:p w14:paraId="1911DD5C" w14:textId="77777777" w:rsidR="00D47ED5" w:rsidRDefault="00D47ED5" w:rsidP="00D47ED5">
      <w:r>
        <w:t xml:space="preserve">3. </w:t>
      </w:r>
      <w:r>
        <w:tab/>
        <w:t>The final report of the group shall be submitted to the 2025 session of the ITU Council for action and possible revision of Decision 482.</w:t>
      </w:r>
    </w:p>
    <w:p w14:paraId="1457C592" w14:textId="5D65E3F1" w:rsidR="00D47ED5" w:rsidRDefault="00D47ED5" w:rsidP="00D47ED5">
      <w:r>
        <w:lastRenderedPageBreak/>
        <w:t>4.</w:t>
      </w:r>
      <w:r>
        <w:tab/>
        <w:t>It shall be open to all ITU Member States and Sector Members and work in the English language. It should hold physical meetings with remote participation in conjunction with those of ITU-R Working Party 4A or Council working groups or any other relevant events, when possible.</w:t>
      </w:r>
    </w:p>
    <w:p w14:paraId="0ABA95DF" w14:textId="41FFE5BB" w:rsidR="00D47ED5" w:rsidRPr="003A556D" w:rsidRDefault="00D47ED5" w:rsidP="00D47ED5">
      <w:pPr>
        <w:spacing w:before="840"/>
        <w:jc w:val="center"/>
        <w:rPr>
          <w:rFonts w:eastAsia="SimSun"/>
          <w:lang w:eastAsia="en-GB"/>
        </w:rPr>
      </w:pPr>
      <w:r>
        <w:t>__________________</w:t>
      </w:r>
    </w:p>
    <w:sectPr w:rsidR="00D47ED5" w:rsidRPr="003A556D"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09C4" w14:textId="77777777" w:rsidR="009A1510" w:rsidRDefault="009A1510">
      <w:r>
        <w:separator/>
      </w:r>
    </w:p>
  </w:endnote>
  <w:endnote w:type="continuationSeparator" w:id="0">
    <w:p w14:paraId="2CA1323B" w14:textId="77777777" w:rsidR="009A1510" w:rsidRDefault="009A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6B681256" w:rsidR="00EE49E8" w:rsidRDefault="00EE49E8" w:rsidP="00EE49E8">
          <w:pPr>
            <w:pStyle w:val="Header"/>
            <w:jc w:val="left"/>
            <w:rPr>
              <w:noProof/>
            </w:rPr>
          </w:pPr>
          <w:r>
            <w:rPr>
              <w:noProof/>
            </w:rPr>
            <w:t xml:space="preserve">DPS </w:t>
          </w:r>
          <w:r w:rsidR="00D47ED5" w:rsidRPr="00D47ED5">
            <w:rPr>
              <w:noProof/>
            </w:rPr>
            <w:t>526865</w:t>
          </w:r>
        </w:p>
      </w:tc>
      <w:tc>
        <w:tcPr>
          <w:tcW w:w="8261" w:type="dxa"/>
        </w:tcPr>
        <w:p w14:paraId="35709C74" w14:textId="28EEFDB7"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864F1">
            <w:rPr>
              <w:bCs/>
            </w:rPr>
            <w:t>1</w:t>
          </w:r>
          <w:r w:rsidR="00D47ED5">
            <w:rPr>
              <w:bCs/>
            </w:rPr>
            <w:t>26</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D47ED5"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7DAF1B70"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864F1">
            <w:rPr>
              <w:bCs/>
            </w:rPr>
            <w:t>1</w:t>
          </w:r>
          <w:r w:rsidR="00D47ED5">
            <w:rPr>
              <w:bCs/>
            </w:rPr>
            <w:t>26</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5A60" w14:textId="77777777" w:rsidR="009A1510" w:rsidRDefault="009A1510">
      <w:r>
        <w:t>____________________</w:t>
      </w:r>
    </w:p>
  </w:footnote>
  <w:footnote w:type="continuationSeparator" w:id="0">
    <w:p w14:paraId="1FBD01EB" w14:textId="77777777" w:rsidR="009A1510" w:rsidRDefault="009A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BB5D4F"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371893"/>
    <w:multiLevelType w:val="hybridMultilevel"/>
    <w:tmpl w:val="F8BAA3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D6E6E"/>
    <w:multiLevelType w:val="hybridMultilevel"/>
    <w:tmpl w:val="DFD6A7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152055"/>
    <w:multiLevelType w:val="hybridMultilevel"/>
    <w:tmpl w:val="DB62EADC"/>
    <w:lvl w:ilvl="0" w:tplc="0E1A3C2C">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0C48C1"/>
    <w:multiLevelType w:val="hybridMultilevel"/>
    <w:tmpl w:val="8390C28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BD7925"/>
    <w:multiLevelType w:val="hybridMultilevel"/>
    <w:tmpl w:val="E778AB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D2042A8"/>
    <w:multiLevelType w:val="hybridMultilevel"/>
    <w:tmpl w:val="98C4323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D4822CC"/>
    <w:multiLevelType w:val="hybridMultilevel"/>
    <w:tmpl w:val="3C94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991AD4"/>
    <w:multiLevelType w:val="hybridMultilevel"/>
    <w:tmpl w:val="90E045F2"/>
    <w:lvl w:ilvl="0" w:tplc="DF0415EA">
      <w:start w:val="1"/>
      <w:numFmt w:val="lowerLetter"/>
      <w:lvlText w:val="%1)"/>
      <w:lvlJc w:val="left"/>
      <w:pPr>
        <w:ind w:left="360" w:hanging="360"/>
      </w:pPr>
      <w:rPr>
        <w:rFonts w:asciiTheme="minorHAnsi" w:eastAsia="Times New Roman" w:hAnsiTheme="minorHAns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241A31"/>
    <w:multiLevelType w:val="hybridMultilevel"/>
    <w:tmpl w:val="2F9864AA"/>
    <w:lvl w:ilvl="0" w:tplc="2A74ECEE">
      <w:start w:val="2"/>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E58E4"/>
    <w:multiLevelType w:val="hybridMultilevel"/>
    <w:tmpl w:val="F04068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CE3F46"/>
    <w:multiLevelType w:val="hybridMultilevel"/>
    <w:tmpl w:val="D61EFB3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862075D"/>
    <w:multiLevelType w:val="hybridMultilevel"/>
    <w:tmpl w:val="75663BE2"/>
    <w:lvl w:ilvl="0" w:tplc="FFFFFFFF">
      <w:start w:val="1"/>
      <w:numFmt w:val="lowerLetter"/>
      <w:lvlText w:val="%1)"/>
      <w:lvlJc w:val="left"/>
      <w:pPr>
        <w:ind w:left="360" w:hanging="360"/>
      </w:pPr>
      <w:rPr>
        <w:rFonts w:asciiTheme="minorHAnsi" w:eastAsia="Times New Roman" w:hAnsiTheme="minorHAnsi"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74816267">
    <w:abstractNumId w:val="0"/>
  </w:num>
  <w:num w:numId="2" w16cid:durableId="1357387783">
    <w:abstractNumId w:val="2"/>
  </w:num>
  <w:num w:numId="3" w16cid:durableId="1713923478">
    <w:abstractNumId w:val="5"/>
  </w:num>
  <w:num w:numId="4" w16cid:durableId="1014066748">
    <w:abstractNumId w:val="6"/>
  </w:num>
  <w:num w:numId="5" w16cid:durableId="677578138">
    <w:abstractNumId w:val="3"/>
  </w:num>
  <w:num w:numId="6" w16cid:durableId="1422793847">
    <w:abstractNumId w:val="7"/>
  </w:num>
  <w:num w:numId="7" w16cid:durableId="967199609">
    <w:abstractNumId w:val="9"/>
  </w:num>
  <w:num w:numId="8" w16cid:durableId="1563518938">
    <w:abstractNumId w:val="11"/>
  </w:num>
  <w:num w:numId="9" w16cid:durableId="948438753">
    <w:abstractNumId w:val="1"/>
  </w:num>
  <w:num w:numId="10" w16cid:durableId="1901944671">
    <w:abstractNumId w:val="8"/>
  </w:num>
  <w:num w:numId="11" w16cid:durableId="640504208">
    <w:abstractNumId w:val="12"/>
  </w:num>
  <w:num w:numId="12" w16cid:durableId="872498799">
    <w:abstractNumId w:val="4"/>
  </w:num>
  <w:num w:numId="13" w16cid:durableId="6577308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357E"/>
    <w:rsid w:val="00005998"/>
    <w:rsid w:val="00014515"/>
    <w:rsid w:val="0001472A"/>
    <w:rsid w:val="000210D4"/>
    <w:rsid w:val="00031EFB"/>
    <w:rsid w:val="000358BA"/>
    <w:rsid w:val="00041F4F"/>
    <w:rsid w:val="0004429C"/>
    <w:rsid w:val="0004682B"/>
    <w:rsid w:val="00050E1F"/>
    <w:rsid w:val="00057026"/>
    <w:rsid w:val="00063016"/>
    <w:rsid w:val="00066795"/>
    <w:rsid w:val="00066EF4"/>
    <w:rsid w:val="00071487"/>
    <w:rsid w:val="000727A2"/>
    <w:rsid w:val="00076AF6"/>
    <w:rsid w:val="000803F7"/>
    <w:rsid w:val="00082A99"/>
    <w:rsid w:val="000840CF"/>
    <w:rsid w:val="00085CF2"/>
    <w:rsid w:val="00094933"/>
    <w:rsid w:val="00096465"/>
    <w:rsid w:val="000A12CD"/>
    <w:rsid w:val="000B1705"/>
    <w:rsid w:val="000B2C3F"/>
    <w:rsid w:val="000C3F54"/>
    <w:rsid w:val="000C45F4"/>
    <w:rsid w:val="000D413F"/>
    <w:rsid w:val="000D75B2"/>
    <w:rsid w:val="000E0172"/>
    <w:rsid w:val="000E3AF7"/>
    <w:rsid w:val="00103240"/>
    <w:rsid w:val="0010599A"/>
    <w:rsid w:val="00107A9A"/>
    <w:rsid w:val="001121F5"/>
    <w:rsid w:val="001159BA"/>
    <w:rsid w:val="00120809"/>
    <w:rsid w:val="00125553"/>
    <w:rsid w:val="001259BC"/>
    <w:rsid w:val="00133778"/>
    <w:rsid w:val="00133DD0"/>
    <w:rsid w:val="0013669E"/>
    <w:rsid w:val="001400DC"/>
    <w:rsid w:val="00140CE1"/>
    <w:rsid w:val="00141A86"/>
    <w:rsid w:val="001449C8"/>
    <w:rsid w:val="00145ECB"/>
    <w:rsid w:val="00146536"/>
    <w:rsid w:val="00147CFA"/>
    <w:rsid w:val="0015213B"/>
    <w:rsid w:val="001552A8"/>
    <w:rsid w:val="00172220"/>
    <w:rsid w:val="0017539C"/>
    <w:rsid w:val="00175AC2"/>
    <w:rsid w:val="0017609F"/>
    <w:rsid w:val="001807B3"/>
    <w:rsid w:val="001908F9"/>
    <w:rsid w:val="00190DE7"/>
    <w:rsid w:val="001A0F2C"/>
    <w:rsid w:val="001A1D8B"/>
    <w:rsid w:val="001A35BD"/>
    <w:rsid w:val="001A7D1D"/>
    <w:rsid w:val="001B12A4"/>
    <w:rsid w:val="001B33BF"/>
    <w:rsid w:val="001B51DD"/>
    <w:rsid w:val="001C628E"/>
    <w:rsid w:val="001D1E8C"/>
    <w:rsid w:val="001E0F7B"/>
    <w:rsid w:val="00205C8D"/>
    <w:rsid w:val="002061CE"/>
    <w:rsid w:val="002110B2"/>
    <w:rsid w:val="002119FD"/>
    <w:rsid w:val="0021269F"/>
    <w:rsid w:val="002130E0"/>
    <w:rsid w:val="00215F8D"/>
    <w:rsid w:val="002160B2"/>
    <w:rsid w:val="00223BBB"/>
    <w:rsid w:val="00226DDE"/>
    <w:rsid w:val="00226E09"/>
    <w:rsid w:val="00227364"/>
    <w:rsid w:val="0023103F"/>
    <w:rsid w:val="00231B73"/>
    <w:rsid w:val="00232293"/>
    <w:rsid w:val="002357E7"/>
    <w:rsid w:val="00237019"/>
    <w:rsid w:val="00240845"/>
    <w:rsid w:val="002450EB"/>
    <w:rsid w:val="00246E5B"/>
    <w:rsid w:val="0025480A"/>
    <w:rsid w:val="002559A4"/>
    <w:rsid w:val="002577A9"/>
    <w:rsid w:val="00260A17"/>
    <w:rsid w:val="00264425"/>
    <w:rsid w:val="00265875"/>
    <w:rsid w:val="00270080"/>
    <w:rsid w:val="0027303B"/>
    <w:rsid w:val="002775CC"/>
    <w:rsid w:val="0028109B"/>
    <w:rsid w:val="002831F5"/>
    <w:rsid w:val="002A2188"/>
    <w:rsid w:val="002A4D17"/>
    <w:rsid w:val="002B1F58"/>
    <w:rsid w:val="002B4880"/>
    <w:rsid w:val="002B778C"/>
    <w:rsid w:val="002C1ADF"/>
    <w:rsid w:val="002C1C7A"/>
    <w:rsid w:val="002C54E2"/>
    <w:rsid w:val="002D0419"/>
    <w:rsid w:val="002E2F14"/>
    <w:rsid w:val="002E55D7"/>
    <w:rsid w:val="002F1CB2"/>
    <w:rsid w:val="002F7E30"/>
    <w:rsid w:val="0030160F"/>
    <w:rsid w:val="00301FCD"/>
    <w:rsid w:val="00320223"/>
    <w:rsid w:val="00322D0D"/>
    <w:rsid w:val="003242F8"/>
    <w:rsid w:val="00324308"/>
    <w:rsid w:val="00324338"/>
    <w:rsid w:val="00332C8F"/>
    <w:rsid w:val="00337F4F"/>
    <w:rsid w:val="003567DA"/>
    <w:rsid w:val="00357256"/>
    <w:rsid w:val="00361465"/>
    <w:rsid w:val="00364B26"/>
    <w:rsid w:val="00366B1A"/>
    <w:rsid w:val="0037280C"/>
    <w:rsid w:val="003769E2"/>
    <w:rsid w:val="00382EBE"/>
    <w:rsid w:val="0038300F"/>
    <w:rsid w:val="00384360"/>
    <w:rsid w:val="003877F5"/>
    <w:rsid w:val="003942D4"/>
    <w:rsid w:val="003958A8"/>
    <w:rsid w:val="003A556D"/>
    <w:rsid w:val="003B2415"/>
    <w:rsid w:val="003B3A14"/>
    <w:rsid w:val="003C2533"/>
    <w:rsid w:val="003C4CBD"/>
    <w:rsid w:val="003D5A7B"/>
    <w:rsid w:val="003D5A7F"/>
    <w:rsid w:val="003D7231"/>
    <w:rsid w:val="003D7519"/>
    <w:rsid w:val="003E6F30"/>
    <w:rsid w:val="003F3949"/>
    <w:rsid w:val="003F6F6C"/>
    <w:rsid w:val="004010F4"/>
    <w:rsid w:val="0040435A"/>
    <w:rsid w:val="0040515C"/>
    <w:rsid w:val="0041191D"/>
    <w:rsid w:val="00413476"/>
    <w:rsid w:val="00416A24"/>
    <w:rsid w:val="00422D22"/>
    <w:rsid w:val="00430771"/>
    <w:rsid w:val="00430F0A"/>
    <w:rsid w:val="00431715"/>
    <w:rsid w:val="00431B5D"/>
    <w:rsid w:val="00431D9E"/>
    <w:rsid w:val="00433CE8"/>
    <w:rsid w:val="00434537"/>
    <w:rsid w:val="00434A5C"/>
    <w:rsid w:val="00442094"/>
    <w:rsid w:val="004544D9"/>
    <w:rsid w:val="00463ABC"/>
    <w:rsid w:val="00466B6A"/>
    <w:rsid w:val="00472290"/>
    <w:rsid w:val="00472BAD"/>
    <w:rsid w:val="00477CA5"/>
    <w:rsid w:val="0048241B"/>
    <w:rsid w:val="00482917"/>
    <w:rsid w:val="00483E0D"/>
    <w:rsid w:val="00484009"/>
    <w:rsid w:val="00485E98"/>
    <w:rsid w:val="00487BBD"/>
    <w:rsid w:val="00490641"/>
    <w:rsid w:val="00490E72"/>
    <w:rsid w:val="00491157"/>
    <w:rsid w:val="004921C8"/>
    <w:rsid w:val="00495B0B"/>
    <w:rsid w:val="0049745B"/>
    <w:rsid w:val="004A1B8B"/>
    <w:rsid w:val="004A3587"/>
    <w:rsid w:val="004A572F"/>
    <w:rsid w:val="004A69AF"/>
    <w:rsid w:val="004A6F7D"/>
    <w:rsid w:val="004B5D52"/>
    <w:rsid w:val="004B798E"/>
    <w:rsid w:val="004C5065"/>
    <w:rsid w:val="004D0C30"/>
    <w:rsid w:val="004D0EDB"/>
    <w:rsid w:val="004D1851"/>
    <w:rsid w:val="004D599D"/>
    <w:rsid w:val="004D69EB"/>
    <w:rsid w:val="004E2EA5"/>
    <w:rsid w:val="004E3AEB"/>
    <w:rsid w:val="004E4EA7"/>
    <w:rsid w:val="004F0F8A"/>
    <w:rsid w:val="004F297C"/>
    <w:rsid w:val="004F2A69"/>
    <w:rsid w:val="004F5338"/>
    <w:rsid w:val="004F69C8"/>
    <w:rsid w:val="00500F6F"/>
    <w:rsid w:val="0050223C"/>
    <w:rsid w:val="0050285C"/>
    <w:rsid w:val="005112DC"/>
    <w:rsid w:val="00511EFA"/>
    <w:rsid w:val="00512FEA"/>
    <w:rsid w:val="00517179"/>
    <w:rsid w:val="005243FF"/>
    <w:rsid w:val="0053167F"/>
    <w:rsid w:val="00534EA6"/>
    <w:rsid w:val="00536E96"/>
    <w:rsid w:val="005425AF"/>
    <w:rsid w:val="00551C4D"/>
    <w:rsid w:val="005617B1"/>
    <w:rsid w:val="00564FBC"/>
    <w:rsid w:val="0057398C"/>
    <w:rsid w:val="005761C5"/>
    <w:rsid w:val="005800BC"/>
    <w:rsid w:val="005810AB"/>
    <w:rsid w:val="00582442"/>
    <w:rsid w:val="005850C6"/>
    <w:rsid w:val="00593127"/>
    <w:rsid w:val="00595795"/>
    <w:rsid w:val="00595CFE"/>
    <w:rsid w:val="005A14A3"/>
    <w:rsid w:val="005A6E3D"/>
    <w:rsid w:val="005B08AF"/>
    <w:rsid w:val="005C1E58"/>
    <w:rsid w:val="005D145C"/>
    <w:rsid w:val="005E2111"/>
    <w:rsid w:val="005E5F3F"/>
    <w:rsid w:val="005E60CD"/>
    <w:rsid w:val="005F2972"/>
    <w:rsid w:val="005F3269"/>
    <w:rsid w:val="005F5DF5"/>
    <w:rsid w:val="005F638D"/>
    <w:rsid w:val="0060626D"/>
    <w:rsid w:val="00612ECD"/>
    <w:rsid w:val="00623AE3"/>
    <w:rsid w:val="006268BE"/>
    <w:rsid w:val="006271B3"/>
    <w:rsid w:val="006305BC"/>
    <w:rsid w:val="00631707"/>
    <w:rsid w:val="006327A4"/>
    <w:rsid w:val="00634A9F"/>
    <w:rsid w:val="00635FFC"/>
    <w:rsid w:val="0063680F"/>
    <w:rsid w:val="006401BD"/>
    <w:rsid w:val="00641B4F"/>
    <w:rsid w:val="0064737F"/>
    <w:rsid w:val="006475A7"/>
    <w:rsid w:val="00651137"/>
    <w:rsid w:val="00652CB5"/>
    <w:rsid w:val="006535F1"/>
    <w:rsid w:val="006547E2"/>
    <w:rsid w:val="0065557D"/>
    <w:rsid w:val="00655EBB"/>
    <w:rsid w:val="00660D50"/>
    <w:rsid w:val="00662984"/>
    <w:rsid w:val="00663CBB"/>
    <w:rsid w:val="006716BB"/>
    <w:rsid w:val="00673C3E"/>
    <w:rsid w:val="006760B9"/>
    <w:rsid w:val="006770DA"/>
    <w:rsid w:val="00681ED9"/>
    <w:rsid w:val="00682CAF"/>
    <w:rsid w:val="00685BCF"/>
    <w:rsid w:val="00687DAD"/>
    <w:rsid w:val="00693C97"/>
    <w:rsid w:val="00693D8E"/>
    <w:rsid w:val="006943B2"/>
    <w:rsid w:val="006A56B2"/>
    <w:rsid w:val="006B1859"/>
    <w:rsid w:val="006B6680"/>
    <w:rsid w:val="006B6DCC"/>
    <w:rsid w:val="006B73CC"/>
    <w:rsid w:val="006C28E8"/>
    <w:rsid w:val="006D789F"/>
    <w:rsid w:val="006E0893"/>
    <w:rsid w:val="006E09F8"/>
    <w:rsid w:val="006E3F14"/>
    <w:rsid w:val="006E5643"/>
    <w:rsid w:val="006F0756"/>
    <w:rsid w:val="006F0C79"/>
    <w:rsid w:val="007014B9"/>
    <w:rsid w:val="00702DEF"/>
    <w:rsid w:val="00705A3B"/>
    <w:rsid w:val="00706546"/>
    <w:rsid w:val="00706861"/>
    <w:rsid w:val="007177E5"/>
    <w:rsid w:val="00722629"/>
    <w:rsid w:val="00727CE5"/>
    <w:rsid w:val="00740319"/>
    <w:rsid w:val="0075051B"/>
    <w:rsid w:val="00755FB0"/>
    <w:rsid w:val="007615D4"/>
    <w:rsid w:val="0076690B"/>
    <w:rsid w:val="007705CD"/>
    <w:rsid w:val="007721A0"/>
    <w:rsid w:val="0077599E"/>
    <w:rsid w:val="0077599F"/>
    <w:rsid w:val="0077705B"/>
    <w:rsid w:val="007774CB"/>
    <w:rsid w:val="00777FBD"/>
    <w:rsid w:val="00787042"/>
    <w:rsid w:val="00793188"/>
    <w:rsid w:val="00794D34"/>
    <w:rsid w:val="007A2847"/>
    <w:rsid w:val="007A3E10"/>
    <w:rsid w:val="007A670C"/>
    <w:rsid w:val="007B2B66"/>
    <w:rsid w:val="007B4849"/>
    <w:rsid w:val="007D2ECF"/>
    <w:rsid w:val="007D5235"/>
    <w:rsid w:val="007D5E2D"/>
    <w:rsid w:val="007E37B2"/>
    <w:rsid w:val="007F1391"/>
    <w:rsid w:val="008042A6"/>
    <w:rsid w:val="00811745"/>
    <w:rsid w:val="00813E5E"/>
    <w:rsid w:val="00822F6F"/>
    <w:rsid w:val="00823D02"/>
    <w:rsid w:val="00824A21"/>
    <w:rsid w:val="00827694"/>
    <w:rsid w:val="00830E26"/>
    <w:rsid w:val="00832E7B"/>
    <w:rsid w:val="008338FD"/>
    <w:rsid w:val="0083581B"/>
    <w:rsid w:val="00844D14"/>
    <w:rsid w:val="008502BD"/>
    <w:rsid w:val="0085185B"/>
    <w:rsid w:val="00852451"/>
    <w:rsid w:val="0085540D"/>
    <w:rsid w:val="00863874"/>
    <w:rsid w:val="00864AFF"/>
    <w:rsid w:val="0086554A"/>
    <w:rsid w:val="00865925"/>
    <w:rsid w:val="00866941"/>
    <w:rsid w:val="00872E0C"/>
    <w:rsid w:val="0087784B"/>
    <w:rsid w:val="00881891"/>
    <w:rsid w:val="00891B30"/>
    <w:rsid w:val="008932A8"/>
    <w:rsid w:val="0089777E"/>
    <w:rsid w:val="008A0935"/>
    <w:rsid w:val="008A1FE4"/>
    <w:rsid w:val="008B02DE"/>
    <w:rsid w:val="008B4812"/>
    <w:rsid w:val="008B4A6A"/>
    <w:rsid w:val="008C469B"/>
    <w:rsid w:val="008C7301"/>
    <w:rsid w:val="008C7E27"/>
    <w:rsid w:val="008D66F3"/>
    <w:rsid w:val="008E0566"/>
    <w:rsid w:val="008E1D39"/>
    <w:rsid w:val="008E63C8"/>
    <w:rsid w:val="008F0D19"/>
    <w:rsid w:val="008F36B6"/>
    <w:rsid w:val="008F7448"/>
    <w:rsid w:val="00900F34"/>
    <w:rsid w:val="0090147A"/>
    <w:rsid w:val="00905E08"/>
    <w:rsid w:val="00906BE8"/>
    <w:rsid w:val="0090758D"/>
    <w:rsid w:val="00910E09"/>
    <w:rsid w:val="009166B5"/>
    <w:rsid w:val="009173EF"/>
    <w:rsid w:val="00920A64"/>
    <w:rsid w:val="009303E1"/>
    <w:rsid w:val="00932906"/>
    <w:rsid w:val="0093552A"/>
    <w:rsid w:val="00936507"/>
    <w:rsid w:val="00937F19"/>
    <w:rsid w:val="00941939"/>
    <w:rsid w:val="009435E5"/>
    <w:rsid w:val="00944287"/>
    <w:rsid w:val="009517EC"/>
    <w:rsid w:val="009545F5"/>
    <w:rsid w:val="00961B0B"/>
    <w:rsid w:val="0096323D"/>
    <w:rsid w:val="0096414D"/>
    <w:rsid w:val="00966196"/>
    <w:rsid w:val="009743C3"/>
    <w:rsid w:val="00974778"/>
    <w:rsid w:val="00975D9F"/>
    <w:rsid w:val="00976C0D"/>
    <w:rsid w:val="00981BED"/>
    <w:rsid w:val="009837F2"/>
    <w:rsid w:val="009A1510"/>
    <w:rsid w:val="009A407C"/>
    <w:rsid w:val="009A431F"/>
    <w:rsid w:val="009B006E"/>
    <w:rsid w:val="009B38C3"/>
    <w:rsid w:val="009B5927"/>
    <w:rsid w:val="009C175F"/>
    <w:rsid w:val="009C1BB7"/>
    <w:rsid w:val="009D0187"/>
    <w:rsid w:val="009D275D"/>
    <w:rsid w:val="009D3D15"/>
    <w:rsid w:val="009D465A"/>
    <w:rsid w:val="009E17BD"/>
    <w:rsid w:val="009E485A"/>
    <w:rsid w:val="009E691A"/>
    <w:rsid w:val="009F2CDF"/>
    <w:rsid w:val="00A04CEC"/>
    <w:rsid w:val="00A17CF4"/>
    <w:rsid w:val="00A20D93"/>
    <w:rsid w:val="00A21F49"/>
    <w:rsid w:val="00A27F7D"/>
    <w:rsid w:val="00A27F92"/>
    <w:rsid w:val="00A32257"/>
    <w:rsid w:val="00A35D35"/>
    <w:rsid w:val="00A36D20"/>
    <w:rsid w:val="00A40383"/>
    <w:rsid w:val="00A44716"/>
    <w:rsid w:val="00A514A4"/>
    <w:rsid w:val="00A52D28"/>
    <w:rsid w:val="00A54171"/>
    <w:rsid w:val="00A55622"/>
    <w:rsid w:val="00A63CC7"/>
    <w:rsid w:val="00A66AAB"/>
    <w:rsid w:val="00A81687"/>
    <w:rsid w:val="00A83502"/>
    <w:rsid w:val="00A840AE"/>
    <w:rsid w:val="00A84347"/>
    <w:rsid w:val="00A8595C"/>
    <w:rsid w:val="00A86D94"/>
    <w:rsid w:val="00A86DB8"/>
    <w:rsid w:val="00A919F2"/>
    <w:rsid w:val="00AA6B91"/>
    <w:rsid w:val="00AA733B"/>
    <w:rsid w:val="00AB23BD"/>
    <w:rsid w:val="00AB333D"/>
    <w:rsid w:val="00AC10CA"/>
    <w:rsid w:val="00AC2D81"/>
    <w:rsid w:val="00AC4DF6"/>
    <w:rsid w:val="00AC584B"/>
    <w:rsid w:val="00AC61A6"/>
    <w:rsid w:val="00AD15B3"/>
    <w:rsid w:val="00AD1746"/>
    <w:rsid w:val="00AD3606"/>
    <w:rsid w:val="00AD4A3D"/>
    <w:rsid w:val="00AD5417"/>
    <w:rsid w:val="00AE0CD8"/>
    <w:rsid w:val="00AE285B"/>
    <w:rsid w:val="00AE5F6D"/>
    <w:rsid w:val="00AF6E49"/>
    <w:rsid w:val="00B001CE"/>
    <w:rsid w:val="00B045CF"/>
    <w:rsid w:val="00B04A67"/>
    <w:rsid w:val="00B0583C"/>
    <w:rsid w:val="00B1066F"/>
    <w:rsid w:val="00B26405"/>
    <w:rsid w:val="00B353AD"/>
    <w:rsid w:val="00B40A81"/>
    <w:rsid w:val="00B41BFA"/>
    <w:rsid w:val="00B44910"/>
    <w:rsid w:val="00B50916"/>
    <w:rsid w:val="00B54DF9"/>
    <w:rsid w:val="00B57F3C"/>
    <w:rsid w:val="00B60885"/>
    <w:rsid w:val="00B65466"/>
    <w:rsid w:val="00B6683A"/>
    <w:rsid w:val="00B67AA4"/>
    <w:rsid w:val="00B72267"/>
    <w:rsid w:val="00B724DC"/>
    <w:rsid w:val="00B754F9"/>
    <w:rsid w:val="00B76EB6"/>
    <w:rsid w:val="00B7737B"/>
    <w:rsid w:val="00B7780D"/>
    <w:rsid w:val="00B80BF4"/>
    <w:rsid w:val="00B824C8"/>
    <w:rsid w:val="00B84B9D"/>
    <w:rsid w:val="00B86E10"/>
    <w:rsid w:val="00B92721"/>
    <w:rsid w:val="00B934FD"/>
    <w:rsid w:val="00BA7AE6"/>
    <w:rsid w:val="00BB0204"/>
    <w:rsid w:val="00BB5577"/>
    <w:rsid w:val="00BB6D3D"/>
    <w:rsid w:val="00BC251A"/>
    <w:rsid w:val="00BC3C44"/>
    <w:rsid w:val="00BC3D3B"/>
    <w:rsid w:val="00BC52E9"/>
    <w:rsid w:val="00BC747E"/>
    <w:rsid w:val="00BD032B"/>
    <w:rsid w:val="00BD22A6"/>
    <w:rsid w:val="00BD4CA0"/>
    <w:rsid w:val="00BE2640"/>
    <w:rsid w:val="00BF2CD2"/>
    <w:rsid w:val="00BF4E60"/>
    <w:rsid w:val="00C0110F"/>
    <w:rsid w:val="00C01189"/>
    <w:rsid w:val="00C0200B"/>
    <w:rsid w:val="00C025B0"/>
    <w:rsid w:val="00C16344"/>
    <w:rsid w:val="00C34FCA"/>
    <w:rsid w:val="00C374DE"/>
    <w:rsid w:val="00C417C0"/>
    <w:rsid w:val="00C435C5"/>
    <w:rsid w:val="00C453F8"/>
    <w:rsid w:val="00C475E2"/>
    <w:rsid w:val="00C47AD4"/>
    <w:rsid w:val="00C52D81"/>
    <w:rsid w:val="00C55198"/>
    <w:rsid w:val="00C70141"/>
    <w:rsid w:val="00C73B71"/>
    <w:rsid w:val="00C74276"/>
    <w:rsid w:val="00C905E6"/>
    <w:rsid w:val="00C942AD"/>
    <w:rsid w:val="00C947B9"/>
    <w:rsid w:val="00C952F6"/>
    <w:rsid w:val="00C96249"/>
    <w:rsid w:val="00CA6393"/>
    <w:rsid w:val="00CA6878"/>
    <w:rsid w:val="00CB0148"/>
    <w:rsid w:val="00CB18FF"/>
    <w:rsid w:val="00CB1B4F"/>
    <w:rsid w:val="00CB235F"/>
    <w:rsid w:val="00CB44B7"/>
    <w:rsid w:val="00CB6249"/>
    <w:rsid w:val="00CB6852"/>
    <w:rsid w:val="00CC1483"/>
    <w:rsid w:val="00CC72E3"/>
    <w:rsid w:val="00CD0C08"/>
    <w:rsid w:val="00CD6E08"/>
    <w:rsid w:val="00CE03FB"/>
    <w:rsid w:val="00CE433C"/>
    <w:rsid w:val="00CF0161"/>
    <w:rsid w:val="00CF03C8"/>
    <w:rsid w:val="00CF0AAC"/>
    <w:rsid w:val="00CF33F3"/>
    <w:rsid w:val="00CF416A"/>
    <w:rsid w:val="00CF5AC2"/>
    <w:rsid w:val="00D01D8F"/>
    <w:rsid w:val="00D06183"/>
    <w:rsid w:val="00D10D19"/>
    <w:rsid w:val="00D114AA"/>
    <w:rsid w:val="00D13633"/>
    <w:rsid w:val="00D22C42"/>
    <w:rsid w:val="00D26444"/>
    <w:rsid w:val="00D331DD"/>
    <w:rsid w:val="00D36447"/>
    <w:rsid w:val="00D371D0"/>
    <w:rsid w:val="00D41B8B"/>
    <w:rsid w:val="00D43B62"/>
    <w:rsid w:val="00D47ED5"/>
    <w:rsid w:val="00D52914"/>
    <w:rsid w:val="00D61097"/>
    <w:rsid w:val="00D621E1"/>
    <w:rsid w:val="00D62700"/>
    <w:rsid w:val="00D65041"/>
    <w:rsid w:val="00D722D2"/>
    <w:rsid w:val="00D73D3F"/>
    <w:rsid w:val="00D74215"/>
    <w:rsid w:val="00D81751"/>
    <w:rsid w:val="00D831B0"/>
    <w:rsid w:val="00D83BE9"/>
    <w:rsid w:val="00D864F1"/>
    <w:rsid w:val="00D93F3A"/>
    <w:rsid w:val="00D9723E"/>
    <w:rsid w:val="00DA4C09"/>
    <w:rsid w:val="00DB1936"/>
    <w:rsid w:val="00DB384B"/>
    <w:rsid w:val="00DC76C2"/>
    <w:rsid w:val="00DD0A6F"/>
    <w:rsid w:val="00DD46D2"/>
    <w:rsid w:val="00DF0189"/>
    <w:rsid w:val="00DF30BF"/>
    <w:rsid w:val="00DF7018"/>
    <w:rsid w:val="00E025A5"/>
    <w:rsid w:val="00E02FB8"/>
    <w:rsid w:val="00E06FD5"/>
    <w:rsid w:val="00E10E80"/>
    <w:rsid w:val="00E124F0"/>
    <w:rsid w:val="00E25115"/>
    <w:rsid w:val="00E26C92"/>
    <w:rsid w:val="00E32453"/>
    <w:rsid w:val="00E33DD8"/>
    <w:rsid w:val="00E461F4"/>
    <w:rsid w:val="00E4736F"/>
    <w:rsid w:val="00E51A3C"/>
    <w:rsid w:val="00E60767"/>
    <w:rsid w:val="00E60F04"/>
    <w:rsid w:val="00E65B24"/>
    <w:rsid w:val="00E701BA"/>
    <w:rsid w:val="00E70A66"/>
    <w:rsid w:val="00E74529"/>
    <w:rsid w:val="00E770E3"/>
    <w:rsid w:val="00E8317B"/>
    <w:rsid w:val="00E84FC3"/>
    <w:rsid w:val="00E854E4"/>
    <w:rsid w:val="00E86DBF"/>
    <w:rsid w:val="00E9149C"/>
    <w:rsid w:val="00EA0DBB"/>
    <w:rsid w:val="00EB0D6F"/>
    <w:rsid w:val="00EB2232"/>
    <w:rsid w:val="00EB28D7"/>
    <w:rsid w:val="00EC5337"/>
    <w:rsid w:val="00EC5764"/>
    <w:rsid w:val="00ED0C92"/>
    <w:rsid w:val="00ED3656"/>
    <w:rsid w:val="00ED5899"/>
    <w:rsid w:val="00ED6312"/>
    <w:rsid w:val="00EE49E8"/>
    <w:rsid w:val="00EF20ED"/>
    <w:rsid w:val="00EF57B2"/>
    <w:rsid w:val="00EF7D7E"/>
    <w:rsid w:val="00F01915"/>
    <w:rsid w:val="00F069B3"/>
    <w:rsid w:val="00F10CF5"/>
    <w:rsid w:val="00F127D9"/>
    <w:rsid w:val="00F16BAB"/>
    <w:rsid w:val="00F2150A"/>
    <w:rsid w:val="00F224FF"/>
    <w:rsid w:val="00F22FA8"/>
    <w:rsid w:val="00F231D8"/>
    <w:rsid w:val="00F30259"/>
    <w:rsid w:val="00F40EE3"/>
    <w:rsid w:val="00F44C00"/>
    <w:rsid w:val="00F46C5F"/>
    <w:rsid w:val="00F632C0"/>
    <w:rsid w:val="00F75049"/>
    <w:rsid w:val="00F83528"/>
    <w:rsid w:val="00F839F0"/>
    <w:rsid w:val="00F90D06"/>
    <w:rsid w:val="00F944D0"/>
    <w:rsid w:val="00F94A63"/>
    <w:rsid w:val="00FA1C28"/>
    <w:rsid w:val="00FB1279"/>
    <w:rsid w:val="00FB5039"/>
    <w:rsid w:val="00FB6B76"/>
    <w:rsid w:val="00FB7596"/>
    <w:rsid w:val="00FB7A68"/>
    <w:rsid w:val="00FC1026"/>
    <w:rsid w:val="00FC1B88"/>
    <w:rsid w:val="00FC4ABD"/>
    <w:rsid w:val="00FC5A33"/>
    <w:rsid w:val="00FD1B86"/>
    <w:rsid w:val="00FD5EB0"/>
    <w:rsid w:val="00FD6064"/>
    <w:rsid w:val="00FD7C11"/>
    <w:rsid w:val="00FE240F"/>
    <w:rsid w:val="00FE4077"/>
    <w:rsid w:val="00FE77D2"/>
    <w:rsid w:val="00FF61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693C97"/>
    <w:pPr>
      <w:ind w:left="720"/>
      <w:contextualSpacing/>
    </w:pPr>
  </w:style>
  <w:style w:type="character" w:customStyle="1" w:styleId="normaltextrun">
    <w:name w:val="normaltextrun"/>
    <w:basedOn w:val="DefaultParagraphFont"/>
    <w:rsid w:val="009B006E"/>
  </w:style>
  <w:style w:type="character" w:styleId="CommentReference">
    <w:name w:val="annotation reference"/>
    <w:basedOn w:val="DefaultParagraphFont"/>
    <w:semiHidden/>
    <w:unhideWhenUsed/>
    <w:rsid w:val="00C70141"/>
    <w:rPr>
      <w:sz w:val="16"/>
      <w:szCs w:val="16"/>
    </w:rPr>
  </w:style>
  <w:style w:type="paragraph" w:styleId="CommentText">
    <w:name w:val="annotation text"/>
    <w:basedOn w:val="Normal"/>
    <w:link w:val="CommentTextChar"/>
    <w:unhideWhenUsed/>
    <w:rsid w:val="00C70141"/>
    <w:rPr>
      <w:sz w:val="20"/>
    </w:rPr>
  </w:style>
  <w:style w:type="character" w:customStyle="1" w:styleId="CommentTextChar">
    <w:name w:val="Comment Text Char"/>
    <w:basedOn w:val="DefaultParagraphFont"/>
    <w:link w:val="CommentText"/>
    <w:rsid w:val="00C70141"/>
    <w:rPr>
      <w:rFonts w:ascii="Calibri" w:hAnsi="Calibri"/>
      <w:lang w:val="en-GB" w:eastAsia="en-US"/>
    </w:rPr>
  </w:style>
  <w:style w:type="paragraph" w:styleId="CommentSubject">
    <w:name w:val="annotation subject"/>
    <w:basedOn w:val="CommentText"/>
    <w:next w:val="CommentText"/>
    <w:link w:val="CommentSubjectChar"/>
    <w:semiHidden/>
    <w:unhideWhenUsed/>
    <w:rsid w:val="00C70141"/>
    <w:rPr>
      <w:b/>
      <w:bCs/>
    </w:rPr>
  </w:style>
  <w:style w:type="character" w:customStyle="1" w:styleId="CommentSubjectChar">
    <w:name w:val="Comment Subject Char"/>
    <w:basedOn w:val="CommentTextChar"/>
    <w:link w:val="CommentSubject"/>
    <w:semiHidden/>
    <w:rsid w:val="00C70141"/>
    <w:rPr>
      <w:rFonts w:ascii="Calibri" w:hAnsi="Calibri"/>
      <w:b/>
      <w:bCs/>
      <w:lang w:val="en-GB" w:eastAsia="en-US"/>
    </w:rPr>
  </w:style>
  <w:style w:type="character" w:styleId="UnresolvedMention">
    <w:name w:val="Unresolved Mention"/>
    <w:basedOn w:val="DefaultParagraphFont"/>
    <w:uiPriority w:val="99"/>
    <w:semiHidden/>
    <w:unhideWhenUsed/>
    <w:rsid w:val="00C96249"/>
    <w:rPr>
      <w:color w:val="605E5C"/>
      <w:shd w:val="clear" w:color="auto" w:fill="E1DFDD"/>
    </w:rPr>
  </w:style>
  <w:style w:type="paragraph" w:styleId="Revision">
    <w:name w:val="Revision"/>
    <w:hidden/>
    <w:uiPriority w:val="99"/>
    <w:semiHidden/>
    <w:rsid w:val="000840CF"/>
    <w:rPr>
      <w:rFonts w:ascii="Calibri" w:hAnsi="Calibri"/>
      <w:sz w:val="24"/>
      <w:lang w:val="en-GB" w:eastAsia="en-US"/>
    </w:rPr>
  </w:style>
  <w:style w:type="character" w:styleId="Strong">
    <w:name w:val="Strong"/>
    <w:basedOn w:val="DefaultParagraphFont"/>
    <w:uiPriority w:val="22"/>
    <w:qFormat/>
    <w:rsid w:val="00A27F7D"/>
    <w:rPr>
      <w:b/>
      <w:bCs/>
    </w:rPr>
  </w:style>
  <w:style w:type="character" w:customStyle="1" w:styleId="NormalaftertitleChar">
    <w:name w:val="Normal after title Char"/>
    <w:link w:val="Normalaftertitle"/>
    <w:locked/>
    <w:rsid w:val="00D47ED5"/>
    <w:rPr>
      <w:rFonts w:ascii="Calibri" w:hAnsi="Calibri"/>
      <w:sz w:val="24"/>
      <w:lang w:val="en-GB" w:eastAsia="en-US"/>
    </w:rPr>
  </w:style>
  <w:style w:type="character" w:customStyle="1" w:styleId="CallChar">
    <w:name w:val="Call Char"/>
    <w:link w:val="Call"/>
    <w:locked/>
    <w:rsid w:val="00D47ED5"/>
    <w:rPr>
      <w:rFonts w:ascii="Calibri" w:hAnsi="Calibri"/>
      <w:i/>
      <w:sz w:val="24"/>
      <w:lang w:val="en-GB" w:eastAsia="en-US"/>
    </w:rPr>
  </w:style>
  <w:style w:type="character" w:customStyle="1" w:styleId="AnnexNoChar">
    <w:name w:val="Annex_No Char"/>
    <w:basedOn w:val="DefaultParagraphFont"/>
    <w:link w:val="AnnexNo"/>
    <w:locked/>
    <w:rsid w:val="00D47ED5"/>
    <w:rPr>
      <w:rFonts w:ascii="Calibri" w:hAnsi="Calibri"/>
      <w:caps/>
      <w:sz w:val="28"/>
      <w:lang w:val="en-GB" w:eastAsia="en-US"/>
    </w:rPr>
  </w:style>
  <w:style w:type="character" w:customStyle="1" w:styleId="enumlev1Char">
    <w:name w:val="enumlev1 Char"/>
    <w:basedOn w:val="DefaultParagraphFont"/>
    <w:link w:val="enumlev1"/>
    <w:locked/>
    <w:rsid w:val="00D47ED5"/>
    <w:rPr>
      <w:rFonts w:ascii="Calibri" w:hAnsi="Calibri"/>
      <w:sz w:val="24"/>
      <w:lang w:val="en-GB" w:eastAsia="en-US"/>
    </w:rPr>
  </w:style>
  <w:style w:type="character" w:customStyle="1" w:styleId="AnnextitleChar">
    <w:name w:val="Annex_title Char"/>
    <w:basedOn w:val="DefaultParagraphFont"/>
    <w:link w:val="Annextitle"/>
    <w:locked/>
    <w:rsid w:val="00D47ED5"/>
    <w:rPr>
      <w:rFonts w:ascii="Calibri" w:hAnsi="Calibri"/>
      <w:b/>
      <w:sz w:val="28"/>
      <w:lang w:val="en-GB" w:eastAsia="en-US"/>
    </w:rPr>
  </w:style>
  <w:style w:type="character" w:customStyle="1" w:styleId="RestitleChar">
    <w:name w:val="Res_title Char"/>
    <w:basedOn w:val="DefaultParagraphFont"/>
    <w:link w:val="Restitle"/>
    <w:locked/>
    <w:rsid w:val="00D47ED5"/>
    <w:rPr>
      <w:rFonts w:ascii="Calibri" w:hAnsi="Calibri"/>
      <w:b/>
      <w:sz w:val="28"/>
      <w:lang w:val="en-GB" w:eastAsia="en-US"/>
    </w:rPr>
  </w:style>
  <w:style w:type="character" w:customStyle="1" w:styleId="ResNoChar">
    <w:name w:val="Res_No Char"/>
    <w:basedOn w:val="DefaultParagraphFont"/>
    <w:link w:val="ResNo"/>
    <w:locked/>
    <w:rsid w:val="00D47ED5"/>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019/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2146B739B54F40B714F2E60E92A517" ma:contentTypeVersion="15" ma:contentTypeDescription="Create a new document." ma:contentTypeScope="" ma:versionID="73294e5f0fbb0f5ee872815884f45529">
  <xsd:schema xmlns:xsd="http://www.w3.org/2001/XMLSchema" xmlns:xs="http://www.w3.org/2001/XMLSchema" xmlns:p="http://schemas.microsoft.com/office/2006/metadata/properties" xmlns:ns2="6524ed65-50c7-4fb3-9954-e6cb51bee540" xmlns:ns3="cb5c4e96-d2fa-4fb5-b842-8bb7a9e662f3" targetNamespace="http://schemas.microsoft.com/office/2006/metadata/properties" ma:root="true" ma:fieldsID="67bab3b112de809b874ef28ffd3a5865" ns2:_="" ns3:_="">
    <xsd:import namespace="6524ed65-50c7-4fb3-9954-e6cb51bee540"/>
    <xsd:import namespace="cb5c4e96-d2fa-4fb5-b842-8bb7a9e662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ed65-50c7-4fb3-9954-e6cb51bee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5c4e96-d2fa-4fb5-b842-8bb7a9e662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873559-c6c3-47ee-b04e-0ebdf642dd30}" ma:internalName="TaxCatchAll" ma:showField="CatchAllData" ma:web="cb5c4e96-d2fa-4fb5-b842-8bb7a9e66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24ed65-50c7-4fb3-9954-e6cb51bee540">
      <Terms xmlns="http://schemas.microsoft.com/office/infopath/2007/PartnerControls"/>
    </lcf76f155ced4ddcb4097134ff3c332f>
    <TaxCatchAll xmlns="cb5c4e96-d2fa-4fb5-b842-8bb7a9e662f3"/>
  </documentManagement>
</p:properties>
</file>

<file path=customXml/itemProps1.xml><?xml version="1.0" encoding="utf-8"?>
<ds:datastoreItem xmlns:ds="http://schemas.openxmlformats.org/officeDocument/2006/customXml" ds:itemID="{E52CBB77-852B-49B6-8E72-4F235B05BDEE}">
  <ds:schemaRefs>
    <ds:schemaRef ds:uri="http://schemas.microsoft.com/sharepoint/v3/contenttype/forms"/>
  </ds:schemaRefs>
</ds:datastoreItem>
</file>

<file path=customXml/itemProps2.xml><?xml version="1.0" encoding="utf-8"?>
<ds:datastoreItem xmlns:ds="http://schemas.openxmlformats.org/officeDocument/2006/customXml" ds:itemID="{E091D731-2514-4CA6-983B-2B328573A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ed65-50c7-4fb3-9954-e6cb51bee540"/>
    <ds:schemaRef ds:uri="cb5c4e96-d2fa-4fb5-b842-8bb7a9e66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3848A19A-1533-40EB-94EB-F9627BFBD0A9}">
  <ds:schemaRefs>
    <ds:schemaRef ds:uri="cb5c4e96-d2fa-4fb5-b842-8bb7a9e662f3"/>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6524ed65-50c7-4fb3-9954-e6cb51bee54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580</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Resolution 1416 - World Telecommunication and Information Society Day 2024 and 2025</vt:lpstr>
    </vt:vector>
  </TitlesOfParts>
  <Manager>General Secretariat - Pool</Manager>
  <Company>International Telecommunication Union (ITU)</Company>
  <LinksUpToDate>false</LinksUpToDate>
  <CharactersWithSpaces>3821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632 - Expert Group on Decision 482 (EG-DEC482)</dc:title>
  <dc:subject>Council 2023</dc:subject>
  <dc:creator/>
  <cp:keywords>C2023, C23, Council-23</cp:keywords>
  <dc:description/>
  <cp:lastModifiedBy>Brouard, Ricarda</cp:lastModifiedBy>
  <cp:revision>3</cp:revision>
  <cp:lastPrinted>2000-07-18T13:30:00Z</cp:lastPrinted>
  <dcterms:created xsi:type="dcterms:W3CDTF">2023-08-04T17:34:00Z</dcterms:created>
  <dcterms:modified xsi:type="dcterms:W3CDTF">2023-08-04T17:40:00Z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0x0101005F2146B739B54F40B714F2E60E92A517</vt:lpwstr>
  </property>
  <property fmtid="{D5CDD505-2E9C-101B-9397-08002B2CF9AE}" pid="9" name="GrammarlyDocumentId">
    <vt:lpwstr>d36b5a43916054a58cfecf838634550166874dd753b7e92e04064151e028b0a7</vt:lpwstr>
  </property>
</Properties>
</file>