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AFDF345" w14:textId="77777777" w:rsidTr="00F363FE">
        <w:tc>
          <w:tcPr>
            <w:tcW w:w="6512" w:type="dxa"/>
          </w:tcPr>
          <w:p w14:paraId="4C2B04A8" w14:textId="58D5436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95E8AC2" w14:textId="3F8DB2E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112A61">
              <w:rPr>
                <w:b/>
                <w:bCs/>
                <w:lang w:bidi="ar-EG"/>
              </w:rPr>
              <w:t>126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A78B1FC" w14:textId="77777777" w:rsidTr="00F363FE">
        <w:tc>
          <w:tcPr>
            <w:tcW w:w="6512" w:type="dxa"/>
          </w:tcPr>
          <w:p w14:paraId="6B6A59C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A0344F1" w14:textId="2CDF58E2" w:rsidR="007B0AA0" w:rsidRPr="007B0AA0" w:rsidRDefault="00112A61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أغسطس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36164666" w14:textId="77777777" w:rsidTr="00F363FE">
        <w:tc>
          <w:tcPr>
            <w:tcW w:w="6512" w:type="dxa"/>
          </w:tcPr>
          <w:p w14:paraId="2350E19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0EC58C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6F3129A" w14:textId="77777777" w:rsidTr="00F363FE">
        <w:tc>
          <w:tcPr>
            <w:tcW w:w="6512" w:type="dxa"/>
          </w:tcPr>
          <w:p w14:paraId="0F977FD0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20F105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74E29D2C" w14:textId="102EF767" w:rsidR="00112A61" w:rsidRDefault="00112A61" w:rsidP="00AA08A4">
      <w:pPr>
        <w:pStyle w:val="DecNo"/>
        <w:spacing w:before="480"/>
        <w:rPr>
          <w:rtl/>
        </w:rPr>
      </w:pPr>
      <w:r>
        <w:rPr>
          <w:rFonts w:hint="cs"/>
          <w:rtl/>
        </w:rPr>
        <w:t xml:space="preserve">المقرر </w:t>
      </w:r>
      <w:r>
        <w:t>632</w:t>
      </w:r>
    </w:p>
    <w:p w14:paraId="4CE7BDC4" w14:textId="0722B062" w:rsidR="00112A61" w:rsidRPr="002F1780" w:rsidRDefault="00112A61" w:rsidP="00112A61">
      <w:pPr>
        <w:jc w:val="center"/>
        <w:rPr>
          <w:rtl/>
          <w:lang w:bidi="ar-EG"/>
        </w:rPr>
      </w:pPr>
      <w:r w:rsidRPr="007B2C63">
        <w:rPr>
          <w:rFonts w:hint="cs"/>
          <w:rtl/>
          <w:lang w:bidi="ar-EG"/>
        </w:rPr>
        <w:t>(اعتُمد في الجلسة العامة السابعة)</w:t>
      </w:r>
    </w:p>
    <w:p w14:paraId="34B4858A" w14:textId="77777777" w:rsidR="00112A61" w:rsidRPr="002F1780" w:rsidRDefault="00112A61" w:rsidP="00112A61">
      <w:pPr>
        <w:pStyle w:val="Dectitle"/>
        <w:rPr>
          <w:rtl/>
          <w:lang w:bidi="ar-EG"/>
        </w:rPr>
      </w:pPr>
      <w:r w:rsidRPr="002F1780">
        <w:rPr>
          <w:rtl/>
        </w:rPr>
        <w:t xml:space="preserve">فريق الخبراء التابع للمجلس والمعني بالمقرر </w:t>
      </w:r>
      <w:r w:rsidRPr="002F1780">
        <w:t>482</w:t>
      </w:r>
      <w:r w:rsidRPr="002F1780">
        <w:rPr>
          <w:rFonts w:hint="cs"/>
          <w:rtl/>
        </w:rPr>
        <w:t xml:space="preserve"> </w:t>
      </w:r>
      <w:r w:rsidRPr="002F1780">
        <w:t>(EG-DEC482)</w:t>
      </w:r>
    </w:p>
    <w:p w14:paraId="0C73CFFC" w14:textId="77777777" w:rsidR="00112A61" w:rsidRPr="002F1780" w:rsidRDefault="00112A61" w:rsidP="00112A61">
      <w:pPr>
        <w:pStyle w:val="Normalaftertitle"/>
        <w:rPr>
          <w:rtl/>
        </w:rPr>
      </w:pPr>
      <w:r w:rsidRPr="002F1780">
        <w:rPr>
          <w:rFonts w:hint="cs"/>
          <w:rtl/>
        </w:rPr>
        <w:t xml:space="preserve">إن </w:t>
      </w:r>
      <w:r>
        <w:rPr>
          <w:rFonts w:hint="cs"/>
          <w:rtl/>
        </w:rPr>
        <w:t>مجلس الاتحاد الدولي للاتصالات</w:t>
      </w:r>
      <w:r w:rsidRPr="002F1780">
        <w:rPr>
          <w:rFonts w:hint="cs"/>
          <w:rtl/>
        </w:rPr>
        <w:t>،</w:t>
      </w:r>
    </w:p>
    <w:p w14:paraId="51FEA9A6" w14:textId="77777777" w:rsidR="00112A61" w:rsidRPr="002F1780" w:rsidRDefault="00112A61" w:rsidP="00112A61">
      <w:pPr>
        <w:pStyle w:val="Call"/>
        <w:tabs>
          <w:tab w:val="left" w:pos="3919"/>
        </w:tabs>
        <w:rPr>
          <w:rtl/>
        </w:rPr>
      </w:pPr>
      <w:r w:rsidRPr="002F1780">
        <w:rPr>
          <w:rFonts w:hint="cs"/>
          <w:rtl/>
        </w:rPr>
        <w:t>إذ يضع في اعتباره</w:t>
      </w:r>
    </w:p>
    <w:p w14:paraId="31BF1A80" w14:textId="36FBA5BB" w:rsidR="00112A61" w:rsidRPr="002F1780" w:rsidRDefault="00112A61" w:rsidP="00112A61">
      <w:pPr>
        <w:rPr>
          <w:rtl/>
          <w:lang w:bidi="ar-EG"/>
        </w:rPr>
      </w:pPr>
      <w:r w:rsidRPr="002F1780">
        <w:rPr>
          <w:rFonts w:hint="cs"/>
          <w:i/>
          <w:iCs/>
          <w:rtl/>
        </w:rPr>
        <w:t> أ )</w:t>
      </w:r>
      <w:r w:rsidRPr="002F1780">
        <w:rPr>
          <w:rtl/>
        </w:rPr>
        <w:tab/>
      </w:r>
      <w:r w:rsidRPr="002F1780">
        <w:rPr>
          <w:rFonts w:hint="cs"/>
          <w:spacing w:val="2"/>
          <w:rtl/>
        </w:rPr>
        <w:t xml:space="preserve">القرار 91 (المراجَع في غوادالاخارا، 2010) لمؤتمر لمندوبين المفوضين، بشأن </w:t>
      </w:r>
      <w:r w:rsidRPr="002F1780">
        <w:rPr>
          <w:spacing w:val="2"/>
          <w:rtl/>
        </w:rPr>
        <w:t>استرداد تكاليف بعض منتجات الاتحاد</w:t>
      </w:r>
      <w:r w:rsidR="00FF63B0">
        <w:rPr>
          <w:rFonts w:hint="cs"/>
          <w:spacing w:val="2"/>
          <w:rtl/>
        </w:rPr>
        <w:t> </w:t>
      </w:r>
      <w:r w:rsidRPr="002F1780">
        <w:rPr>
          <w:spacing w:val="2"/>
          <w:rtl/>
        </w:rPr>
        <w:t>وخدماته</w:t>
      </w:r>
      <w:r w:rsidRPr="002F1780">
        <w:rPr>
          <w:rFonts w:hint="cs"/>
          <w:spacing w:val="2"/>
          <w:rtl/>
          <w:lang w:bidi="ar-EG"/>
        </w:rPr>
        <w:t>؛</w:t>
      </w:r>
    </w:p>
    <w:p w14:paraId="0B686823" w14:textId="77777777" w:rsidR="00112A61" w:rsidRPr="002F1780" w:rsidRDefault="00112A61" w:rsidP="00112A61">
      <w:pPr>
        <w:rPr>
          <w:rtl/>
        </w:rPr>
      </w:pPr>
      <w:r w:rsidRPr="002F1780">
        <w:rPr>
          <w:rFonts w:hint="cs"/>
          <w:i/>
          <w:iCs/>
          <w:rtl/>
        </w:rPr>
        <w:t>ب)</w:t>
      </w:r>
      <w:r w:rsidRPr="002F1780">
        <w:rPr>
          <w:rtl/>
        </w:rPr>
        <w:tab/>
      </w:r>
      <w:r w:rsidRPr="002F1780">
        <w:rPr>
          <w:rFonts w:hint="cs"/>
          <w:rtl/>
        </w:rPr>
        <w:t>المقرر 482 (</w:t>
      </w:r>
      <w:r w:rsidRPr="002F1780">
        <w:rPr>
          <w:rtl/>
        </w:rPr>
        <w:t>دورة المجلس لعام 2001، التعديل الأخير في دورة المجلس لعام 2020) بشأن تطبيق استرداد التكاليف بشأن معالجة بطاقات التبليغ عن الشبكات الساتلية</w:t>
      </w:r>
      <w:r w:rsidRPr="002F1780">
        <w:rPr>
          <w:rFonts w:hint="cs"/>
          <w:rtl/>
        </w:rPr>
        <w:t>،</w:t>
      </w:r>
    </w:p>
    <w:p w14:paraId="3F6FACB4" w14:textId="77777777" w:rsidR="00112A61" w:rsidRPr="002F1780" w:rsidRDefault="00112A61" w:rsidP="00112A61">
      <w:pPr>
        <w:pStyle w:val="Call"/>
        <w:rPr>
          <w:rtl/>
        </w:rPr>
      </w:pPr>
      <w:r w:rsidRPr="002F1780">
        <w:rPr>
          <w:rFonts w:hint="cs"/>
          <w:rtl/>
        </w:rPr>
        <w:t>يقرر</w:t>
      </w:r>
    </w:p>
    <w:p w14:paraId="3A4152C0" w14:textId="77777777" w:rsidR="00112A61" w:rsidRPr="002F1780" w:rsidRDefault="00112A61" w:rsidP="00112A61">
      <w:pPr>
        <w:rPr>
          <w:rtl/>
        </w:rPr>
      </w:pPr>
      <w:r w:rsidRPr="002F1780">
        <w:rPr>
          <w:rtl/>
        </w:rPr>
        <w:t>إنشاء فريق خبراء معني بالمقرر 482 (</w:t>
      </w:r>
      <w:r w:rsidRPr="002F1780">
        <w:t>EG-DEC482</w:t>
      </w:r>
      <w:r w:rsidRPr="002F1780">
        <w:rPr>
          <w:rtl/>
        </w:rPr>
        <w:t xml:space="preserve">) تكون له الاختصاصات المبينة في الملحق </w:t>
      </w:r>
      <w:r w:rsidRPr="002F1780">
        <w:rPr>
          <w:rFonts w:hint="cs"/>
          <w:rtl/>
        </w:rPr>
        <w:t xml:space="preserve">1 </w:t>
      </w:r>
      <w:r w:rsidRPr="002F1780">
        <w:rPr>
          <w:rtl/>
        </w:rPr>
        <w:t>بهذا المقرر،</w:t>
      </w:r>
    </w:p>
    <w:p w14:paraId="77107606" w14:textId="77777777" w:rsidR="00112A61" w:rsidRPr="002F1780" w:rsidRDefault="00112A61" w:rsidP="00112A61">
      <w:pPr>
        <w:pStyle w:val="Call"/>
        <w:rPr>
          <w:rtl/>
        </w:rPr>
      </w:pPr>
      <w:r w:rsidRPr="002F1780">
        <w:rPr>
          <w:rFonts w:hint="cs"/>
          <w:rtl/>
        </w:rPr>
        <w:t>يكلف الأمين العام</w:t>
      </w:r>
    </w:p>
    <w:p w14:paraId="4D8CC20F" w14:textId="77777777" w:rsidR="00112A61" w:rsidRPr="002F1780" w:rsidRDefault="00112A61" w:rsidP="00112A61">
      <w:pPr>
        <w:rPr>
          <w:rtl/>
        </w:rPr>
      </w:pPr>
      <w:r w:rsidRPr="002F1780">
        <w:rPr>
          <w:rtl/>
        </w:rPr>
        <w:t xml:space="preserve">باتخاذ الترتيبات اللازمة لتنفيذ هذا </w:t>
      </w:r>
      <w:r w:rsidRPr="002F1780">
        <w:rPr>
          <w:rFonts w:hint="cs"/>
          <w:rtl/>
        </w:rPr>
        <w:t>المقرر</w:t>
      </w:r>
      <w:r w:rsidRPr="002F1780">
        <w:rPr>
          <w:rtl/>
        </w:rPr>
        <w:t>.</w:t>
      </w:r>
    </w:p>
    <w:p w14:paraId="2BFD9949" w14:textId="53BD243B" w:rsidR="00112A61" w:rsidRPr="00A00384" w:rsidRDefault="00112A61" w:rsidP="00112A61">
      <w:pPr>
        <w:spacing w:before="960"/>
        <w:rPr>
          <w:i/>
          <w:iCs/>
          <w:rtl/>
        </w:rPr>
      </w:pPr>
      <w:r w:rsidRPr="00A00384">
        <w:rPr>
          <w:rFonts w:hint="cs"/>
          <w:b/>
          <w:bCs/>
          <w:i/>
          <w:iCs/>
          <w:rtl/>
        </w:rPr>
        <w:t>الملحق</w:t>
      </w:r>
      <w:r w:rsidR="007B2C63" w:rsidRPr="00A00384">
        <w:rPr>
          <w:rFonts w:hint="cs"/>
          <w:b/>
          <w:bCs/>
          <w:i/>
          <w:iCs/>
          <w:rtl/>
          <w:lang w:bidi="ar-EG"/>
        </w:rPr>
        <w:t>ات</w:t>
      </w:r>
      <w:r w:rsidRPr="00A00384">
        <w:rPr>
          <w:rFonts w:hint="cs"/>
          <w:i/>
          <w:iCs/>
          <w:rtl/>
        </w:rPr>
        <w:t>: 1</w:t>
      </w:r>
    </w:p>
    <w:p w14:paraId="3AEE4536" w14:textId="77777777" w:rsidR="00112A61" w:rsidRPr="002F1780" w:rsidRDefault="00112A61" w:rsidP="00FF63B0">
      <w:pPr>
        <w:rPr>
          <w:rtl/>
        </w:rPr>
      </w:pPr>
      <w:r w:rsidRPr="002F1780">
        <w:rPr>
          <w:rtl/>
        </w:rPr>
        <w:br w:type="page"/>
      </w:r>
    </w:p>
    <w:p w14:paraId="61E1EB3A" w14:textId="2E3DA98A" w:rsidR="00112A61" w:rsidRPr="002F1780" w:rsidRDefault="00112A61" w:rsidP="001167A9">
      <w:pPr>
        <w:pStyle w:val="AnnexNo"/>
        <w:rPr>
          <w:rtl/>
          <w:lang w:bidi="ar-EG"/>
        </w:rPr>
      </w:pPr>
      <w:r w:rsidRPr="002F1780">
        <w:rPr>
          <w:rFonts w:hint="cs"/>
          <w:rtl/>
        </w:rPr>
        <w:lastRenderedPageBreak/>
        <w:t>الملحق</w:t>
      </w:r>
    </w:p>
    <w:p w14:paraId="3309FC45" w14:textId="77777777" w:rsidR="00112A61" w:rsidRPr="002F1780" w:rsidRDefault="00112A61" w:rsidP="00112A61">
      <w:pPr>
        <w:pStyle w:val="Annextitle"/>
      </w:pPr>
      <w:r w:rsidRPr="002F1780">
        <w:rPr>
          <w:rtl/>
        </w:rPr>
        <w:t xml:space="preserve">اختصاصات فريق الخبراء التابع للمجلس والمعني بالمقرر </w:t>
      </w:r>
      <w:r w:rsidRPr="002F1780">
        <w:t>482</w:t>
      </w:r>
    </w:p>
    <w:p w14:paraId="211FA1A2" w14:textId="77777777" w:rsidR="00112A61" w:rsidRPr="002F1780" w:rsidRDefault="00112A61" w:rsidP="00112A61">
      <w:pPr>
        <w:rPr>
          <w:rtl/>
        </w:rPr>
      </w:pPr>
      <w:r w:rsidRPr="002F1780">
        <w:rPr>
          <w:rFonts w:hint="cs"/>
          <w:rtl/>
        </w:rPr>
        <w:t>فيما يلي اختصاصات فريق الخبراء التابع للمجلس والمعني بالمقرر 482:</w:t>
      </w:r>
    </w:p>
    <w:p w14:paraId="55889107" w14:textId="0764FE48" w:rsidR="00112A61" w:rsidRPr="002F1780" w:rsidRDefault="00112A61" w:rsidP="00112A61">
      <w:pPr>
        <w:rPr>
          <w:rtl/>
        </w:rPr>
      </w:pPr>
      <w:r w:rsidRPr="002F1780">
        <w:rPr>
          <w:rFonts w:hint="cs"/>
          <w:rtl/>
        </w:rPr>
        <w:t>1</w:t>
      </w:r>
      <w:r w:rsidRPr="002F1780">
        <w:rPr>
          <w:rtl/>
        </w:rPr>
        <w:tab/>
      </w:r>
      <w:r w:rsidRPr="002F1780">
        <w:rPr>
          <w:rFonts w:hint="cs"/>
          <w:rtl/>
        </w:rPr>
        <w:t>يدرس فريق الخبراء التابع للمجلس والمعني بالمقرر 482</w:t>
      </w:r>
      <w:r w:rsidRPr="002F1780">
        <w:rPr>
          <w:rtl/>
        </w:rPr>
        <w:t xml:space="preserve">، استناداً إلى المبادئ والخطوط التوجيهية </w:t>
      </w:r>
      <w:r w:rsidR="007B2C63">
        <w:rPr>
          <w:rFonts w:hint="cs"/>
          <w:rtl/>
        </w:rPr>
        <w:t>الواردة</w:t>
      </w:r>
      <w:r w:rsidRPr="002F1780">
        <w:rPr>
          <w:rtl/>
        </w:rPr>
        <w:t xml:space="preserve"> في</w:t>
      </w:r>
      <w:r w:rsidRPr="002F1780">
        <w:rPr>
          <w:rFonts w:hint="cs"/>
          <w:rtl/>
        </w:rPr>
        <w:t> </w:t>
      </w:r>
      <w:r w:rsidRPr="002F1780">
        <w:rPr>
          <w:rtl/>
        </w:rPr>
        <w:t>القرار</w:t>
      </w:r>
      <w:r w:rsidRPr="002F1780">
        <w:rPr>
          <w:rFonts w:hint="cs"/>
          <w:rtl/>
        </w:rPr>
        <w:t> </w:t>
      </w:r>
      <w:r w:rsidRPr="002F1780">
        <w:rPr>
          <w:rtl/>
        </w:rPr>
        <w:t xml:space="preserve">91 (المراجَع في غوادالاخارا، 2010)، ولا سيما الفقرة 4 </w:t>
      </w:r>
      <w:r w:rsidRPr="002F1780">
        <w:rPr>
          <w:rFonts w:hint="cs"/>
          <w:rtl/>
          <w:lang w:bidi="ar-EG"/>
        </w:rPr>
        <w:t>’6‘</w:t>
      </w:r>
      <w:r w:rsidRPr="002F1780">
        <w:rPr>
          <w:rtl/>
        </w:rPr>
        <w:t xml:space="preserve"> من "</w:t>
      </w:r>
      <w:r w:rsidRPr="002F1780">
        <w:rPr>
          <w:i/>
          <w:iCs/>
          <w:rtl/>
        </w:rPr>
        <w:t>يقرر</w:t>
      </w:r>
      <w:r w:rsidRPr="002F1780">
        <w:rPr>
          <w:rtl/>
        </w:rPr>
        <w:t>"</w:t>
      </w:r>
      <w:r w:rsidRPr="002F1780">
        <w:rPr>
          <w:rFonts w:hint="cs"/>
          <w:rtl/>
        </w:rPr>
        <w:t xml:space="preserve">، </w:t>
      </w:r>
      <w:r w:rsidRPr="002F1780">
        <w:rPr>
          <w:rtl/>
        </w:rPr>
        <w:t>مدى ملاءمة أو عدم ملاءمة أي من</w:t>
      </w:r>
      <w:r w:rsidRPr="002F1780">
        <w:rPr>
          <w:rFonts w:hint="cs"/>
          <w:rtl/>
        </w:rPr>
        <w:t xml:space="preserve"> البنود الواردة أدناه (المنبثقة عن الملحق 1 بالوثيقة</w:t>
      </w:r>
      <w:r w:rsidRPr="002F1780">
        <w:rPr>
          <w:rFonts w:hint="eastAsia"/>
          <w:rtl/>
        </w:rPr>
        <w:t> </w:t>
      </w:r>
      <w:hyperlink r:id="rId8" w:history="1">
        <w:r w:rsidRPr="002F1780">
          <w:rPr>
            <w:rStyle w:val="Hyperlink"/>
          </w:rPr>
          <w:t>C23/19</w:t>
        </w:r>
      </w:hyperlink>
      <w:r w:rsidRPr="002F1780">
        <w:rPr>
          <w:rFonts w:hint="cs"/>
          <w:rtl/>
        </w:rPr>
        <w:t xml:space="preserve">)، </w:t>
      </w:r>
      <w:r w:rsidRPr="002F1780">
        <w:rPr>
          <w:rtl/>
        </w:rPr>
        <w:t>مع الاستناد إلى المعلومات المقدمة من مكتب الاتصالات الراديوية في</w:t>
      </w:r>
      <w:r w:rsidR="00D0304B">
        <w:rPr>
          <w:rFonts w:hint="cs"/>
          <w:rtl/>
        </w:rPr>
        <w:t> </w:t>
      </w:r>
      <w:r w:rsidRPr="002F1780">
        <w:rPr>
          <w:rtl/>
        </w:rPr>
        <w:t xml:space="preserve">حال طلبها </w:t>
      </w:r>
      <w:r w:rsidRPr="002F1780">
        <w:rPr>
          <w:rFonts w:hint="cs"/>
          <w:rtl/>
        </w:rPr>
        <w:t>والمساهمات المقدمة إلى اجتماعاته.</w:t>
      </w:r>
    </w:p>
    <w:p w14:paraId="733096D3" w14:textId="77777777" w:rsidR="00112A61" w:rsidRPr="002F1780" w:rsidRDefault="00112A61" w:rsidP="00112A61">
      <w:pPr>
        <w:pStyle w:val="enumlev1"/>
        <w:rPr>
          <w:rtl/>
        </w:rPr>
      </w:pPr>
      <w:r w:rsidRPr="002F1780">
        <w:rPr>
          <w:rFonts w:hint="cs"/>
          <w:rtl/>
          <w:lang w:bidi="ar-EG"/>
        </w:rPr>
        <w:t xml:space="preserve"> </w:t>
      </w:r>
      <w:r w:rsidRPr="002F1780">
        <w:rPr>
          <w:rFonts w:hint="cs"/>
          <w:rtl/>
        </w:rPr>
        <w:t>أ )</w:t>
      </w:r>
      <w:r w:rsidRPr="002F1780">
        <w:rPr>
          <w:rtl/>
        </w:rPr>
        <w:tab/>
      </w:r>
      <w:r w:rsidRPr="002F1780">
        <w:rPr>
          <w:rFonts w:hint="cs"/>
          <w:rtl/>
        </w:rPr>
        <w:t xml:space="preserve">في حالة بطاقات التبليغ غير المقبولة، دراسة </w:t>
      </w:r>
      <w:r w:rsidRPr="002F1780">
        <w:rPr>
          <w:rtl/>
        </w:rPr>
        <w:t xml:space="preserve">مدى ملاءمة أو عدم ملاءمة </w:t>
      </w:r>
      <w:r w:rsidRPr="002F1780">
        <w:rPr>
          <w:rFonts w:hint="cs"/>
          <w:rtl/>
        </w:rPr>
        <w:t>فرض جزء من رسوم معالجة بطاقة تبليغ مقبولة مكافئة في</w:t>
      </w:r>
      <w:r w:rsidRPr="002F1780">
        <w:rPr>
          <w:rFonts w:hint="eastAsia"/>
          <w:rtl/>
        </w:rPr>
        <w:t> </w:t>
      </w:r>
      <w:r w:rsidRPr="002F1780">
        <w:rPr>
          <w:rFonts w:hint="cs"/>
          <w:rtl/>
        </w:rPr>
        <w:t>هذه</w:t>
      </w:r>
      <w:r w:rsidRPr="002F1780">
        <w:rPr>
          <w:rFonts w:hint="eastAsia"/>
          <w:rtl/>
        </w:rPr>
        <w:t> </w:t>
      </w:r>
      <w:r w:rsidRPr="002F1780">
        <w:rPr>
          <w:rFonts w:hint="cs"/>
          <w:rtl/>
        </w:rPr>
        <w:t xml:space="preserve">الحالات، </w:t>
      </w:r>
      <w:r w:rsidRPr="002F1780">
        <w:rPr>
          <w:rtl/>
        </w:rPr>
        <w:t>مع مراعاة احتياجات البلدان النامية.</w:t>
      </w:r>
    </w:p>
    <w:p w14:paraId="2A172253" w14:textId="4EE64D98" w:rsidR="00112A61" w:rsidRPr="002F1780" w:rsidRDefault="00112A61" w:rsidP="00112A61">
      <w:pPr>
        <w:pStyle w:val="enumlev1"/>
        <w:rPr>
          <w:rtl/>
        </w:rPr>
      </w:pPr>
      <w:r w:rsidRPr="002F1780">
        <w:rPr>
          <w:rFonts w:hint="cs"/>
          <w:rtl/>
        </w:rPr>
        <w:t>ب)</w:t>
      </w:r>
      <w:r w:rsidRPr="002F1780">
        <w:rPr>
          <w:rtl/>
        </w:rPr>
        <w:tab/>
        <w:t xml:space="preserve">النظر </w:t>
      </w:r>
      <w:r w:rsidRPr="00A00384">
        <w:rPr>
          <w:rtl/>
        </w:rPr>
        <w:t>ف</w:t>
      </w:r>
      <w:r w:rsidR="00F73319" w:rsidRPr="00A00384">
        <w:rPr>
          <w:rFonts w:hint="cs"/>
          <w:rtl/>
        </w:rPr>
        <w:t>ي</w:t>
      </w:r>
      <w:r w:rsidRPr="00A00384">
        <w:rPr>
          <w:rtl/>
        </w:rPr>
        <w:t>ما</w:t>
      </w:r>
      <w:r w:rsidRPr="002F1780">
        <w:rPr>
          <w:rtl/>
        </w:rPr>
        <w:t xml:space="preserve"> إذا كانت هناك فئات لبطاقات التبليغ عن الأنظمة الساتلية غير المستقرة بالنسبة إلى الأرض (</w:t>
      </w:r>
      <w:r w:rsidRPr="002F1780">
        <w:t>non</w:t>
      </w:r>
      <w:r w:rsidR="008E2902">
        <w:noBreakHyphen/>
      </w:r>
      <w:r w:rsidRPr="002F1780">
        <w:t>GSO</w:t>
      </w:r>
      <w:r w:rsidRPr="002F1780">
        <w:rPr>
          <w:rtl/>
        </w:rPr>
        <w:t>) والتي، نظراً لتعقدها، ينبغي ألا تكون مؤهلة للحصول على استحقاق مجاني.</w:t>
      </w:r>
    </w:p>
    <w:p w14:paraId="548CA5CA" w14:textId="2E09EE32" w:rsidR="00112A61" w:rsidRPr="002F1780" w:rsidRDefault="00112A61" w:rsidP="00112A61">
      <w:pPr>
        <w:pStyle w:val="enumlev1"/>
        <w:rPr>
          <w:rtl/>
        </w:rPr>
      </w:pPr>
      <w:r w:rsidRPr="002F1780">
        <w:rPr>
          <w:rFonts w:hint="cs"/>
          <w:rtl/>
        </w:rPr>
        <w:t>ج)</w:t>
      </w:r>
      <w:r w:rsidRPr="002F1780">
        <w:rPr>
          <w:rtl/>
        </w:rPr>
        <w:tab/>
        <w:t>دراسة ما إذا كان ينبغي دفع رسوم محددة لمعالجة التبليغات المتعلقة بالمحطات الأرضية المتحركة، مع</w:t>
      </w:r>
      <w:r w:rsidR="008E2902">
        <w:rPr>
          <w:rFonts w:hint="cs"/>
          <w:rtl/>
        </w:rPr>
        <w:t> </w:t>
      </w:r>
      <w:r w:rsidRPr="002F1780">
        <w:rPr>
          <w:rtl/>
        </w:rPr>
        <w:t>تجنب ازدواجية</w:t>
      </w:r>
      <w:r w:rsidR="008E2902">
        <w:rPr>
          <w:rFonts w:hint="cs"/>
          <w:rtl/>
        </w:rPr>
        <w:t> </w:t>
      </w:r>
      <w:r w:rsidRPr="002F1780">
        <w:rPr>
          <w:rtl/>
        </w:rPr>
        <w:t>الفوترة.</w:t>
      </w:r>
    </w:p>
    <w:p w14:paraId="32C115D8" w14:textId="77777777" w:rsidR="00112A61" w:rsidRPr="002F1780" w:rsidRDefault="00112A61" w:rsidP="00112A61">
      <w:pPr>
        <w:pStyle w:val="enumlev1"/>
        <w:rPr>
          <w:rtl/>
        </w:rPr>
      </w:pPr>
      <w:r w:rsidRPr="002F1780">
        <w:rPr>
          <w:rFonts w:hint="cs"/>
          <w:rtl/>
        </w:rPr>
        <w:t>د )</w:t>
      </w:r>
      <w:r w:rsidRPr="002F1780">
        <w:rPr>
          <w:rtl/>
        </w:rPr>
        <w:tab/>
      </w:r>
      <w:r w:rsidRPr="002F1780">
        <w:rPr>
          <w:rFonts w:hint="cs"/>
          <w:rtl/>
        </w:rPr>
        <w:t>دراسة تكاليف معالجة طلبات التبليغ المعاد تقديمها.</w:t>
      </w:r>
    </w:p>
    <w:p w14:paraId="346FC2AE" w14:textId="41F00244" w:rsidR="00112A61" w:rsidRPr="002F1780" w:rsidRDefault="00112A61" w:rsidP="00112A61">
      <w:pPr>
        <w:pStyle w:val="enumlev1"/>
        <w:rPr>
          <w:rtl/>
        </w:rPr>
      </w:pPr>
      <w:r w:rsidRPr="002F1780">
        <w:rPr>
          <w:rFonts w:hint="cs"/>
          <w:rtl/>
        </w:rPr>
        <w:t>هـ )</w:t>
      </w:r>
      <w:r w:rsidRPr="002F1780">
        <w:rPr>
          <w:rtl/>
        </w:rPr>
        <w:tab/>
      </w:r>
      <w:r w:rsidRPr="002F1780">
        <w:rPr>
          <w:rFonts w:hint="cs"/>
          <w:rtl/>
        </w:rPr>
        <w:t xml:space="preserve">دراسة التكاليف المرتبطة بتنفيذ مكتب الاتصالات الراديوية لأحكام إضافية: القراران </w:t>
      </w:r>
      <w:r w:rsidRPr="002F1780">
        <w:rPr>
          <w:rFonts w:hint="cs"/>
          <w:b/>
          <w:bCs/>
          <w:rtl/>
        </w:rPr>
        <w:t>4</w:t>
      </w:r>
      <w:r w:rsidRPr="002F1780">
        <w:rPr>
          <w:rFonts w:hint="cs"/>
          <w:rtl/>
        </w:rPr>
        <w:t xml:space="preserve"> </w:t>
      </w:r>
      <w:r w:rsidRPr="002F1780">
        <w:rPr>
          <w:rFonts w:hint="cs"/>
          <w:b/>
          <w:bCs/>
          <w:rtl/>
        </w:rPr>
        <w:t>و49</w:t>
      </w:r>
      <w:r w:rsidRPr="002F1780">
        <w:rPr>
          <w:rFonts w:hint="cs"/>
          <w:rtl/>
        </w:rPr>
        <w:t xml:space="preserve"> والأرقام </w:t>
      </w:r>
      <w:r w:rsidRPr="002F1780">
        <w:rPr>
          <w:b/>
          <w:bCs/>
        </w:rPr>
        <w:t>32A.11</w:t>
      </w:r>
      <w:r w:rsidRPr="002F1780">
        <w:rPr>
          <w:rFonts w:hint="cs"/>
          <w:rtl/>
        </w:rPr>
        <w:t xml:space="preserve"> (انظر الحاشية أ)) </w:t>
      </w:r>
      <w:r w:rsidRPr="002F1780">
        <w:rPr>
          <w:rFonts w:hint="cs"/>
          <w:b/>
          <w:bCs/>
          <w:rtl/>
        </w:rPr>
        <w:t>و</w:t>
      </w:r>
      <w:r w:rsidRPr="002F1780">
        <w:rPr>
          <w:b/>
          <w:bCs/>
        </w:rPr>
        <w:t>41.11</w:t>
      </w:r>
      <w:r w:rsidRPr="002F1780">
        <w:rPr>
          <w:rFonts w:hint="cs"/>
          <w:b/>
          <w:bCs/>
          <w:rtl/>
        </w:rPr>
        <w:t xml:space="preserve"> و</w:t>
      </w:r>
      <w:r w:rsidRPr="002F1780">
        <w:rPr>
          <w:b/>
          <w:bCs/>
        </w:rPr>
        <w:t>47.11</w:t>
      </w:r>
      <w:r w:rsidRPr="002F1780">
        <w:rPr>
          <w:rFonts w:hint="cs"/>
          <w:b/>
          <w:bCs/>
          <w:rtl/>
        </w:rPr>
        <w:t xml:space="preserve"> و</w:t>
      </w:r>
      <w:r w:rsidRPr="002F1780">
        <w:rPr>
          <w:b/>
          <w:bCs/>
        </w:rPr>
        <w:t>49.11</w:t>
      </w:r>
      <w:r w:rsidRPr="002F1780">
        <w:rPr>
          <w:rFonts w:hint="cs"/>
          <w:rtl/>
        </w:rPr>
        <w:t xml:space="preserve"> والقسم الفرعي </w:t>
      </w:r>
      <w:r w:rsidRPr="002F1780">
        <w:t>IID</w:t>
      </w:r>
      <w:r w:rsidRPr="002F1780">
        <w:rPr>
          <w:rFonts w:hint="cs"/>
          <w:rtl/>
        </w:rPr>
        <w:t xml:space="preserve"> من المادة </w:t>
      </w:r>
      <w:r w:rsidRPr="002F1780">
        <w:rPr>
          <w:rFonts w:hint="cs"/>
          <w:b/>
          <w:bCs/>
          <w:rtl/>
        </w:rPr>
        <w:t>9</w:t>
      </w:r>
      <w:r w:rsidRPr="002F1780">
        <w:rPr>
          <w:rFonts w:hint="cs"/>
          <w:rtl/>
        </w:rPr>
        <w:t xml:space="preserve"> والقسمان 1 و2 من المادة </w:t>
      </w:r>
      <w:r w:rsidRPr="002F1780">
        <w:rPr>
          <w:rFonts w:hint="cs"/>
          <w:b/>
          <w:bCs/>
          <w:rtl/>
        </w:rPr>
        <w:t>13</w:t>
      </w:r>
      <w:r w:rsidRPr="002F1780">
        <w:rPr>
          <w:rFonts w:hint="cs"/>
          <w:rtl/>
        </w:rPr>
        <w:t xml:space="preserve"> والمادة</w:t>
      </w:r>
      <w:r w:rsidR="00D0304B">
        <w:rPr>
          <w:rFonts w:hint="eastAsia"/>
          <w:rtl/>
        </w:rPr>
        <w:t> </w:t>
      </w:r>
      <w:r w:rsidRPr="002F1780">
        <w:rPr>
          <w:rFonts w:hint="cs"/>
          <w:b/>
          <w:bCs/>
          <w:rtl/>
        </w:rPr>
        <w:t>14</w:t>
      </w:r>
      <w:r w:rsidRPr="002F1780">
        <w:rPr>
          <w:rFonts w:hint="cs"/>
          <w:rtl/>
        </w:rPr>
        <w:t>.</w:t>
      </w:r>
      <w:r w:rsidRPr="008E2902">
        <w:rPr>
          <w:rFonts w:hint="cs"/>
          <w:rtl/>
        </w:rPr>
        <w:t xml:space="preserve"> </w:t>
      </w:r>
      <w:r w:rsidRPr="002F1780">
        <w:rPr>
          <w:rtl/>
        </w:rPr>
        <w:t>ويُدعى المكتب إلى تقديم معلومات عن الحالات التي قُدمت بالفعل.</w:t>
      </w:r>
    </w:p>
    <w:p w14:paraId="3E8C646E" w14:textId="6DF6AB45" w:rsidR="00112A61" w:rsidRPr="002F1780" w:rsidRDefault="00112A61" w:rsidP="00112A61">
      <w:pPr>
        <w:pStyle w:val="enumlev1"/>
        <w:rPr>
          <w:rtl/>
        </w:rPr>
      </w:pPr>
      <w:r w:rsidRPr="002F1780">
        <w:rPr>
          <w:rFonts w:hint="cs"/>
          <w:rtl/>
        </w:rPr>
        <w:t>و )</w:t>
      </w:r>
      <w:r w:rsidRPr="002F1780">
        <w:rPr>
          <w:rtl/>
        </w:rPr>
        <w:tab/>
        <w:t xml:space="preserve">تكاليف معالجة بطاقات التبليغ عن أنظمة </w:t>
      </w:r>
      <w:r w:rsidRPr="002F1780">
        <w:t>non-GSO</w:t>
      </w:r>
      <w:r w:rsidRPr="002F1780">
        <w:rPr>
          <w:rtl/>
        </w:rPr>
        <w:t xml:space="preserve"> تتضمن أكثر من </w:t>
      </w:r>
      <w:r w:rsidRPr="002F1780">
        <w:rPr>
          <w:rFonts w:hint="cs"/>
          <w:rtl/>
        </w:rPr>
        <w:t>000</w:t>
      </w:r>
      <w:r w:rsidR="008E2902">
        <w:rPr>
          <w:rFonts w:hint="eastAsia"/>
        </w:rPr>
        <w:t> </w:t>
      </w:r>
      <w:r w:rsidRPr="002F1780">
        <w:rPr>
          <w:rFonts w:hint="cs"/>
          <w:rtl/>
        </w:rPr>
        <w:t>75</w:t>
      </w:r>
      <w:r w:rsidRPr="002F1780">
        <w:rPr>
          <w:rtl/>
        </w:rPr>
        <w:t xml:space="preserve"> وحدة، أو ما إذا كان ينبغي أن تأخذ الصيغة المستخدمة لحساب وحدات الأنظمة الساتلية </w:t>
      </w:r>
      <w:r w:rsidRPr="002F1780">
        <w:t>non-GSO</w:t>
      </w:r>
      <w:r w:rsidRPr="002F1780">
        <w:rPr>
          <w:rtl/>
        </w:rPr>
        <w:t xml:space="preserve"> في الاعتبار تأثير عدد الارتفاعات المدارية المختلفة أو عدد السواتل أو عدد المحطات الأرضية أو الخصائص الأخرى التي تؤثر على عبء العمل المتعلق بمعالجة بطاقات التبليغ عن أنظمة </w:t>
      </w:r>
      <w:r w:rsidRPr="002F1780">
        <w:t>non-GSO</w:t>
      </w:r>
      <w:r w:rsidRPr="002F1780">
        <w:rPr>
          <w:rtl/>
        </w:rPr>
        <w:t>.</w:t>
      </w:r>
    </w:p>
    <w:p w14:paraId="2AF593EC" w14:textId="51D3E695" w:rsidR="00112A61" w:rsidRPr="002F1780" w:rsidRDefault="00112A61" w:rsidP="00112A61">
      <w:pPr>
        <w:pStyle w:val="enumlev1"/>
        <w:rPr>
          <w:rtl/>
        </w:rPr>
      </w:pPr>
      <w:r w:rsidRPr="002F1780">
        <w:rPr>
          <w:rFonts w:hint="cs"/>
          <w:rtl/>
        </w:rPr>
        <w:t>ز )</w:t>
      </w:r>
      <w:r w:rsidRPr="002F1780">
        <w:rPr>
          <w:rtl/>
        </w:rPr>
        <w:tab/>
      </w:r>
      <w:r w:rsidRPr="002F1780">
        <w:rPr>
          <w:rFonts w:hint="cs"/>
          <w:rtl/>
        </w:rPr>
        <w:t xml:space="preserve">النظر في </w:t>
      </w:r>
      <w:r w:rsidRPr="002F1780">
        <w:rPr>
          <w:rtl/>
        </w:rPr>
        <w:t xml:space="preserve">إدخال وحدات في الفئتين </w:t>
      </w:r>
      <w:r w:rsidRPr="002F1780">
        <w:t>A1</w:t>
      </w:r>
      <w:r w:rsidRPr="002F1780">
        <w:rPr>
          <w:rtl/>
        </w:rPr>
        <w:t xml:space="preserve"> و</w:t>
      </w:r>
      <w:r w:rsidRPr="002F1780">
        <w:t>N4</w:t>
      </w:r>
      <w:r w:rsidRPr="002F1780">
        <w:rPr>
          <w:rtl/>
        </w:rPr>
        <w:t>، مع فرض رسم مختلف</w:t>
      </w:r>
      <w:r w:rsidRPr="002F1780">
        <w:rPr>
          <w:rFonts w:hint="cs"/>
          <w:rtl/>
        </w:rPr>
        <w:t xml:space="preserve"> على الأنظمة الأكثر تعقيداً أو الأكبر حجماً، </w:t>
      </w:r>
      <w:r w:rsidRPr="002F1780">
        <w:rPr>
          <w:rtl/>
        </w:rPr>
        <w:t>حسب عدد</w:t>
      </w:r>
      <w:r w:rsidR="00D0304B">
        <w:rPr>
          <w:rFonts w:hint="cs"/>
          <w:rtl/>
        </w:rPr>
        <w:t> </w:t>
      </w:r>
      <w:r w:rsidRPr="002F1780">
        <w:rPr>
          <w:rtl/>
        </w:rPr>
        <w:t>الوحدات</w:t>
      </w:r>
      <w:r w:rsidRPr="002F1780">
        <w:rPr>
          <w:rFonts w:hint="cs"/>
          <w:rtl/>
        </w:rPr>
        <w:t>.</w:t>
      </w:r>
    </w:p>
    <w:p w14:paraId="2A3894E9" w14:textId="7B8F96D9" w:rsidR="00112A61" w:rsidRPr="002F1780" w:rsidRDefault="00112A61" w:rsidP="00112A61">
      <w:pPr>
        <w:pStyle w:val="enumlev1"/>
        <w:rPr>
          <w:spacing w:val="2"/>
          <w:rtl/>
        </w:rPr>
      </w:pPr>
      <w:r w:rsidRPr="002F1780">
        <w:rPr>
          <w:rFonts w:hint="cs"/>
          <w:spacing w:val="2"/>
          <w:rtl/>
        </w:rPr>
        <w:t>ح)</w:t>
      </w:r>
      <w:r w:rsidRPr="002F1780">
        <w:rPr>
          <w:spacing w:val="2"/>
          <w:rtl/>
        </w:rPr>
        <w:tab/>
      </w:r>
      <w:r w:rsidRPr="002F1780">
        <w:rPr>
          <w:rFonts w:hint="cs"/>
          <w:spacing w:val="2"/>
          <w:rtl/>
        </w:rPr>
        <w:t xml:space="preserve">دراسة إمكانية فرض رسم إضافي </w:t>
      </w:r>
      <w:r w:rsidRPr="002F1780">
        <w:rPr>
          <w:spacing w:val="2"/>
          <w:rtl/>
        </w:rPr>
        <w:t>لاسترداد تكاليف تفحص طلبات التنسيق والتبليغات الخاضعة لكثافة تدفق القدرة</w:t>
      </w:r>
      <w:r w:rsidR="00D0304B">
        <w:rPr>
          <w:rFonts w:hint="cs"/>
          <w:spacing w:val="2"/>
          <w:rtl/>
        </w:rPr>
        <w:t> </w:t>
      </w:r>
      <w:r w:rsidRPr="002F1780">
        <w:rPr>
          <w:spacing w:val="2"/>
          <w:rtl/>
        </w:rPr>
        <w:t>المكافئة</w:t>
      </w:r>
      <w:r w:rsidRPr="002F1780">
        <w:rPr>
          <w:rFonts w:hint="cs"/>
          <w:spacing w:val="2"/>
          <w:rtl/>
        </w:rPr>
        <w:t>.</w:t>
      </w:r>
    </w:p>
    <w:p w14:paraId="57B56FC2" w14:textId="289FE6BF" w:rsidR="00112A61" w:rsidRPr="002F1780" w:rsidRDefault="00112A61" w:rsidP="00112A61">
      <w:pPr>
        <w:pStyle w:val="enumlev1"/>
        <w:rPr>
          <w:rtl/>
        </w:rPr>
      </w:pPr>
      <w:r w:rsidRPr="002F1780">
        <w:rPr>
          <w:rFonts w:hint="cs"/>
          <w:rtl/>
        </w:rPr>
        <w:t>ط)</w:t>
      </w:r>
      <w:r w:rsidRPr="002F1780">
        <w:rPr>
          <w:rtl/>
        </w:rPr>
        <w:tab/>
        <w:t xml:space="preserve">دراسة آثار التعديلات التي أدخلها أي مؤتمر عالمي للاتصالات الراديوية بعد المؤتمر </w:t>
      </w:r>
      <w:r w:rsidRPr="002F1780">
        <w:t>WRC-2000</w:t>
      </w:r>
      <w:r w:rsidRPr="002F1780">
        <w:rPr>
          <w:rtl/>
        </w:rPr>
        <w:t>، إن وجدت، على</w:t>
      </w:r>
      <w:r w:rsidR="00D0304B">
        <w:rPr>
          <w:rFonts w:hint="cs"/>
          <w:rtl/>
        </w:rPr>
        <w:t> </w:t>
      </w:r>
      <w:r w:rsidRPr="002F1780">
        <w:rPr>
          <w:rtl/>
        </w:rPr>
        <w:t>الأحكام التنظيمية التي تنظم خطط الخدمات الفضائية.</w:t>
      </w:r>
      <w:r w:rsidRPr="002F1780">
        <w:rPr>
          <w:rFonts w:hint="cs"/>
          <w:rtl/>
        </w:rPr>
        <w:t xml:space="preserve"> </w:t>
      </w:r>
    </w:p>
    <w:p w14:paraId="668D3965" w14:textId="77777777" w:rsidR="00112A61" w:rsidRPr="002F1780" w:rsidRDefault="00112A61" w:rsidP="00112A61">
      <w:pPr>
        <w:pStyle w:val="enumlev1"/>
        <w:rPr>
          <w:spacing w:val="-2"/>
          <w:rtl/>
        </w:rPr>
      </w:pPr>
      <w:r w:rsidRPr="002F1780">
        <w:rPr>
          <w:rFonts w:hint="cs"/>
          <w:spacing w:val="-2"/>
          <w:rtl/>
        </w:rPr>
        <w:t>ي)</w:t>
      </w:r>
      <w:r w:rsidRPr="002F1780">
        <w:rPr>
          <w:spacing w:val="-2"/>
          <w:rtl/>
        </w:rPr>
        <w:tab/>
      </w:r>
      <w:r w:rsidRPr="002F1780">
        <w:rPr>
          <w:rFonts w:hint="cs"/>
          <w:spacing w:val="-2"/>
          <w:rtl/>
        </w:rPr>
        <w:t xml:space="preserve">دراسة تكاليف الموارد المخصصة اللازمة </w:t>
      </w:r>
      <w:r w:rsidRPr="002F1780">
        <w:rPr>
          <w:spacing w:val="-2"/>
          <w:rtl/>
        </w:rPr>
        <w:t>للقيام باستمرار بتحديث وعصرنة تطبيقات برمجيات المكتب المستخدمة في</w:t>
      </w:r>
      <w:r w:rsidRPr="002F1780">
        <w:rPr>
          <w:rFonts w:hint="cs"/>
          <w:spacing w:val="-2"/>
          <w:rtl/>
        </w:rPr>
        <w:t> </w:t>
      </w:r>
      <w:r w:rsidRPr="002F1780">
        <w:rPr>
          <w:spacing w:val="-2"/>
          <w:rtl/>
        </w:rPr>
        <w:t>معالجة بطاقات التبليغ عن الشبكات الساتلية</w:t>
      </w:r>
      <w:r w:rsidRPr="002F1780">
        <w:rPr>
          <w:rFonts w:hint="cs"/>
          <w:spacing w:val="-2"/>
          <w:rtl/>
        </w:rPr>
        <w:t>. ومع ذلك، فإن رسوم استرداد التكاليف المتعلقة بمعالجة بطاقات التبليغ عن الشبكات الساتلية</w:t>
      </w:r>
      <w:r w:rsidRPr="002F1780">
        <w:rPr>
          <w:spacing w:val="-2"/>
          <w:rtl/>
        </w:rPr>
        <w:t xml:space="preserve"> ينبغي ألا تُستخدم لتمويل تطوير أدوات برمجية لمعالجة بطاقات التبليغ عن أنظمة الأرض</w:t>
      </w:r>
      <w:r w:rsidRPr="002F1780">
        <w:rPr>
          <w:rFonts w:hint="cs"/>
          <w:spacing w:val="-2"/>
          <w:rtl/>
        </w:rPr>
        <w:t>.</w:t>
      </w:r>
    </w:p>
    <w:p w14:paraId="52DFC250" w14:textId="77777777" w:rsidR="00112A61" w:rsidRPr="002F1780" w:rsidRDefault="00112A61" w:rsidP="00112A61">
      <w:pPr>
        <w:rPr>
          <w:rtl/>
        </w:rPr>
      </w:pPr>
      <w:r w:rsidRPr="002F1780">
        <w:rPr>
          <w:rFonts w:hint="cs"/>
          <w:rtl/>
        </w:rPr>
        <w:t>2</w:t>
      </w:r>
      <w:r w:rsidRPr="002F1780">
        <w:rPr>
          <w:rtl/>
        </w:rPr>
        <w:tab/>
      </w:r>
      <w:r w:rsidRPr="002F1780">
        <w:rPr>
          <w:rFonts w:hint="cs"/>
          <w:rtl/>
        </w:rPr>
        <w:t>يقوم الفريق بإعداد تقرير مرحلي يتضمن توصيات بشأن المراجعة المحتملة للمقرر 482 لتقديمه إلى مجلس الاتحاد في دورته لعام 2024.</w:t>
      </w:r>
    </w:p>
    <w:p w14:paraId="6D2E631B" w14:textId="0DA85C12" w:rsidR="00112A61" w:rsidRPr="002F1780" w:rsidRDefault="00112A61" w:rsidP="00112A61">
      <w:r w:rsidRPr="002F1780">
        <w:rPr>
          <w:rFonts w:hint="cs"/>
          <w:rtl/>
        </w:rPr>
        <w:t>3</w:t>
      </w:r>
      <w:r w:rsidRPr="002F1780">
        <w:rPr>
          <w:rtl/>
        </w:rPr>
        <w:tab/>
        <w:t>يُقد</w:t>
      </w:r>
      <w:r w:rsidR="004D1352">
        <w:rPr>
          <w:rFonts w:hint="cs"/>
          <w:rtl/>
        </w:rPr>
        <w:t>َّ</w:t>
      </w:r>
      <w:r w:rsidRPr="002F1780">
        <w:rPr>
          <w:rtl/>
        </w:rPr>
        <w:t>م التقرير النهائي للفريق إلى مجلس الاتحاد في دورته لعام 2025 لاتخاذ الإجراء اللازم مع إمكانية مراجعة المقرر</w:t>
      </w:r>
      <w:r w:rsidRPr="002F1780">
        <w:rPr>
          <w:rFonts w:hint="cs"/>
          <w:rtl/>
        </w:rPr>
        <w:t> </w:t>
      </w:r>
      <w:r w:rsidRPr="002F1780">
        <w:rPr>
          <w:rtl/>
        </w:rPr>
        <w:t>482.</w:t>
      </w:r>
    </w:p>
    <w:p w14:paraId="279D002A" w14:textId="1EDAF346" w:rsidR="00112A61" w:rsidRPr="002F1780" w:rsidRDefault="00112A61" w:rsidP="00112A61">
      <w:pPr>
        <w:rPr>
          <w:rtl/>
          <w:lang w:bidi="ar-EG"/>
        </w:rPr>
      </w:pPr>
      <w:r w:rsidRPr="002F1780">
        <w:rPr>
          <w:rFonts w:hint="cs"/>
          <w:rtl/>
        </w:rPr>
        <w:t>4</w:t>
      </w:r>
      <w:r w:rsidRPr="002F1780">
        <w:rPr>
          <w:rtl/>
        </w:rPr>
        <w:tab/>
      </w:r>
      <w:r w:rsidR="004D1352">
        <w:rPr>
          <w:rFonts w:hint="cs"/>
          <w:rtl/>
        </w:rPr>
        <w:t xml:space="preserve">تكون </w:t>
      </w:r>
      <w:r w:rsidRPr="002F1780">
        <w:rPr>
          <w:rFonts w:hint="cs"/>
          <w:rtl/>
        </w:rPr>
        <w:t xml:space="preserve">المشاركة في الفريق مفتوحة أمام جميع الدول الأعضاء في الاتحاد وأعضاء القطاعات، ويعمل الفريق باللغة الإنكليزية. وينبغي أن يعقد الفريق اجتماعات حضورية </w:t>
      </w:r>
      <w:r w:rsidRPr="002F1780">
        <w:rPr>
          <w:rtl/>
        </w:rPr>
        <w:t>تتاح فيها المشاركة عن بُعد</w:t>
      </w:r>
      <w:r w:rsidRPr="002F1780">
        <w:rPr>
          <w:rFonts w:hint="cs"/>
          <w:rtl/>
        </w:rPr>
        <w:t xml:space="preserve"> بالاقتران مع اجتماعات فرقة العمل </w:t>
      </w:r>
      <w:r w:rsidRPr="002F1780">
        <w:t>4A</w:t>
      </w:r>
      <w:r w:rsidRPr="002F1780">
        <w:rPr>
          <w:rFonts w:hint="cs"/>
          <w:rtl/>
        </w:rPr>
        <w:t xml:space="preserve"> التابعة لقطاع الاتصالات الراديوية أو اجتماعات أفرقة العمل التابعة للمجلس أو</w:t>
      </w:r>
      <w:r w:rsidRPr="002F1780">
        <w:rPr>
          <w:rtl/>
        </w:rPr>
        <w:t xml:space="preserve"> أي أحداث أخرى ذات صلة</w:t>
      </w:r>
      <w:r w:rsidRPr="002F1780">
        <w:rPr>
          <w:rFonts w:hint="cs"/>
          <w:rtl/>
        </w:rPr>
        <w:t>، كلما أمكن ذلك.</w:t>
      </w:r>
    </w:p>
    <w:p w14:paraId="09D8E74D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32FC" w14:textId="77777777" w:rsidR="00112A61" w:rsidRDefault="00112A61" w:rsidP="006C3242">
      <w:pPr>
        <w:spacing w:before="0" w:line="240" w:lineRule="auto"/>
      </w:pPr>
      <w:r>
        <w:separator/>
      </w:r>
    </w:p>
  </w:endnote>
  <w:endnote w:type="continuationSeparator" w:id="0">
    <w:p w14:paraId="439885D5" w14:textId="77777777" w:rsidR="00112A61" w:rsidRDefault="00112A6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C894" w14:textId="77777777" w:rsidR="00B72ABF" w:rsidRDefault="00B72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01D24035" w14:textId="77777777" w:rsidTr="00357086">
      <w:trPr>
        <w:jc w:val="center"/>
      </w:trPr>
      <w:tc>
        <w:tcPr>
          <w:tcW w:w="868" w:type="pct"/>
          <w:vAlign w:val="center"/>
        </w:tcPr>
        <w:p w14:paraId="09907C9C" w14:textId="14CB0A4D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4B21D6" w:rsidRPr="004B21D6">
            <w:rPr>
              <w:rFonts w:ascii="Calibri" w:hAnsi="Calibri" w:cs="Arial"/>
              <w:sz w:val="18"/>
              <w:szCs w:val="14"/>
            </w:rPr>
            <w:t>526865</w:t>
          </w:r>
        </w:p>
      </w:tc>
      <w:tc>
        <w:tcPr>
          <w:tcW w:w="3912" w:type="pct"/>
        </w:tcPr>
        <w:p w14:paraId="0709350E" w14:textId="307C7005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4B21D6">
            <w:rPr>
              <w:rFonts w:ascii="Calibri" w:hAnsi="Calibri" w:cs="Arial"/>
              <w:bCs/>
              <w:color w:val="7F7F7F"/>
              <w:sz w:val="18"/>
            </w:rPr>
            <w:t>126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7451F66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9F5F4E9" w14:textId="7051D493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76133E5" w14:textId="77777777" w:rsidTr="00F50E3F">
      <w:trPr>
        <w:jc w:val="center"/>
      </w:trPr>
      <w:tc>
        <w:tcPr>
          <w:tcW w:w="868" w:type="pct"/>
          <w:vAlign w:val="center"/>
        </w:tcPr>
        <w:p w14:paraId="626B4656" w14:textId="77777777" w:rsidR="007B0AA0" w:rsidRPr="007B0AA0" w:rsidRDefault="0063315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8764621" w14:textId="554040A6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4B21D6">
            <w:rPr>
              <w:rFonts w:ascii="Calibri" w:hAnsi="Calibri" w:cs="Arial"/>
              <w:bCs/>
              <w:color w:val="7F7F7F"/>
              <w:sz w:val="18"/>
            </w:rPr>
            <w:t>126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C6D479C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710945C" w14:textId="44D31177" w:rsidR="0006468A" w:rsidRPr="004B21D6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1A96" w14:textId="77777777" w:rsidR="00112A61" w:rsidRDefault="00112A61" w:rsidP="006C3242">
      <w:pPr>
        <w:spacing w:before="0" w:line="240" w:lineRule="auto"/>
      </w:pPr>
      <w:r>
        <w:separator/>
      </w:r>
    </w:p>
  </w:footnote>
  <w:footnote w:type="continuationSeparator" w:id="0">
    <w:p w14:paraId="764BCCAD" w14:textId="77777777" w:rsidR="00112A61" w:rsidRDefault="00112A6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C361" w14:textId="77777777" w:rsidR="00B72ABF" w:rsidRDefault="00B72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30A5" w14:textId="77777777" w:rsidR="00B72ABF" w:rsidRDefault="00B72A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A228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2E575" wp14:editId="10C9B91C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8B1701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25CF278A" wp14:editId="172C8DBC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61"/>
    <w:rsid w:val="0006468A"/>
    <w:rsid w:val="00090574"/>
    <w:rsid w:val="000933EF"/>
    <w:rsid w:val="000C1C0E"/>
    <w:rsid w:val="000C548A"/>
    <w:rsid w:val="00112A61"/>
    <w:rsid w:val="001167A9"/>
    <w:rsid w:val="001C0169"/>
    <w:rsid w:val="001D1D50"/>
    <w:rsid w:val="001D6745"/>
    <w:rsid w:val="001E446E"/>
    <w:rsid w:val="001F60A3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21D6"/>
    <w:rsid w:val="004B7334"/>
    <w:rsid w:val="004D1352"/>
    <w:rsid w:val="004E11DC"/>
    <w:rsid w:val="00525DDD"/>
    <w:rsid w:val="005409AC"/>
    <w:rsid w:val="0055516A"/>
    <w:rsid w:val="0058491B"/>
    <w:rsid w:val="00592EA5"/>
    <w:rsid w:val="00594CA9"/>
    <w:rsid w:val="005A3170"/>
    <w:rsid w:val="00677396"/>
    <w:rsid w:val="0069200F"/>
    <w:rsid w:val="006A65CB"/>
    <w:rsid w:val="006C3242"/>
    <w:rsid w:val="006C7CC0"/>
    <w:rsid w:val="006D2ED3"/>
    <w:rsid w:val="006F63F7"/>
    <w:rsid w:val="007025C7"/>
    <w:rsid w:val="00706D7A"/>
    <w:rsid w:val="00722F0D"/>
    <w:rsid w:val="0074420E"/>
    <w:rsid w:val="00750D58"/>
    <w:rsid w:val="00767256"/>
    <w:rsid w:val="00783E26"/>
    <w:rsid w:val="007B0AA0"/>
    <w:rsid w:val="007B2C63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8E2902"/>
    <w:rsid w:val="0091702E"/>
    <w:rsid w:val="00920EDA"/>
    <w:rsid w:val="00923B0C"/>
    <w:rsid w:val="0094021C"/>
    <w:rsid w:val="00952F86"/>
    <w:rsid w:val="00982B28"/>
    <w:rsid w:val="009D313F"/>
    <w:rsid w:val="00A00384"/>
    <w:rsid w:val="00A47A5A"/>
    <w:rsid w:val="00A6683B"/>
    <w:rsid w:val="00A97F94"/>
    <w:rsid w:val="00AA08A4"/>
    <w:rsid w:val="00AA7EA2"/>
    <w:rsid w:val="00B03099"/>
    <w:rsid w:val="00B05BC8"/>
    <w:rsid w:val="00B269D3"/>
    <w:rsid w:val="00B64B47"/>
    <w:rsid w:val="00B72ABF"/>
    <w:rsid w:val="00B95654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304B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73319"/>
    <w:rsid w:val="00F84366"/>
    <w:rsid w:val="00F85089"/>
    <w:rsid w:val="00F974C5"/>
    <w:rsid w:val="00FA6F46"/>
    <w:rsid w:val="00FC4592"/>
    <w:rsid w:val="00FD527F"/>
    <w:rsid w:val="00FE5872"/>
    <w:rsid w:val="00FE7FCA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253B8"/>
  <w15:chartTrackingRefBased/>
  <w15:docId w15:val="{EC9BD3AE-291F-4DB7-8AF6-E22993EC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locked/>
    <w:rsid w:val="00112A61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112A61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1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632 - Expert Group on Decision 482 (EG-DEC482)</dc:title>
  <dc:subject>Council 2023</dc:subject>
  <dc:creator>Arabic-IR</dc:creator>
  <cp:keywords>C2023, C23, Council-23</cp:keywords>
  <dc:description/>
  <cp:lastModifiedBy>Xue, Kun</cp:lastModifiedBy>
  <cp:revision>4</cp:revision>
  <dcterms:created xsi:type="dcterms:W3CDTF">2023-09-08T12:57:00Z</dcterms:created>
  <dcterms:modified xsi:type="dcterms:W3CDTF">2023-09-08T12:57:00Z</dcterms:modified>
  <cp:category>Conference document</cp:category>
</cp:coreProperties>
</file>