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813E5E" w14:paraId="4DBDFC69" w14:textId="77777777" w:rsidTr="00D72F49">
        <w:trPr>
          <w:cantSplit/>
          <w:trHeight w:val="23"/>
        </w:trPr>
        <w:tc>
          <w:tcPr>
            <w:tcW w:w="3969" w:type="dxa"/>
            <w:vMerge w:val="restart"/>
            <w:tcMar>
              <w:left w:w="0" w:type="dxa"/>
            </w:tcMar>
          </w:tcPr>
          <w:p w14:paraId="23BB9391" w14:textId="0E6E6C1C" w:rsidR="00D72F49" w:rsidRPr="00E85629" w:rsidRDefault="00D72F49" w:rsidP="00993763">
            <w:pPr>
              <w:tabs>
                <w:tab w:val="left" w:pos="851"/>
              </w:tabs>
              <w:spacing w:before="0"/>
              <w:rPr>
                <w:b/>
              </w:rPr>
            </w:pPr>
          </w:p>
        </w:tc>
        <w:tc>
          <w:tcPr>
            <w:tcW w:w="5245" w:type="dxa"/>
          </w:tcPr>
          <w:p w14:paraId="6E18F00C" w14:textId="53395A79" w:rsidR="00D72F49" w:rsidRPr="00E85629" w:rsidRDefault="00D72F49" w:rsidP="00EE192C">
            <w:pPr>
              <w:tabs>
                <w:tab w:val="left" w:pos="851"/>
              </w:tabs>
              <w:spacing w:before="0"/>
              <w:jc w:val="right"/>
              <w:rPr>
                <w:b/>
              </w:rPr>
            </w:pPr>
            <w:r>
              <w:rPr>
                <w:b/>
              </w:rPr>
              <w:t>Document C23/</w:t>
            </w:r>
            <w:r w:rsidR="00020455">
              <w:rPr>
                <w:b/>
              </w:rPr>
              <w:t>122</w:t>
            </w:r>
            <w:r>
              <w:rPr>
                <w:b/>
              </w:rPr>
              <w:t>-F</w:t>
            </w:r>
          </w:p>
        </w:tc>
      </w:tr>
      <w:tr w:rsidR="00D72F49" w:rsidRPr="00813E5E" w14:paraId="1A9173E6" w14:textId="77777777" w:rsidTr="00D72F49">
        <w:trPr>
          <w:cantSplit/>
        </w:trPr>
        <w:tc>
          <w:tcPr>
            <w:tcW w:w="3969" w:type="dxa"/>
            <w:vMerge/>
          </w:tcPr>
          <w:p w14:paraId="0C893252" w14:textId="77777777" w:rsidR="00D72F49" w:rsidRPr="00813E5E" w:rsidRDefault="00D72F49" w:rsidP="00993763">
            <w:pPr>
              <w:tabs>
                <w:tab w:val="left" w:pos="851"/>
              </w:tabs>
              <w:rPr>
                <w:b/>
              </w:rPr>
            </w:pPr>
          </w:p>
        </w:tc>
        <w:tc>
          <w:tcPr>
            <w:tcW w:w="5245" w:type="dxa"/>
          </w:tcPr>
          <w:p w14:paraId="065C3608" w14:textId="0355435F" w:rsidR="00D72F49" w:rsidRPr="00E85629" w:rsidRDefault="00020455" w:rsidP="00993763">
            <w:pPr>
              <w:tabs>
                <w:tab w:val="left" w:pos="851"/>
              </w:tabs>
              <w:spacing w:before="0"/>
              <w:jc w:val="right"/>
              <w:rPr>
                <w:b/>
              </w:rPr>
            </w:pPr>
            <w:r w:rsidRPr="00020455">
              <w:rPr>
                <w:b/>
              </w:rPr>
              <w:t>4 août 2023</w:t>
            </w:r>
          </w:p>
        </w:tc>
      </w:tr>
      <w:tr w:rsidR="00D72F49" w:rsidRPr="00813E5E" w14:paraId="69A274E7" w14:textId="77777777" w:rsidTr="00D72F49">
        <w:trPr>
          <w:cantSplit/>
          <w:trHeight w:val="23"/>
        </w:trPr>
        <w:tc>
          <w:tcPr>
            <w:tcW w:w="3969" w:type="dxa"/>
            <w:vMerge/>
          </w:tcPr>
          <w:p w14:paraId="591811B9" w14:textId="77777777" w:rsidR="00D72F49" w:rsidRPr="00813E5E" w:rsidRDefault="00D72F49" w:rsidP="00993763">
            <w:pPr>
              <w:tabs>
                <w:tab w:val="left" w:pos="851"/>
              </w:tabs>
              <w:rPr>
                <w:b/>
              </w:rPr>
            </w:pPr>
          </w:p>
        </w:tc>
        <w:tc>
          <w:tcPr>
            <w:tcW w:w="5245" w:type="dxa"/>
          </w:tcPr>
          <w:p w14:paraId="0B6CD7E0" w14:textId="2E66ED91" w:rsidR="00D72F49" w:rsidRPr="00E85629" w:rsidRDefault="00D72F49" w:rsidP="00993763">
            <w:pPr>
              <w:tabs>
                <w:tab w:val="left" w:pos="851"/>
              </w:tabs>
              <w:spacing w:before="0"/>
              <w:jc w:val="right"/>
              <w:rPr>
                <w:b/>
              </w:rPr>
            </w:pPr>
            <w:proofErr w:type="gramStart"/>
            <w:r w:rsidRPr="00122CE1">
              <w:rPr>
                <w:b/>
                <w:lang w:val="fr-CH"/>
              </w:rPr>
              <w:t>Original:</w:t>
            </w:r>
            <w:proofErr w:type="gramEnd"/>
            <w:r w:rsidRPr="00122CE1">
              <w:rPr>
                <w:b/>
                <w:lang w:val="fr-CH"/>
              </w:rPr>
              <w:t xml:space="preserve"> </w:t>
            </w:r>
            <w:r w:rsidR="00C5211C">
              <w:rPr>
                <w:b/>
                <w:lang w:val="fr-CH"/>
              </w:rPr>
              <w:t>anglais</w:t>
            </w:r>
          </w:p>
        </w:tc>
      </w:tr>
      <w:tr w:rsidR="00D72F49" w:rsidRPr="00813E5E" w14:paraId="18AD73D7" w14:textId="77777777" w:rsidTr="00D72F49">
        <w:trPr>
          <w:cantSplit/>
          <w:trHeight w:val="23"/>
        </w:trPr>
        <w:tc>
          <w:tcPr>
            <w:tcW w:w="3969" w:type="dxa"/>
          </w:tcPr>
          <w:p w14:paraId="186BBB88" w14:textId="77777777" w:rsidR="00D72F49" w:rsidRPr="00813E5E" w:rsidRDefault="00D72F49" w:rsidP="00993763">
            <w:pPr>
              <w:tabs>
                <w:tab w:val="left" w:pos="851"/>
              </w:tabs>
              <w:rPr>
                <w:b/>
              </w:rPr>
            </w:pPr>
          </w:p>
        </w:tc>
        <w:tc>
          <w:tcPr>
            <w:tcW w:w="5245" w:type="dxa"/>
          </w:tcPr>
          <w:p w14:paraId="7805FC50" w14:textId="77777777" w:rsidR="00D72F49" w:rsidRDefault="00D72F49" w:rsidP="00993763">
            <w:pPr>
              <w:tabs>
                <w:tab w:val="left" w:pos="851"/>
              </w:tabs>
              <w:spacing w:before="0"/>
              <w:jc w:val="right"/>
              <w:rPr>
                <w:b/>
              </w:rPr>
            </w:pPr>
          </w:p>
        </w:tc>
      </w:tr>
    </w:tbl>
    <w:p w14:paraId="5D35F087" w14:textId="39549AC9" w:rsidR="00066B95" w:rsidRPr="00D40B57" w:rsidRDefault="00066B95" w:rsidP="00993763">
      <w:pPr>
        <w:pStyle w:val="ResNo"/>
      </w:pPr>
      <w:r w:rsidRPr="00D40B57">
        <w:t>RÉSOLUTION 1408</w:t>
      </w:r>
      <w:r w:rsidR="00020455">
        <w:t xml:space="preserve"> (</w:t>
      </w:r>
      <w:r w:rsidR="00020455" w:rsidRPr="00020455">
        <w:t>MODIFIÉE EN 2023</w:t>
      </w:r>
      <w:r w:rsidR="00020455">
        <w:t>)</w:t>
      </w:r>
    </w:p>
    <w:p w14:paraId="79595391" w14:textId="2D3F04EB" w:rsidR="00066B95" w:rsidRPr="00642FD3" w:rsidRDefault="00066B95" w:rsidP="00020455">
      <w:pPr>
        <w:jc w:val="center"/>
        <w:rPr>
          <w:b/>
          <w:lang w:val="fr-CH"/>
        </w:rPr>
      </w:pPr>
      <w:bookmarkStart w:id="0" w:name="_Toc68777315"/>
      <w:r w:rsidRPr="00642FD3">
        <w:rPr>
          <w:lang w:val="fr-CH"/>
        </w:rPr>
        <w:t>(</w:t>
      </w:r>
      <w:proofErr w:type="gramStart"/>
      <w:r w:rsidRPr="00020455">
        <w:rPr>
          <w:lang w:val="fr-CH"/>
        </w:rPr>
        <w:t>adoptée</w:t>
      </w:r>
      <w:proofErr w:type="gramEnd"/>
      <w:r w:rsidRPr="00020455">
        <w:rPr>
          <w:lang w:val="fr-CH"/>
        </w:rPr>
        <w:t xml:space="preserve"> à la </w:t>
      </w:r>
      <w:r w:rsidR="00020455" w:rsidRPr="00020455">
        <w:rPr>
          <w:lang w:val="fr-CH"/>
        </w:rPr>
        <w:t>trois</w:t>
      </w:r>
      <w:r w:rsidRPr="00020455">
        <w:rPr>
          <w:lang w:val="fr-CH"/>
        </w:rPr>
        <w:t>ième séance plénière</w:t>
      </w:r>
      <w:r w:rsidRPr="00642FD3">
        <w:rPr>
          <w:lang w:val="fr-CH"/>
        </w:rPr>
        <w:t>)</w:t>
      </w:r>
    </w:p>
    <w:bookmarkEnd w:id="0"/>
    <w:p w14:paraId="72E7CA6C" w14:textId="77777777" w:rsidR="00066B95" w:rsidRPr="005F1B32" w:rsidRDefault="00066B95" w:rsidP="00993763">
      <w:pPr>
        <w:pStyle w:val="Restitle"/>
      </w:pPr>
      <w:r w:rsidRPr="0023465D">
        <w:rPr>
          <w:lang w:val="fr-CH"/>
        </w:rPr>
        <w:t>Assistance et appui à l'Ukraine pour la reconstruction de son secteur</w:t>
      </w:r>
      <w:r w:rsidRPr="0023465D">
        <w:rPr>
          <w:lang w:val="fr-CH"/>
        </w:rPr>
        <w:br/>
        <w:t>des télécommunications</w:t>
      </w:r>
    </w:p>
    <w:p w14:paraId="414D8F0A" w14:textId="77777777" w:rsidR="00066B95" w:rsidRPr="005F1B32" w:rsidRDefault="00066B95" w:rsidP="00993763">
      <w:pPr>
        <w:pStyle w:val="Normalaftertitle"/>
        <w:jc w:val="both"/>
      </w:pPr>
      <w:r w:rsidRPr="0023465D">
        <w:rPr>
          <w:rFonts w:cstheme="minorHAnsi"/>
          <w:szCs w:val="24"/>
          <w:lang w:val="fr-CH"/>
        </w:rPr>
        <w:t>Le Conseil de l'UIT,</w:t>
      </w:r>
    </w:p>
    <w:p w14:paraId="57754B92" w14:textId="77777777" w:rsidR="00066B95" w:rsidRPr="0023465D" w:rsidRDefault="00066B95" w:rsidP="00020455">
      <w:pPr>
        <w:pStyle w:val="Call"/>
        <w:rPr>
          <w:lang w:val="fr-CH"/>
        </w:rPr>
      </w:pPr>
      <w:proofErr w:type="gramStart"/>
      <w:r w:rsidRPr="00020455">
        <w:t>rappelant</w:t>
      </w:r>
      <w:proofErr w:type="gramEnd"/>
    </w:p>
    <w:p w14:paraId="49E1112E" w14:textId="77777777" w:rsidR="00066B95" w:rsidRPr="0023465D" w:rsidRDefault="00066B95" w:rsidP="00993763">
      <w:pPr>
        <w:rPr>
          <w:lang w:val="fr-CH"/>
        </w:rPr>
      </w:pPr>
      <w:r w:rsidRPr="005F1B32">
        <w:rPr>
          <w:i/>
          <w:iCs/>
        </w:rPr>
        <w:t>a)</w:t>
      </w:r>
      <w:r w:rsidRPr="005F1B32">
        <w:tab/>
      </w:r>
      <w:r w:rsidRPr="0023465D">
        <w:rPr>
          <w:lang w:val="fr-CH"/>
        </w:rPr>
        <w:t xml:space="preserve">les nobles principes, objet et objectifs énoncés dans la Charte des Nations Unies et dans la Déclaration universelle des droits de l'homme, ainsi que dans la Déclaration de principes adoptée par le Sommet mondial sur la société de </w:t>
      </w:r>
      <w:proofErr w:type="gramStart"/>
      <w:r w:rsidRPr="0023465D">
        <w:rPr>
          <w:lang w:val="fr-CH"/>
        </w:rPr>
        <w:t>l'information;</w:t>
      </w:r>
      <w:proofErr w:type="gramEnd"/>
    </w:p>
    <w:p w14:paraId="5A5CF630" w14:textId="77777777" w:rsidR="00066B95" w:rsidRPr="0023465D" w:rsidRDefault="00066B95" w:rsidP="00993763">
      <w:pPr>
        <w:rPr>
          <w:lang w:val="fr-CH"/>
        </w:rPr>
      </w:pPr>
      <w:r w:rsidRPr="005F1B32">
        <w:rPr>
          <w:i/>
          <w:iCs/>
        </w:rPr>
        <w:t>b)</w:t>
      </w:r>
      <w:r w:rsidRPr="005F1B32">
        <w:tab/>
      </w:r>
      <w:r w:rsidRPr="0023465D">
        <w:rPr>
          <w:lang w:val="fr-CH"/>
        </w:rPr>
        <w:t xml:space="preserve">les efforts déployés par l'Organisation des Nations Unies pour promouvoir le développement </w:t>
      </w:r>
      <w:proofErr w:type="gramStart"/>
      <w:r w:rsidRPr="0023465D">
        <w:rPr>
          <w:lang w:val="fr-CH"/>
        </w:rPr>
        <w:t>durable;</w:t>
      </w:r>
      <w:proofErr w:type="gramEnd"/>
    </w:p>
    <w:p w14:paraId="3B5D7F88" w14:textId="36500152" w:rsidR="00066B95" w:rsidRPr="002C4C75" w:rsidRDefault="00066B95" w:rsidP="00993763">
      <w:pPr>
        <w:rPr>
          <w:iCs/>
        </w:rPr>
      </w:pPr>
      <w:r w:rsidRPr="005F1B32">
        <w:rPr>
          <w:i/>
          <w:iCs/>
        </w:rPr>
        <w:t>c)</w:t>
      </w:r>
      <w:r w:rsidRPr="005F1B32">
        <w:tab/>
        <w:t>l'objet de l'Union, formulé dans l'article 1 de la Constitution de l'UIT</w:t>
      </w:r>
      <w:r w:rsidRPr="00C735CD">
        <w:rPr>
          <w:lang w:val="fr-CH"/>
        </w:rPr>
        <w:t xml:space="preserve">, </w:t>
      </w:r>
      <w:r w:rsidR="00714392">
        <w:rPr>
          <w:lang w:val="fr-CH"/>
        </w:rPr>
        <w:t xml:space="preserve">dans la </w:t>
      </w:r>
      <w:r w:rsidRPr="00C735CD">
        <w:rPr>
          <w:lang w:val="fr-CH"/>
        </w:rPr>
        <w:t>Convention</w:t>
      </w:r>
      <w:r w:rsidR="00714392">
        <w:rPr>
          <w:lang w:val="fr-CH"/>
        </w:rPr>
        <w:t xml:space="preserve"> et dans les Règlements administratifs de l'UIT, et les principes </w:t>
      </w:r>
      <w:r w:rsidR="0075165B">
        <w:rPr>
          <w:lang w:val="fr-CH"/>
        </w:rPr>
        <w:t xml:space="preserve">sur lesquels reposent </w:t>
      </w:r>
      <w:r w:rsidR="0040323C">
        <w:rPr>
          <w:lang w:val="fr-CH"/>
        </w:rPr>
        <w:t>ledit</w:t>
      </w:r>
      <w:r w:rsidR="00E82A37">
        <w:rPr>
          <w:lang w:val="fr-CH"/>
        </w:rPr>
        <w:t xml:space="preserve"> </w:t>
      </w:r>
      <w:r w:rsidR="002C4C75">
        <w:rPr>
          <w:lang w:val="fr-CH"/>
        </w:rPr>
        <w:t>objet et les travaux de l'Union</w:t>
      </w:r>
      <w:r w:rsidRPr="002C4C75">
        <w:t>,</w:t>
      </w:r>
    </w:p>
    <w:p w14:paraId="0CF2540F" w14:textId="77777777" w:rsidR="00066B95" w:rsidRPr="005F1B32" w:rsidRDefault="00066B95" w:rsidP="00993763">
      <w:pPr>
        <w:pStyle w:val="Call"/>
      </w:pPr>
      <w:proofErr w:type="gramStart"/>
      <w:r w:rsidRPr="0023465D">
        <w:rPr>
          <w:lang w:val="fr-CH"/>
        </w:rPr>
        <w:t>rappelant</w:t>
      </w:r>
      <w:proofErr w:type="gramEnd"/>
      <w:r w:rsidRPr="0023465D">
        <w:rPr>
          <w:lang w:val="fr-CH"/>
        </w:rPr>
        <w:t xml:space="preserve"> en outre</w:t>
      </w:r>
    </w:p>
    <w:p w14:paraId="478F7A26" w14:textId="51B64812" w:rsidR="00066B95" w:rsidRPr="0023465D" w:rsidRDefault="00066B95" w:rsidP="00993763">
      <w:pPr>
        <w:rPr>
          <w:lang w:val="fr-CH"/>
        </w:rPr>
      </w:pPr>
      <w:r w:rsidRPr="005F1B32">
        <w:rPr>
          <w:i/>
          <w:iCs/>
        </w:rPr>
        <w:t>a)</w:t>
      </w:r>
      <w:r w:rsidRPr="005F1B32">
        <w:tab/>
      </w:r>
      <w:r w:rsidRPr="0023465D">
        <w:rPr>
          <w:lang w:val="fr-CH"/>
        </w:rPr>
        <w:t>la Résolution</w:t>
      </w:r>
      <w:r w:rsidRPr="005F1B32">
        <w:t xml:space="preserve"> </w:t>
      </w:r>
      <w:hyperlink r:id="rId7" w:history="1">
        <w:r w:rsidRPr="005F1B32">
          <w:rPr>
            <w:rStyle w:val="Hyperlink"/>
          </w:rPr>
          <w:t>A/RES/ES-11/1</w:t>
        </w:r>
      </w:hyperlink>
      <w:r w:rsidRPr="005F1B32">
        <w:t xml:space="preserve"> </w:t>
      </w:r>
      <w:r w:rsidRPr="0023465D">
        <w:rPr>
          <w:lang w:val="fr-CH"/>
        </w:rPr>
        <w:t>de l'Assemblée générale des Nations Unies, intitulée "Agression contre l'Ukraine", adoptée le 2 mars 2022, dans laquelle l'Assemblée générale déplore dans les termes les plus énergiques l'agression commise par la Fédération de Russie contre l'Ukraine en violation du paragraphe 4 de l'Article 2 de la Charte et demande instamment aux organisations internationales de contribuer à désamorcer la situation actuelle</w:t>
      </w:r>
      <w:r w:rsidR="002F33B5">
        <w:rPr>
          <w:lang w:val="fr-CH"/>
        </w:rPr>
        <w:t>, et toutes les autres Résolutions adoptées à la onzième session extraordinaire d'urgence de l'Assemblée générale des Nations Unies</w:t>
      </w:r>
      <w:r w:rsidRPr="0023465D">
        <w:rPr>
          <w:lang w:val="fr-CH"/>
        </w:rPr>
        <w:t>;</w:t>
      </w:r>
    </w:p>
    <w:p w14:paraId="664DCE35" w14:textId="120A3A97" w:rsidR="00066B95" w:rsidRPr="0023465D" w:rsidRDefault="00066B95" w:rsidP="00993763">
      <w:pPr>
        <w:rPr>
          <w:lang w:val="fr-CH"/>
        </w:rPr>
      </w:pPr>
      <w:r w:rsidRPr="005F1B32">
        <w:rPr>
          <w:i/>
          <w:iCs/>
        </w:rPr>
        <w:t>b)</w:t>
      </w:r>
      <w:r w:rsidRPr="005F1B32">
        <w:tab/>
      </w:r>
      <w:r w:rsidRPr="0023465D">
        <w:rPr>
          <w:lang w:val="fr-CH"/>
        </w:rPr>
        <w:t>la Résolution 34 (Rév. Busan, 2018) de la Conférence de plénipotentiaires de l'UIT, intitulée "Assistance et appui aux pays ayant des besoins spéciaux pour la reconstruction de leur secteur des télécommunications</w:t>
      </w:r>
      <w:proofErr w:type="gramStart"/>
      <w:r w:rsidRPr="0023465D">
        <w:rPr>
          <w:lang w:val="fr-CH"/>
        </w:rPr>
        <w:t>"</w:t>
      </w:r>
      <w:r>
        <w:rPr>
          <w:lang w:val="fr-CH"/>
        </w:rPr>
        <w:t>;</w:t>
      </w:r>
      <w:proofErr w:type="gramEnd"/>
    </w:p>
    <w:p w14:paraId="56EB45D9" w14:textId="5CD173A4" w:rsidR="00F1635E" w:rsidRPr="00020455" w:rsidRDefault="00066B95" w:rsidP="00993763">
      <w:pPr>
        <w:rPr>
          <w:rFonts w:eastAsia="Calibri"/>
        </w:rPr>
      </w:pPr>
      <w:r w:rsidRPr="00020455">
        <w:rPr>
          <w:i/>
          <w:iCs/>
        </w:rPr>
        <w:t>c)</w:t>
      </w:r>
      <w:r w:rsidRPr="00020455">
        <w:tab/>
      </w:r>
      <w:r w:rsidR="00B61C68" w:rsidRPr="00020455">
        <w:rPr>
          <w:rFonts w:eastAsia="Calibri"/>
        </w:rPr>
        <w:t xml:space="preserve">la Résolution </w:t>
      </w:r>
      <w:hyperlink r:id="rId8" w:history="1">
        <w:r w:rsidR="00B61C68" w:rsidRPr="00020455">
          <w:rPr>
            <w:rStyle w:val="Hyperlink"/>
            <w:rFonts w:eastAsia="Calibri"/>
          </w:rPr>
          <w:t>68/262</w:t>
        </w:r>
      </w:hyperlink>
      <w:r w:rsidR="00B61C68" w:rsidRPr="00020455">
        <w:rPr>
          <w:rFonts w:eastAsia="Calibri"/>
        </w:rPr>
        <w:t xml:space="preserve"> </w:t>
      </w:r>
      <w:r w:rsidR="006E566B">
        <w:rPr>
          <w:rFonts w:eastAsia="Calibri"/>
        </w:rPr>
        <w:t>adoptée le 27 mars 2014 par</w:t>
      </w:r>
      <w:r w:rsidR="00B61C68" w:rsidRPr="00020455">
        <w:rPr>
          <w:rFonts w:eastAsia="Calibri"/>
        </w:rPr>
        <w:t xml:space="preserve"> l'Assemblée générale des Nations Unies</w:t>
      </w:r>
      <w:r w:rsidR="00B924CF">
        <w:rPr>
          <w:rFonts w:eastAsia="Calibri"/>
        </w:rPr>
        <w:t>, intitulée "Intégrité territoriale de l'Ukraine</w:t>
      </w:r>
      <w:proofErr w:type="gramStart"/>
      <w:r w:rsidR="00B924CF">
        <w:rPr>
          <w:rFonts w:eastAsia="Calibri"/>
        </w:rPr>
        <w:t>";</w:t>
      </w:r>
      <w:proofErr w:type="gramEnd"/>
    </w:p>
    <w:p w14:paraId="53BC9DC1" w14:textId="14C910F0" w:rsidR="00066B95" w:rsidRPr="00C735CD" w:rsidRDefault="00066B95" w:rsidP="00993763">
      <w:r w:rsidRPr="00C735CD">
        <w:rPr>
          <w:i/>
          <w:iCs/>
        </w:rPr>
        <w:t>d)</w:t>
      </w:r>
      <w:r w:rsidRPr="00C735CD">
        <w:tab/>
        <w:t>la Résolution 205 (Rév.CMR-19) de la Conférence mondiale des radiocommunications</w:t>
      </w:r>
      <w:r w:rsidR="00004B21">
        <w:t>, intitulée "Protection des systèmes fonctionnant dans le service mobile par satellite dans la bande de fréquences 406-406,1 MHz</w:t>
      </w:r>
      <w:proofErr w:type="gramStart"/>
      <w:r w:rsidR="00004B21">
        <w:t>";</w:t>
      </w:r>
      <w:proofErr w:type="gramEnd"/>
    </w:p>
    <w:p w14:paraId="646549E7" w14:textId="4567A5AC" w:rsidR="00004B21" w:rsidRPr="00020455" w:rsidRDefault="00066B95" w:rsidP="00020455">
      <w:pPr>
        <w:rPr>
          <w:rFonts w:eastAsia="Calibri"/>
        </w:rPr>
      </w:pPr>
      <w:r w:rsidRPr="00020455">
        <w:rPr>
          <w:rFonts w:eastAsia="Calibri"/>
          <w:i/>
          <w:iCs/>
        </w:rPr>
        <w:lastRenderedPageBreak/>
        <w:t>e)</w:t>
      </w:r>
      <w:r w:rsidRPr="00020455">
        <w:rPr>
          <w:rFonts w:eastAsia="Calibri"/>
        </w:rPr>
        <w:tab/>
      </w:r>
      <w:r w:rsidR="00CF3985">
        <w:rPr>
          <w:rFonts w:eastAsia="Calibri"/>
        </w:rPr>
        <w:t>l</w:t>
      </w:r>
      <w:r w:rsidR="00004B21" w:rsidRPr="00020455">
        <w:rPr>
          <w:rFonts w:eastAsia="Calibri"/>
        </w:rPr>
        <w:t>'évaluation prov</w:t>
      </w:r>
      <w:r w:rsidR="00414836">
        <w:rPr>
          <w:rFonts w:eastAsia="Calibri"/>
        </w:rPr>
        <w:t>is</w:t>
      </w:r>
      <w:r w:rsidR="00004B21" w:rsidRPr="00020455">
        <w:rPr>
          <w:rFonts w:eastAsia="Calibri"/>
        </w:rPr>
        <w:t xml:space="preserve">oire </w:t>
      </w:r>
      <w:r w:rsidR="00752538">
        <w:rPr>
          <w:rFonts w:eastAsia="Calibri"/>
        </w:rPr>
        <w:t>effectuée par</w:t>
      </w:r>
      <w:r w:rsidR="00004B21" w:rsidRPr="00004B21">
        <w:rPr>
          <w:rFonts w:eastAsia="Calibri"/>
        </w:rPr>
        <w:t xml:space="preserve"> l'UIT sur les dommages causés aux infrastructures de télécommunication et la résilience de l'écosystème des TIC en Ukraine</w:t>
      </w:r>
      <w:r w:rsidR="00004B21">
        <w:rPr>
          <w:rFonts w:eastAsia="Calibri"/>
        </w:rPr>
        <w:t xml:space="preserve"> (décembre 2022</w:t>
      </w:r>
      <w:proofErr w:type="gramStart"/>
      <w:r w:rsidR="00004B21">
        <w:rPr>
          <w:rFonts w:eastAsia="Calibri"/>
        </w:rPr>
        <w:t>);</w:t>
      </w:r>
      <w:proofErr w:type="gramEnd"/>
    </w:p>
    <w:p w14:paraId="4F7B9318" w14:textId="6A4E4294" w:rsidR="00DA2199" w:rsidRPr="00020455" w:rsidRDefault="00066B95" w:rsidP="00020455">
      <w:pPr>
        <w:rPr>
          <w:rFonts w:eastAsia="Calibri"/>
        </w:rPr>
      </w:pPr>
      <w:r w:rsidRPr="00020455">
        <w:rPr>
          <w:rFonts w:eastAsia="Calibri"/>
          <w:i/>
          <w:iCs/>
        </w:rPr>
        <w:t>f)</w:t>
      </w:r>
      <w:r w:rsidRPr="00020455">
        <w:rPr>
          <w:rFonts w:eastAsia="Calibri"/>
        </w:rPr>
        <w:tab/>
      </w:r>
      <w:r w:rsidR="00DA2199" w:rsidRPr="00020455">
        <w:rPr>
          <w:rFonts w:eastAsia="Calibri"/>
        </w:rPr>
        <w:t xml:space="preserve">la déclaration </w:t>
      </w:r>
      <w:r w:rsidR="000221C3">
        <w:rPr>
          <w:rFonts w:eastAsia="Calibri"/>
        </w:rPr>
        <w:t>faite par le</w:t>
      </w:r>
      <w:r w:rsidR="00DA2199" w:rsidRPr="00020455">
        <w:rPr>
          <w:rFonts w:eastAsia="Calibri"/>
        </w:rPr>
        <w:t xml:space="preserve"> Secrétaire général de l'UIT </w:t>
      </w:r>
      <w:r w:rsidR="000221C3">
        <w:rPr>
          <w:rFonts w:eastAsia="Calibri"/>
        </w:rPr>
        <w:t xml:space="preserve">à la Conférence de plénipotentiaires de l'UIT de 2014 (Document </w:t>
      </w:r>
      <w:r w:rsidR="000221C3" w:rsidRPr="00020455">
        <w:rPr>
          <w:rFonts w:eastAsia="Calibri"/>
        </w:rPr>
        <w:t>PP</w:t>
      </w:r>
      <w:r w:rsidR="00020455">
        <w:rPr>
          <w:rFonts w:eastAsia="Calibri"/>
        </w:rPr>
        <w:t>-</w:t>
      </w:r>
      <w:r w:rsidR="000221C3" w:rsidRPr="00020455">
        <w:rPr>
          <w:rFonts w:eastAsia="Calibri"/>
        </w:rPr>
        <w:t>14/174, Annex</w:t>
      </w:r>
      <w:r w:rsidR="000221C3">
        <w:rPr>
          <w:rFonts w:eastAsia="Calibri"/>
        </w:rPr>
        <w:t>e</w:t>
      </w:r>
      <w:r w:rsidR="000221C3" w:rsidRPr="00020455">
        <w:rPr>
          <w:rFonts w:eastAsia="Calibri"/>
        </w:rPr>
        <w:t xml:space="preserve"> B)</w:t>
      </w:r>
      <w:r w:rsidR="00A90C52">
        <w:rPr>
          <w:rFonts w:eastAsia="Calibri"/>
        </w:rPr>
        <w:t>,</w:t>
      </w:r>
      <w:r w:rsidR="000221C3">
        <w:rPr>
          <w:rFonts w:eastAsia="Calibri"/>
        </w:rPr>
        <w:t xml:space="preserve"> et </w:t>
      </w:r>
      <w:r w:rsidR="009D4A13">
        <w:rPr>
          <w:rFonts w:eastAsia="Calibri"/>
        </w:rPr>
        <w:t xml:space="preserve">la </w:t>
      </w:r>
      <w:r w:rsidR="000221C3">
        <w:rPr>
          <w:rFonts w:eastAsia="Calibri"/>
        </w:rPr>
        <w:t xml:space="preserve">déclaration </w:t>
      </w:r>
      <w:r w:rsidR="00C0401A">
        <w:rPr>
          <w:rFonts w:eastAsia="Calibri"/>
        </w:rPr>
        <w:t>du</w:t>
      </w:r>
      <w:r w:rsidR="00756E7B">
        <w:rPr>
          <w:rFonts w:eastAsia="Calibri"/>
        </w:rPr>
        <w:t xml:space="preserve"> Secrétaire général</w:t>
      </w:r>
      <w:r w:rsidR="009D4A13">
        <w:rPr>
          <w:rFonts w:eastAsia="Calibri"/>
        </w:rPr>
        <w:t xml:space="preserve"> de l'UIT </w:t>
      </w:r>
      <w:r w:rsidR="00C0401A">
        <w:rPr>
          <w:rFonts w:eastAsia="Calibri"/>
        </w:rPr>
        <w:t xml:space="preserve">publiée </w:t>
      </w:r>
      <w:r w:rsidR="009D4A13">
        <w:rPr>
          <w:rFonts w:eastAsia="Calibri"/>
        </w:rPr>
        <w:t xml:space="preserve">dans le Bulletin </w:t>
      </w:r>
      <w:r w:rsidR="00C0401A">
        <w:rPr>
          <w:rFonts w:eastAsia="Calibri"/>
        </w:rPr>
        <w:t>d'exploitation</w:t>
      </w:r>
      <w:r w:rsidR="009D4A13">
        <w:rPr>
          <w:rFonts w:eastAsia="Calibri"/>
        </w:rPr>
        <w:t xml:space="preserve"> de l'UIT </w:t>
      </w:r>
      <w:r w:rsidR="00C0401A">
        <w:rPr>
          <w:rFonts w:eastAsia="Calibri"/>
        </w:rPr>
        <w:t>N° 1158 du</w:t>
      </w:r>
      <w:r w:rsidR="00993763">
        <w:rPr>
          <w:rFonts w:eastAsia="Calibri"/>
        </w:rPr>
        <w:t> </w:t>
      </w:r>
      <w:r w:rsidR="00C0401A">
        <w:rPr>
          <w:rFonts w:eastAsia="Calibri"/>
        </w:rPr>
        <w:t>1</w:t>
      </w:r>
      <w:r w:rsidR="00A90C52">
        <w:rPr>
          <w:rFonts w:eastAsia="Calibri"/>
        </w:rPr>
        <w:t>5</w:t>
      </w:r>
      <w:r w:rsidR="00993763">
        <w:rPr>
          <w:rFonts w:eastAsia="Calibri"/>
        </w:rPr>
        <w:t> </w:t>
      </w:r>
      <w:r w:rsidR="00A90C52">
        <w:rPr>
          <w:rFonts w:eastAsia="Calibri"/>
        </w:rPr>
        <w:t xml:space="preserve">octobre </w:t>
      </w:r>
      <w:proofErr w:type="gramStart"/>
      <w:r w:rsidR="00A90C52">
        <w:rPr>
          <w:rFonts w:eastAsia="Calibri"/>
        </w:rPr>
        <w:t>2018;</w:t>
      </w:r>
      <w:proofErr w:type="gramEnd"/>
    </w:p>
    <w:p w14:paraId="1AFD8361" w14:textId="79BF3A2B" w:rsidR="00066B95" w:rsidRPr="00C735CD" w:rsidRDefault="00066B95" w:rsidP="00020455">
      <w:r w:rsidRPr="00C735CD">
        <w:rPr>
          <w:rFonts w:eastAsia="Calibri"/>
          <w:i/>
          <w:iCs/>
        </w:rPr>
        <w:t>g)</w:t>
      </w:r>
      <w:r w:rsidRPr="00C735CD">
        <w:rPr>
          <w:rFonts w:eastAsia="Calibri"/>
        </w:rPr>
        <w:tab/>
        <w:t xml:space="preserve">la Résolution 88 (Kigali, 2022) </w:t>
      </w:r>
      <w:r w:rsidR="00F07FFE" w:rsidRPr="00C735CD">
        <w:rPr>
          <w:rFonts w:eastAsia="Calibri"/>
        </w:rPr>
        <w:t>de la</w:t>
      </w:r>
      <w:r w:rsidRPr="00C735CD">
        <w:rPr>
          <w:rFonts w:eastAsia="Calibri"/>
        </w:rPr>
        <w:t xml:space="preserve"> Conférence mondiale de développement des télécommunications</w:t>
      </w:r>
      <w:r w:rsidR="008A6696">
        <w:rPr>
          <w:rFonts w:eastAsia="Calibri"/>
        </w:rPr>
        <w:t>,</w:t>
      </w:r>
      <w:r w:rsidRPr="00C735CD">
        <w:rPr>
          <w:rFonts w:eastAsia="Calibri"/>
        </w:rPr>
        <w:t xml:space="preserve"> </w:t>
      </w:r>
      <w:r w:rsidR="00BD6053">
        <w:rPr>
          <w:rFonts w:eastAsia="Calibri"/>
        </w:rPr>
        <w:t>sur la</w:t>
      </w:r>
      <w:r w:rsidRPr="00C735CD">
        <w:rPr>
          <w:rFonts w:eastAsia="Calibri"/>
        </w:rPr>
        <w:t xml:space="preserve"> </w:t>
      </w:r>
      <w:r w:rsidR="001352ED" w:rsidRPr="00C735CD">
        <w:rPr>
          <w:rFonts w:eastAsia="Calibri"/>
        </w:rPr>
        <w:t xml:space="preserve">Coalition pour le numérique Partner2Connect de </w:t>
      </w:r>
      <w:proofErr w:type="gramStart"/>
      <w:r w:rsidR="001352ED" w:rsidRPr="00C735CD">
        <w:rPr>
          <w:rFonts w:eastAsia="Calibri"/>
        </w:rPr>
        <w:t>l'UIT</w:t>
      </w:r>
      <w:r w:rsidRPr="00C735CD">
        <w:rPr>
          <w:rFonts w:eastAsia="Calibri"/>
        </w:rPr>
        <w:t>;</w:t>
      </w:r>
      <w:proofErr w:type="gramEnd"/>
    </w:p>
    <w:p w14:paraId="2E787FAD" w14:textId="6000F8D4" w:rsidR="00066B95" w:rsidRPr="00C735CD" w:rsidRDefault="00066B95" w:rsidP="00020455">
      <w:r w:rsidRPr="00C735CD">
        <w:rPr>
          <w:rFonts w:eastAsia="Calibri"/>
          <w:i/>
          <w:iCs/>
        </w:rPr>
        <w:t>h)</w:t>
      </w:r>
      <w:r w:rsidRPr="00C735CD">
        <w:rPr>
          <w:rFonts w:eastAsia="Calibri"/>
        </w:rPr>
        <w:tab/>
        <w:t xml:space="preserve">la Résolution 25 (Rév. Bucarest, 2022) de la Conférence de plénipotentiaires, </w:t>
      </w:r>
      <w:r w:rsidR="001D7FF4">
        <w:rPr>
          <w:rFonts w:eastAsia="Calibri"/>
        </w:rPr>
        <w:t>sur le r</w:t>
      </w:r>
      <w:r w:rsidR="001352ED" w:rsidRPr="00C735CD">
        <w:rPr>
          <w:rFonts w:eastAsia="Calibri"/>
        </w:rPr>
        <w:t>enforcement de la présence régionale de l'UIT</w:t>
      </w:r>
      <w:r w:rsidRPr="00C735CD">
        <w:t>,</w:t>
      </w:r>
    </w:p>
    <w:p w14:paraId="51ECAF41" w14:textId="3C3DEB4B" w:rsidR="00066B95" w:rsidRPr="0023465D" w:rsidRDefault="00066B95" w:rsidP="00993763">
      <w:pPr>
        <w:pStyle w:val="Call"/>
        <w:rPr>
          <w:lang w:val="fr-CH"/>
        </w:rPr>
      </w:pPr>
      <w:proofErr w:type="gramStart"/>
      <w:r w:rsidRPr="0023465D">
        <w:rPr>
          <w:lang w:val="fr-CH"/>
        </w:rPr>
        <w:t>réaffirmant</w:t>
      </w:r>
      <w:proofErr w:type="gramEnd"/>
    </w:p>
    <w:p w14:paraId="000C2EF4" w14:textId="2D76764B" w:rsidR="00066B95" w:rsidRPr="0023465D" w:rsidRDefault="00066B95" w:rsidP="00993763">
      <w:pPr>
        <w:rPr>
          <w:lang w:val="fr-CH"/>
        </w:rPr>
      </w:pPr>
      <w:r w:rsidRPr="00066B95">
        <w:rPr>
          <w:i/>
          <w:iCs/>
          <w:lang w:val="fr-CH"/>
        </w:rPr>
        <w:t>a)</w:t>
      </w:r>
      <w:r>
        <w:rPr>
          <w:lang w:val="fr-CH"/>
        </w:rPr>
        <w:tab/>
      </w:r>
      <w:r w:rsidRPr="0023465D">
        <w:rPr>
          <w:lang w:val="fr-CH"/>
        </w:rPr>
        <w:t xml:space="preserve">la souveraineté, l'indépendance, l'unité et l'intégrité territoriale de l'Ukraine à l'intérieur de ses frontières internationalement reconnues, s'étendant à ses eaux </w:t>
      </w:r>
      <w:proofErr w:type="gramStart"/>
      <w:r w:rsidRPr="0023465D">
        <w:rPr>
          <w:lang w:val="fr-CH"/>
        </w:rPr>
        <w:t>territoriales</w:t>
      </w:r>
      <w:r>
        <w:rPr>
          <w:lang w:val="fr-CH"/>
        </w:rPr>
        <w:t>;</w:t>
      </w:r>
      <w:proofErr w:type="gramEnd"/>
    </w:p>
    <w:p w14:paraId="73652D23" w14:textId="33902700" w:rsidR="00066B95" w:rsidRDefault="001352ED" w:rsidP="00993763">
      <w:r>
        <w:rPr>
          <w:i/>
          <w:iCs/>
        </w:rPr>
        <w:t>b</w:t>
      </w:r>
      <w:r w:rsidRPr="001352ED">
        <w:rPr>
          <w:i/>
          <w:iCs/>
        </w:rPr>
        <w:t>)</w:t>
      </w:r>
      <w:r w:rsidRPr="001352ED">
        <w:tab/>
        <w:t xml:space="preserve">qu'un réseau de télécommunication fiable est indispensable pour promouvoir le développement social et économique des pays, en particulier de ceux qui ont souffert de catastrophes naturelles, de conflits intérieurs ou de </w:t>
      </w:r>
      <w:proofErr w:type="gramStart"/>
      <w:r w:rsidRPr="001352ED">
        <w:t>guerres;</w:t>
      </w:r>
      <w:proofErr w:type="gramEnd"/>
    </w:p>
    <w:p w14:paraId="338AA7CC" w14:textId="5778F490" w:rsidR="005D60C3" w:rsidRPr="00020455" w:rsidRDefault="001352ED" w:rsidP="00993763">
      <w:r w:rsidRPr="00020455">
        <w:rPr>
          <w:i/>
          <w:iCs/>
        </w:rPr>
        <w:t>c)</w:t>
      </w:r>
      <w:r w:rsidRPr="00020455">
        <w:tab/>
      </w:r>
      <w:r w:rsidR="005D60C3" w:rsidRPr="00020455">
        <w:t xml:space="preserve">que, dans les circonstances actuelles et dans un avenir prévisible, l'Ukraine </w:t>
      </w:r>
      <w:r w:rsidR="002C3CC7">
        <w:t>aura besoin d'</w:t>
      </w:r>
      <w:r w:rsidR="0075165B">
        <w:t>une assistance</w:t>
      </w:r>
      <w:r w:rsidR="002C3CC7">
        <w:t xml:space="preserve"> pour </w:t>
      </w:r>
      <w:r w:rsidR="00B270D5">
        <w:t>que</w:t>
      </w:r>
      <w:r w:rsidR="002C3CC7">
        <w:t xml:space="preserve"> son secteur des télécommunications en général</w:t>
      </w:r>
      <w:r w:rsidR="00AF547E">
        <w:t xml:space="preserve">, et son infrastructure </w:t>
      </w:r>
      <w:r w:rsidR="00B270D5">
        <w:t>en</w:t>
      </w:r>
      <w:r w:rsidR="00AF547E">
        <w:t xml:space="preserve"> particuli</w:t>
      </w:r>
      <w:r w:rsidR="00B270D5">
        <w:t>e</w:t>
      </w:r>
      <w:r w:rsidR="00993763">
        <w:t>r</w:t>
      </w:r>
      <w:r w:rsidR="00AF547E">
        <w:t xml:space="preserve"> </w:t>
      </w:r>
      <w:r w:rsidR="00B270D5">
        <w:t xml:space="preserve">retrouve un niveau </w:t>
      </w:r>
      <w:r w:rsidR="00AF547E">
        <w:t xml:space="preserve">un niveau acceptable, </w:t>
      </w:r>
      <w:r w:rsidR="00B270D5">
        <w:t xml:space="preserve">ce qui nécessite l'assistance de </w:t>
      </w:r>
      <w:r w:rsidR="006F122F">
        <w:t>la communauté internationale</w:t>
      </w:r>
      <w:r w:rsidR="00B270D5">
        <w:t>, qui doit être</w:t>
      </w:r>
      <w:r w:rsidR="006F122F">
        <w:t xml:space="preserve"> fournie </w:t>
      </w:r>
      <w:r w:rsidR="00B270D5">
        <w:t>dans un cadre</w:t>
      </w:r>
      <w:r w:rsidR="006F122F">
        <w:t xml:space="preserve"> bilatéral </w:t>
      </w:r>
      <w:r w:rsidR="00B270D5">
        <w:t xml:space="preserve">ou </w:t>
      </w:r>
      <w:r w:rsidR="006F122F">
        <w:t>régional</w:t>
      </w:r>
      <w:r w:rsidR="00B270D5">
        <w:t>,</w:t>
      </w:r>
      <w:r w:rsidR="006F122F">
        <w:t xml:space="preserve"> ou par l'intermédiaire </w:t>
      </w:r>
      <w:r w:rsidR="006B3079">
        <w:t>d'organisations internationales,</w:t>
      </w:r>
    </w:p>
    <w:p w14:paraId="6E71EE0D" w14:textId="36DDBB3F" w:rsidR="00066B95" w:rsidRPr="005F1B32" w:rsidRDefault="00066B95" w:rsidP="00993763">
      <w:pPr>
        <w:pStyle w:val="Call"/>
      </w:pPr>
      <w:proofErr w:type="gramStart"/>
      <w:r w:rsidRPr="0023465D">
        <w:rPr>
          <w:lang w:val="fr-CH"/>
        </w:rPr>
        <w:t>rappelant</w:t>
      </w:r>
      <w:proofErr w:type="gramEnd"/>
      <w:r w:rsidRPr="0023465D">
        <w:rPr>
          <w:lang w:val="fr-CH"/>
        </w:rPr>
        <w:t xml:space="preserve"> l'engagement de l'UIT</w:t>
      </w:r>
    </w:p>
    <w:p w14:paraId="23C65765" w14:textId="77777777" w:rsidR="00066B95" w:rsidRPr="0023465D" w:rsidRDefault="00066B95" w:rsidP="00993763">
      <w:pPr>
        <w:rPr>
          <w:lang w:val="fr-CH"/>
        </w:rPr>
      </w:pPr>
      <w:proofErr w:type="gramStart"/>
      <w:r w:rsidRPr="0023465D">
        <w:rPr>
          <w:lang w:val="fr-CH"/>
        </w:rPr>
        <w:t>en</w:t>
      </w:r>
      <w:proofErr w:type="gramEnd"/>
      <w:r w:rsidRPr="0023465D">
        <w:rPr>
          <w:lang w:val="fr-CH"/>
        </w:rPr>
        <w:t xml:space="preserve"> vue de "provoquer l'adoption de mesures permettant d'assurer la sécurité de la vie humaine par la coopération des services de télécommunication",</w:t>
      </w:r>
    </w:p>
    <w:p w14:paraId="1A320D84" w14:textId="7130C053" w:rsidR="001352ED" w:rsidRPr="00020455" w:rsidRDefault="0006454F" w:rsidP="00993763">
      <w:pPr>
        <w:pStyle w:val="Call"/>
      </w:pPr>
      <w:proofErr w:type="gramStart"/>
      <w:r w:rsidRPr="00020455">
        <w:t>notant</w:t>
      </w:r>
      <w:proofErr w:type="gramEnd"/>
      <w:r w:rsidRPr="00020455">
        <w:t xml:space="preserve"> avec une profonde préoccupation</w:t>
      </w:r>
    </w:p>
    <w:p w14:paraId="61BD8510" w14:textId="7211ED08" w:rsidR="00D90EE4" w:rsidRPr="00020455" w:rsidRDefault="001352ED" w:rsidP="00993763">
      <w:bookmarkStart w:id="1" w:name="_Hlk137742105"/>
      <w:r w:rsidRPr="00020455">
        <w:rPr>
          <w:i/>
          <w:iCs/>
        </w:rPr>
        <w:t>a)</w:t>
      </w:r>
      <w:r w:rsidRPr="00020455">
        <w:tab/>
      </w:r>
      <w:r w:rsidR="00D90EE4" w:rsidRPr="00020455">
        <w:t xml:space="preserve">les conséquences </w:t>
      </w:r>
      <w:r w:rsidR="000E63D4" w:rsidRPr="00020455">
        <w:t xml:space="preserve">dévastatrices de la guerre </w:t>
      </w:r>
      <w:r w:rsidR="001E2EC1">
        <w:t>menée</w:t>
      </w:r>
      <w:r w:rsidR="00295940">
        <w:t xml:space="preserve"> </w:t>
      </w:r>
      <w:r w:rsidR="000E63D4" w:rsidRPr="00020455">
        <w:t xml:space="preserve">contre l'Ukraine </w:t>
      </w:r>
      <w:r w:rsidR="00B270D5">
        <w:t>s</w:t>
      </w:r>
      <w:r w:rsidR="000E63D4">
        <w:t>ur</w:t>
      </w:r>
      <w:r w:rsidR="000E63D4" w:rsidRPr="00020455">
        <w:t xml:space="preserve"> le fonctionnement </w:t>
      </w:r>
      <w:r w:rsidR="00295940">
        <w:t>des installations et des services de télécommunication en Ukraine, y</w:t>
      </w:r>
      <w:r w:rsidR="00993763">
        <w:t> </w:t>
      </w:r>
      <w:r w:rsidR="00295940">
        <w:t xml:space="preserve">compris </w:t>
      </w:r>
      <w:r w:rsidR="00821CD9">
        <w:t>les destructions massives d'infrastructures essentielles</w:t>
      </w:r>
      <w:r w:rsidR="00A764B7">
        <w:t xml:space="preserve">, et </w:t>
      </w:r>
      <w:r w:rsidR="00B270D5">
        <w:t>s</w:t>
      </w:r>
      <w:r w:rsidR="00A764B7">
        <w:t xml:space="preserve">ur l'exercice du droit souverain de l'Ukraine </w:t>
      </w:r>
      <w:r w:rsidR="0092377F">
        <w:t>de</w:t>
      </w:r>
      <w:r w:rsidR="00AC6CDA">
        <w:t xml:space="preserve"> réglement</w:t>
      </w:r>
      <w:r w:rsidR="00A764B7">
        <w:t xml:space="preserve">er les télécommunications sur son </w:t>
      </w:r>
      <w:proofErr w:type="gramStart"/>
      <w:r w:rsidR="00A764B7">
        <w:t>territoire;</w:t>
      </w:r>
      <w:proofErr w:type="gramEnd"/>
    </w:p>
    <w:p w14:paraId="0273DE89" w14:textId="77907303" w:rsidR="00C606BB" w:rsidRPr="00020455" w:rsidRDefault="001352ED" w:rsidP="00993763">
      <w:bookmarkStart w:id="2" w:name="_Hlk137738981"/>
      <w:r w:rsidRPr="00020455">
        <w:rPr>
          <w:i/>
          <w:iCs/>
        </w:rPr>
        <w:t>b)</w:t>
      </w:r>
      <w:r w:rsidRPr="00020455">
        <w:tab/>
      </w:r>
      <w:bookmarkEnd w:id="2"/>
      <w:r w:rsidR="00C606BB" w:rsidRPr="00020455">
        <w:t xml:space="preserve">le mépris </w:t>
      </w:r>
      <w:r w:rsidR="00E058BF">
        <w:t>systématique</w:t>
      </w:r>
      <w:r w:rsidR="00C606BB" w:rsidRPr="00020455">
        <w:t xml:space="preserve"> </w:t>
      </w:r>
      <w:r w:rsidR="004140DE">
        <w:t>dont</w:t>
      </w:r>
      <w:r w:rsidR="00EB2CA2" w:rsidRPr="00020455">
        <w:t xml:space="preserve"> la Fédération de Russie</w:t>
      </w:r>
      <w:r w:rsidR="004140DE">
        <w:t xml:space="preserve"> </w:t>
      </w:r>
      <w:r w:rsidR="00D056BA">
        <w:t xml:space="preserve">a </w:t>
      </w:r>
      <w:r w:rsidR="004140DE">
        <w:t>fait preuve</w:t>
      </w:r>
      <w:r w:rsidR="00EB2CA2" w:rsidRPr="00020455">
        <w:t>, depuis 2014, vis</w:t>
      </w:r>
      <w:r w:rsidR="00DB414E">
        <w:noBreakHyphen/>
      </w:r>
      <w:r w:rsidR="00EB2CA2" w:rsidRPr="00020455">
        <w:t>à</w:t>
      </w:r>
      <w:r w:rsidR="00DB414E">
        <w:noBreakHyphen/>
      </w:r>
      <w:r w:rsidR="00EB2CA2" w:rsidRPr="00020455">
        <w:t xml:space="preserve">vis des principes internationaux régissant le fonctionnement des réseaux </w:t>
      </w:r>
      <w:r w:rsidR="004140DE">
        <w:t>de télécommunication publics</w:t>
      </w:r>
      <w:r w:rsidR="00B270D5">
        <w:t xml:space="preserve"> avec la modification</w:t>
      </w:r>
      <w:r w:rsidR="00E0093C">
        <w:t xml:space="preserve"> unilatérale </w:t>
      </w:r>
      <w:r w:rsidR="00B270D5">
        <w:t>du</w:t>
      </w:r>
      <w:r w:rsidR="00E0093C">
        <w:t xml:space="preserve"> système </w:t>
      </w:r>
      <w:r w:rsidR="00737BDC">
        <w:t xml:space="preserve">de numérotage international et </w:t>
      </w:r>
      <w:r w:rsidR="00B270D5">
        <w:t>du</w:t>
      </w:r>
      <w:r w:rsidR="00DB414E">
        <w:t xml:space="preserve"> </w:t>
      </w:r>
      <w:r w:rsidR="00737BDC">
        <w:t xml:space="preserve">système de numérotage national de </w:t>
      </w:r>
      <w:proofErr w:type="gramStart"/>
      <w:r w:rsidR="00737BDC">
        <w:t>l'Ukraine;</w:t>
      </w:r>
      <w:proofErr w:type="gramEnd"/>
    </w:p>
    <w:p w14:paraId="2D5CC6D3" w14:textId="4BFD5E73" w:rsidR="00714C8D" w:rsidRPr="00020455" w:rsidRDefault="001352ED" w:rsidP="00993763">
      <w:r w:rsidRPr="00020455">
        <w:rPr>
          <w:i/>
          <w:iCs/>
        </w:rPr>
        <w:t>c)</w:t>
      </w:r>
      <w:r w:rsidRPr="00020455">
        <w:tab/>
      </w:r>
      <w:r w:rsidR="00CE593D" w:rsidRPr="00020455">
        <w:t>la saisie illégale</w:t>
      </w:r>
      <w:r w:rsidR="005A37D3" w:rsidRPr="00020455">
        <w:t xml:space="preserve"> </w:t>
      </w:r>
      <w:r w:rsidR="00C53028" w:rsidRPr="00020455">
        <w:t>des réseau</w:t>
      </w:r>
      <w:r w:rsidR="00C53028">
        <w:t>x de télécommunication, des ressources TIC et des fréquences radioélectriques</w:t>
      </w:r>
      <w:r w:rsidR="00E95972">
        <w:t xml:space="preserve"> </w:t>
      </w:r>
      <w:r w:rsidR="00B270D5">
        <w:t xml:space="preserve">de l'Ukraine </w:t>
      </w:r>
      <w:r w:rsidR="00E95972">
        <w:t xml:space="preserve">dans les territoires </w:t>
      </w:r>
      <w:r w:rsidR="00B770B9">
        <w:t xml:space="preserve">ukrainiens </w:t>
      </w:r>
      <w:r w:rsidR="002F33B5">
        <w:t>qui, en partie, sont ou ont été sous le contrôle militaire temporaire de la Fédération de Russie</w:t>
      </w:r>
      <w:r w:rsidR="00A82DA6">
        <w:t>,</w:t>
      </w:r>
      <w:r w:rsidR="002F33B5">
        <w:t xml:space="preserve"> </w:t>
      </w:r>
      <w:r w:rsidR="00B270D5">
        <w:t xml:space="preserve">et l'utilisation abusive qui en a </w:t>
      </w:r>
      <w:proofErr w:type="gramStart"/>
      <w:r w:rsidR="00B270D5">
        <w:t>découlé</w:t>
      </w:r>
      <w:r w:rsidR="00B770B9">
        <w:t>;</w:t>
      </w:r>
      <w:proofErr w:type="gramEnd"/>
    </w:p>
    <w:p w14:paraId="39902AD8" w14:textId="59C5AE00" w:rsidR="002D4945" w:rsidRPr="00020455" w:rsidRDefault="001352ED" w:rsidP="00993763">
      <w:r w:rsidRPr="00020455">
        <w:rPr>
          <w:i/>
          <w:iCs/>
        </w:rPr>
        <w:t>d)</w:t>
      </w:r>
      <w:r w:rsidRPr="00020455">
        <w:tab/>
      </w:r>
      <w:bookmarkEnd w:id="1"/>
      <w:r w:rsidR="00A0672C" w:rsidRPr="00020455">
        <w:t xml:space="preserve">l'augmentation du nombre </w:t>
      </w:r>
      <w:r w:rsidR="0088760B">
        <w:t>d</w:t>
      </w:r>
      <w:r w:rsidR="007E62E0">
        <w:t>'émissions non autorisées</w:t>
      </w:r>
      <w:r w:rsidR="00B270D5">
        <w:t xml:space="preserve"> provenant d</w:t>
      </w:r>
      <w:r w:rsidR="007E62E0">
        <w:t xml:space="preserve">es </w:t>
      </w:r>
      <w:r w:rsidR="005407AD">
        <w:t xml:space="preserve">territoires ukrainiens </w:t>
      </w:r>
      <w:r w:rsidR="002F33B5">
        <w:t>qui, en partie, sont ou ont été sous le contrôle militaire</w:t>
      </w:r>
      <w:r w:rsidR="00A82DA6">
        <w:t xml:space="preserve"> temporaires</w:t>
      </w:r>
      <w:r w:rsidR="002F33B5">
        <w:t xml:space="preserve"> de la Fédération de Russie, </w:t>
      </w:r>
      <w:r w:rsidR="008C71A6">
        <w:t xml:space="preserve">depuis le début </w:t>
      </w:r>
      <w:r w:rsidR="007E2AD1">
        <w:t xml:space="preserve">et du fait </w:t>
      </w:r>
      <w:r w:rsidR="008C71A6">
        <w:t xml:space="preserve">de la guerre </w:t>
      </w:r>
      <w:r w:rsidR="00424637">
        <w:t>décl</w:t>
      </w:r>
      <w:r w:rsidR="00EF52D9">
        <w:t>enchée</w:t>
      </w:r>
      <w:r w:rsidR="00EF52D9">
        <w:rPr>
          <w:rStyle w:val="CommentReference"/>
        </w:rPr>
        <w:t xml:space="preserve"> </w:t>
      </w:r>
      <w:r w:rsidR="00EF52D9">
        <w:t>pa</w:t>
      </w:r>
      <w:r w:rsidR="00424637">
        <w:t xml:space="preserve">r la Fédération de </w:t>
      </w:r>
      <w:r w:rsidR="00424637">
        <w:lastRenderedPageBreak/>
        <w:t>Russie</w:t>
      </w:r>
      <w:r w:rsidR="007E2AD1">
        <w:t xml:space="preserve">, qui causent des brouillages préjudiciables </w:t>
      </w:r>
      <w:r w:rsidR="00BC1724">
        <w:t xml:space="preserve">nuisant </w:t>
      </w:r>
      <w:r w:rsidR="002C7F88">
        <w:t>à la réception de</w:t>
      </w:r>
      <w:r w:rsidR="00DA7357">
        <w:t xml:space="preserve">s signaux </w:t>
      </w:r>
      <w:r w:rsidR="00BC1724">
        <w:t>d</w:t>
      </w:r>
      <w:r w:rsidR="00DA7357">
        <w:t>es</w:t>
      </w:r>
      <w:r w:rsidR="000B6A4B">
        <w:t xml:space="preserve"> radiobalises de l</w:t>
      </w:r>
      <w:r w:rsidR="00DA7357">
        <w:t xml:space="preserve">ocalisation des sinistres </w:t>
      </w:r>
      <w:r w:rsidR="000B6A4B">
        <w:t>par satellite</w:t>
      </w:r>
      <w:r w:rsidR="001B0C25">
        <w:t xml:space="preserve"> </w:t>
      </w:r>
      <w:r w:rsidR="00BC1724">
        <w:t>du</w:t>
      </w:r>
      <w:r w:rsidR="001B0C25">
        <w:t xml:space="preserve"> service mobile par satellite utilisées pour les </w:t>
      </w:r>
      <w:r w:rsidR="008A5C76">
        <w:t>opérations de recherche et de sauvetage,</w:t>
      </w:r>
    </w:p>
    <w:p w14:paraId="656E3DE0" w14:textId="7DF30BB6" w:rsidR="001352ED" w:rsidRPr="00020455" w:rsidRDefault="006273F7" w:rsidP="00993763">
      <w:pPr>
        <w:pStyle w:val="Call"/>
      </w:pPr>
      <w:proofErr w:type="gramStart"/>
      <w:r w:rsidRPr="00020455">
        <w:t>soulignant</w:t>
      </w:r>
      <w:proofErr w:type="gramEnd"/>
    </w:p>
    <w:p w14:paraId="481A344E" w14:textId="36429B85" w:rsidR="006C018D" w:rsidRDefault="002F33B5" w:rsidP="00993763">
      <w:proofErr w:type="gramStart"/>
      <w:r>
        <w:t>que</w:t>
      </w:r>
      <w:proofErr w:type="gramEnd"/>
      <w:r>
        <w:t xml:space="preserve"> les mesures prises par la Fédération de Russie sont en contradiction avec les </w:t>
      </w:r>
      <w:r w:rsidR="006E4A35" w:rsidRPr="00020455">
        <w:t xml:space="preserve">principes fondamentaux </w:t>
      </w:r>
      <w:r w:rsidR="000A365F">
        <w:t>inscrits</w:t>
      </w:r>
      <w:r w:rsidR="006E4A35" w:rsidRPr="00020455">
        <w:t xml:space="preserve"> dans la Constitution, la Convention et les Rè</w:t>
      </w:r>
      <w:r w:rsidR="006E4A35" w:rsidRPr="006E4A35">
        <w:t>glements administratifs de l</w:t>
      </w:r>
      <w:r w:rsidR="006E4A35">
        <w:t>'UIT</w:t>
      </w:r>
      <w:r w:rsidR="00AC6CDA">
        <w:t xml:space="preserve"> </w:t>
      </w:r>
      <w:r w:rsidR="006C018D">
        <w:t>et compromettent la mission de l'Union qui est de promouvoir la connectivité numérique partout dans le monde,</w:t>
      </w:r>
    </w:p>
    <w:p w14:paraId="5C85D0AF" w14:textId="731D33CC" w:rsidR="006C018D" w:rsidRDefault="00A82DA6" w:rsidP="00020455">
      <w:pPr>
        <w:pStyle w:val="Call"/>
      </w:pPr>
      <w:proofErr w:type="gramStart"/>
      <w:r>
        <w:t>rappelle</w:t>
      </w:r>
      <w:proofErr w:type="gramEnd"/>
    </w:p>
    <w:p w14:paraId="665FA85C" w14:textId="3F3DED04" w:rsidR="006E4A35" w:rsidRPr="00020455" w:rsidRDefault="00AC6CDA" w:rsidP="00993763">
      <w:proofErr w:type="gramStart"/>
      <w:r>
        <w:t>le</w:t>
      </w:r>
      <w:proofErr w:type="gramEnd"/>
      <w:r>
        <w:t xml:space="preserve"> droit souverain </w:t>
      </w:r>
      <w:r w:rsidR="00F67383">
        <w:t xml:space="preserve">de chaque </w:t>
      </w:r>
      <w:r w:rsidR="006C018D">
        <w:t>m</w:t>
      </w:r>
      <w:r>
        <w:t xml:space="preserve">embre de l'UIT de réglementer </w:t>
      </w:r>
      <w:r w:rsidR="00EB20D7">
        <w:t>ses</w:t>
      </w:r>
      <w:r>
        <w:t xml:space="preserve"> </w:t>
      </w:r>
      <w:r w:rsidR="00EB20D7">
        <w:t>télécommunications</w:t>
      </w:r>
      <w:r>
        <w:t xml:space="preserve"> </w:t>
      </w:r>
      <w:r w:rsidR="00477924">
        <w:t>à l'intérieur de ses frontières reconnues au niveau international,</w:t>
      </w:r>
    </w:p>
    <w:p w14:paraId="72F1D2C5" w14:textId="7FCDEE0B" w:rsidR="00066B95" w:rsidRPr="005F1B32" w:rsidRDefault="00066B95" w:rsidP="00993763">
      <w:pPr>
        <w:pStyle w:val="Call"/>
      </w:pPr>
      <w:proofErr w:type="gramStart"/>
      <w:r w:rsidRPr="0023465D">
        <w:rPr>
          <w:lang w:val="fr-CH"/>
        </w:rPr>
        <w:t>décide</w:t>
      </w:r>
      <w:proofErr w:type="gramEnd"/>
      <w:r w:rsidRPr="0023465D">
        <w:rPr>
          <w:lang w:val="fr-CH"/>
        </w:rPr>
        <w:t xml:space="preserve"> de charger les Directeurs des trois Bureaux</w:t>
      </w:r>
    </w:p>
    <w:p w14:paraId="569AC8B2" w14:textId="7DB311E1" w:rsidR="000E0E2B" w:rsidRPr="00020455" w:rsidRDefault="001352ED" w:rsidP="00993763">
      <w:r w:rsidRPr="00020455">
        <w:t>1</w:t>
      </w:r>
      <w:r w:rsidRPr="00020455">
        <w:tab/>
      </w:r>
      <w:r w:rsidR="007921B7" w:rsidRPr="00020455">
        <w:t>de soumettre et de présenter</w:t>
      </w:r>
      <w:r w:rsidR="00DB414E">
        <w:t xml:space="preserve"> </w:t>
      </w:r>
      <w:r w:rsidR="007921B7" w:rsidRPr="00020455">
        <w:t xml:space="preserve">des rapports </w:t>
      </w:r>
      <w:r w:rsidR="005733D5">
        <w:t xml:space="preserve">réguliers </w:t>
      </w:r>
      <w:r w:rsidR="007921B7" w:rsidRPr="00020455">
        <w:t xml:space="preserve">détaillés </w:t>
      </w:r>
      <w:r w:rsidR="005733D5">
        <w:t>donnant une évaluation</w:t>
      </w:r>
      <w:r w:rsidR="00534689">
        <w:t xml:space="preserve"> </w:t>
      </w:r>
      <w:r w:rsidR="005733D5">
        <w:t>d</w:t>
      </w:r>
      <w:r w:rsidR="00534689">
        <w:t xml:space="preserve">es besoins </w:t>
      </w:r>
      <w:r w:rsidR="000C7D93">
        <w:t xml:space="preserve">immédiats, à moyen </w:t>
      </w:r>
      <w:r w:rsidR="005733D5">
        <w:t xml:space="preserve">terme </w:t>
      </w:r>
      <w:r w:rsidR="000C7D93">
        <w:t>et</w:t>
      </w:r>
      <w:r w:rsidR="005733D5">
        <w:t xml:space="preserve"> à</w:t>
      </w:r>
      <w:r w:rsidR="000C7D93">
        <w:t xml:space="preserve"> long terme</w:t>
      </w:r>
      <w:r w:rsidR="003F31F1">
        <w:t xml:space="preserve"> de l'Ukraine</w:t>
      </w:r>
      <w:r w:rsidR="005C0BE8">
        <w:t xml:space="preserve"> </w:t>
      </w:r>
      <w:r w:rsidR="005733D5">
        <w:t>en matière</w:t>
      </w:r>
      <w:r w:rsidR="00B905FA">
        <w:t xml:space="preserve"> de</w:t>
      </w:r>
      <w:r w:rsidR="005C0BE8">
        <w:t xml:space="preserve"> reconstruction des TIC, </w:t>
      </w:r>
      <w:r w:rsidR="00C3106A">
        <w:t xml:space="preserve">du fait de l'invasion </w:t>
      </w:r>
      <w:r w:rsidR="00B11E4F">
        <w:t xml:space="preserve">par la Fédération de Russie, aux sessions </w:t>
      </w:r>
      <w:r w:rsidR="004353A2">
        <w:t xml:space="preserve">ultérieures </w:t>
      </w:r>
      <w:r w:rsidR="00B11E4F">
        <w:t xml:space="preserve">du Conseil et </w:t>
      </w:r>
      <w:r w:rsidR="009A5422">
        <w:t>aux</w:t>
      </w:r>
      <w:r w:rsidR="00B11E4F">
        <w:t xml:space="preserve"> futures conférences de l'UIT</w:t>
      </w:r>
      <w:r w:rsidR="00DB2856">
        <w:t xml:space="preserve">, jusqu'à ce que la Fédération de Russie retire </w:t>
      </w:r>
      <w:r w:rsidR="00643646">
        <w:t>toutes</w:t>
      </w:r>
      <w:r w:rsidR="00452C34">
        <w:t xml:space="preserve"> ses</w:t>
      </w:r>
      <w:r w:rsidR="00DB2856">
        <w:t xml:space="preserve"> forces militaires </w:t>
      </w:r>
      <w:r w:rsidR="00DD55E7">
        <w:t xml:space="preserve">du territoire </w:t>
      </w:r>
      <w:r w:rsidR="00933752">
        <w:t>ukrainien</w:t>
      </w:r>
      <w:r w:rsidR="00DD55E7">
        <w:t xml:space="preserve"> à l'intérieur des frontières internationalement reconnues du pays, et jusqu'à </w:t>
      </w:r>
      <w:r w:rsidR="00933752">
        <w:t xml:space="preserve">ce que </w:t>
      </w:r>
      <w:r w:rsidR="00DD55E7">
        <w:t xml:space="preserve">la reconstruction </w:t>
      </w:r>
      <w:r w:rsidR="008454CC">
        <w:t xml:space="preserve">des infrastructures de télécommunication et </w:t>
      </w:r>
      <w:r w:rsidR="000F4ADC">
        <w:t>média</w:t>
      </w:r>
      <w:r w:rsidR="00D01C57">
        <w:t xml:space="preserve"> dans ces zones </w:t>
      </w:r>
      <w:r w:rsidR="00564D9D">
        <w:t xml:space="preserve">soit achevée, et </w:t>
      </w:r>
      <w:r w:rsidR="00FA017F">
        <w:t>de formuler</w:t>
      </w:r>
      <w:r w:rsidR="00564D9D">
        <w:t xml:space="preserve"> des propositions </w:t>
      </w:r>
      <w:r w:rsidR="00FA017F">
        <w:t>visant à fournir une</w:t>
      </w:r>
      <w:r w:rsidR="00564D9D">
        <w:t xml:space="preserve"> assistance technique efficace;</w:t>
      </w:r>
    </w:p>
    <w:p w14:paraId="08FEB4D1" w14:textId="55EB3ABE" w:rsidR="00276CEC" w:rsidRPr="00020455" w:rsidRDefault="001352ED" w:rsidP="00993763">
      <w:pPr>
        <w:rPr>
          <w:rFonts w:asciiTheme="minorHAnsi" w:hAnsiTheme="minorHAnsi" w:cstheme="minorHAnsi"/>
          <w:szCs w:val="24"/>
        </w:rPr>
      </w:pPr>
      <w:r w:rsidRPr="00020455">
        <w:t>2</w:t>
      </w:r>
      <w:r w:rsidRPr="00020455">
        <w:tab/>
      </w:r>
      <w:r w:rsidR="0083144B" w:rsidRPr="00020455">
        <w:rPr>
          <w:rFonts w:asciiTheme="minorHAnsi" w:hAnsiTheme="minorHAnsi" w:cstheme="minorHAnsi"/>
          <w:szCs w:val="24"/>
        </w:rPr>
        <w:t xml:space="preserve">de fournir une assistance et </w:t>
      </w:r>
      <w:r w:rsidR="009E2D51" w:rsidRPr="00020455">
        <w:rPr>
          <w:rFonts w:asciiTheme="minorHAnsi" w:hAnsiTheme="minorHAnsi" w:cstheme="minorHAnsi"/>
          <w:szCs w:val="24"/>
        </w:rPr>
        <w:t>un appui sans réserve à l'Ukraine pour la reconstruction</w:t>
      </w:r>
      <w:r w:rsidR="006E47B8">
        <w:rPr>
          <w:rFonts w:asciiTheme="minorHAnsi" w:hAnsiTheme="minorHAnsi" w:cstheme="minorHAnsi"/>
          <w:szCs w:val="24"/>
        </w:rPr>
        <w:t xml:space="preserve"> </w:t>
      </w:r>
      <w:r w:rsidR="000D0E37">
        <w:rPr>
          <w:rFonts w:asciiTheme="minorHAnsi" w:hAnsiTheme="minorHAnsi" w:cstheme="minorHAnsi"/>
          <w:szCs w:val="24"/>
        </w:rPr>
        <w:t xml:space="preserve">de ses infrastructures de télécommunication et de télévision endommagées ou détruites, </w:t>
      </w:r>
      <w:r w:rsidR="005733D5" w:rsidRPr="00020455">
        <w:rPr>
          <w:rFonts w:asciiTheme="minorHAnsi" w:hAnsiTheme="minorHAnsi" w:cstheme="minorHAnsi"/>
          <w:szCs w:val="24"/>
        </w:rPr>
        <w:t>en apportant un appui pour l</w:t>
      </w:r>
      <w:r w:rsidR="003876E5" w:rsidRPr="005733D5">
        <w:rPr>
          <w:rFonts w:asciiTheme="minorHAnsi" w:hAnsiTheme="minorHAnsi" w:cstheme="minorHAnsi"/>
          <w:szCs w:val="24"/>
        </w:rPr>
        <w:t>es TIC/télécommunications</w:t>
      </w:r>
      <w:r w:rsidR="003876E5">
        <w:rPr>
          <w:rFonts w:asciiTheme="minorHAnsi" w:hAnsiTheme="minorHAnsi" w:cstheme="minorHAnsi"/>
          <w:szCs w:val="24"/>
        </w:rPr>
        <w:t xml:space="preserve">, et </w:t>
      </w:r>
      <w:r w:rsidR="00155DDF">
        <w:rPr>
          <w:rFonts w:asciiTheme="minorHAnsi" w:hAnsiTheme="minorHAnsi" w:cstheme="minorHAnsi"/>
          <w:szCs w:val="24"/>
        </w:rPr>
        <w:t xml:space="preserve">en favorisant </w:t>
      </w:r>
      <w:r w:rsidR="005733D5">
        <w:rPr>
          <w:rFonts w:asciiTheme="minorHAnsi" w:hAnsiTheme="minorHAnsi" w:cstheme="minorHAnsi"/>
          <w:szCs w:val="24"/>
        </w:rPr>
        <w:t>l'adoption</w:t>
      </w:r>
      <w:r w:rsidR="00155DDF">
        <w:rPr>
          <w:rFonts w:asciiTheme="minorHAnsi" w:hAnsiTheme="minorHAnsi" w:cstheme="minorHAnsi"/>
          <w:szCs w:val="24"/>
        </w:rPr>
        <w:t xml:space="preserve"> </w:t>
      </w:r>
      <w:r w:rsidR="005733D5">
        <w:rPr>
          <w:rFonts w:asciiTheme="minorHAnsi" w:hAnsiTheme="minorHAnsi" w:cstheme="minorHAnsi"/>
          <w:szCs w:val="24"/>
        </w:rPr>
        <w:t>d</w:t>
      </w:r>
      <w:r w:rsidR="00155DDF">
        <w:rPr>
          <w:rFonts w:asciiTheme="minorHAnsi" w:hAnsiTheme="minorHAnsi" w:cstheme="minorHAnsi"/>
          <w:szCs w:val="24"/>
        </w:rPr>
        <w:t xml:space="preserve">u numérique pour faciliter </w:t>
      </w:r>
      <w:r w:rsidR="001C6416">
        <w:rPr>
          <w:rFonts w:asciiTheme="minorHAnsi" w:hAnsiTheme="minorHAnsi" w:cstheme="minorHAnsi"/>
          <w:szCs w:val="24"/>
        </w:rPr>
        <w:t xml:space="preserve">le rétablissement et le développement </w:t>
      </w:r>
      <w:proofErr w:type="gramStart"/>
      <w:r w:rsidR="001C6416">
        <w:rPr>
          <w:rFonts w:asciiTheme="minorHAnsi" w:hAnsiTheme="minorHAnsi" w:cstheme="minorHAnsi"/>
          <w:szCs w:val="24"/>
        </w:rPr>
        <w:t>durable;</w:t>
      </w:r>
      <w:proofErr w:type="gramEnd"/>
    </w:p>
    <w:p w14:paraId="38E86955" w14:textId="101D348E" w:rsidR="003A5510" w:rsidRPr="00020455" w:rsidRDefault="001352ED" w:rsidP="00993763">
      <w:r w:rsidRPr="00020455">
        <w:t>3</w:t>
      </w:r>
      <w:r w:rsidRPr="00020455">
        <w:tab/>
      </w:r>
      <w:r w:rsidR="00EE29CC" w:rsidRPr="00020455">
        <w:t>d'examiner et d'emp</w:t>
      </w:r>
      <w:r w:rsidR="00D031DE" w:rsidRPr="00020455">
        <w:t xml:space="preserve">êcher la publication, </w:t>
      </w:r>
      <w:r w:rsidR="00E32EC3" w:rsidRPr="00020455">
        <w:t>dans des documents de l'UIT</w:t>
      </w:r>
      <w:r w:rsidR="00D031DE" w:rsidRPr="00020455">
        <w:t xml:space="preserve">, d'informations </w:t>
      </w:r>
      <w:r w:rsidR="00C541AA" w:rsidRPr="00020455">
        <w:t>soumises par la Fédération de Russie concernant</w:t>
      </w:r>
      <w:r w:rsidR="00E32EC3" w:rsidRPr="00020455">
        <w:t xml:space="preserve"> </w:t>
      </w:r>
      <w:r w:rsidR="005733D5">
        <w:t>l'attribution</w:t>
      </w:r>
      <w:r w:rsidR="00E32EC3" w:rsidRPr="005733D5">
        <w:t xml:space="preserve"> de fréquences ou </w:t>
      </w:r>
      <w:r w:rsidR="00D031DE" w:rsidRPr="00020455">
        <w:t>d'</w:t>
      </w:r>
      <w:r w:rsidR="00440794" w:rsidRPr="005733D5">
        <w:t xml:space="preserve">indicatifs nationaux de destination (NDC) sous l'indicatif de pays </w:t>
      </w:r>
      <w:r w:rsidR="00853220" w:rsidRPr="00020455">
        <w:t xml:space="preserve">"7" de la Fédération de Russie </w:t>
      </w:r>
      <w:r w:rsidR="00C541AA" w:rsidRPr="00020455">
        <w:t>pour</w:t>
      </w:r>
      <w:r w:rsidR="00D031DE" w:rsidRPr="00020455">
        <w:t xml:space="preserve"> les</w:t>
      </w:r>
      <w:r w:rsidR="00074091" w:rsidRPr="005733D5">
        <w:t xml:space="preserve"> territoires </w:t>
      </w:r>
      <w:r w:rsidR="006C018D">
        <w:t xml:space="preserve">qui, en partie, sont ou ont été sous le contrôle militaire </w:t>
      </w:r>
      <w:r w:rsidR="00A82DA6">
        <w:t xml:space="preserve">temporaire </w:t>
      </w:r>
      <w:r w:rsidR="006C018D">
        <w:t xml:space="preserve">de la Fédération de </w:t>
      </w:r>
      <w:proofErr w:type="gramStart"/>
      <w:r w:rsidR="006C018D">
        <w:t>Russie</w:t>
      </w:r>
      <w:r w:rsidR="00313BDB">
        <w:t>;</w:t>
      </w:r>
      <w:proofErr w:type="gramEnd"/>
    </w:p>
    <w:p w14:paraId="7EB7071F" w14:textId="04BEB1B2" w:rsidR="00066B95" w:rsidRPr="0023465D" w:rsidRDefault="001352ED" w:rsidP="00993763">
      <w:pPr>
        <w:rPr>
          <w:rFonts w:cstheme="minorHAnsi"/>
          <w:szCs w:val="24"/>
          <w:lang w:val="fr-CH"/>
        </w:rPr>
      </w:pPr>
      <w:r>
        <w:t>4</w:t>
      </w:r>
      <w:r w:rsidR="00066B95" w:rsidRPr="005F1B32">
        <w:tab/>
      </w:r>
      <w:r w:rsidR="00066B95" w:rsidRPr="0023465D">
        <w:rPr>
          <w:rFonts w:cstheme="minorHAnsi"/>
          <w:szCs w:val="24"/>
          <w:lang w:val="fr-CH"/>
        </w:rPr>
        <w:t xml:space="preserve">de faire en sorte que des ressources financières et des ressources humaines suffisantes soient mobilisées, notamment au titre du budget interne et du Fonds pour le développement des technologies de l'information et de la communication, en vue de la mise en œuvre des actions </w:t>
      </w:r>
      <w:proofErr w:type="gramStart"/>
      <w:r w:rsidR="00066B95" w:rsidRPr="0023465D">
        <w:rPr>
          <w:rFonts w:cstheme="minorHAnsi"/>
          <w:szCs w:val="24"/>
          <w:lang w:val="fr-CH"/>
        </w:rPr>
        <w:t>proposées</w:t>
      </w:r>
      <w:r>
        <w:rPr>
          <w:rFonts w:cstheme="minorHAnsi"/>
          <w:szCs w:val="24"/>
          <w:lang w:val="fr-CH"/>
        </w:rPr>
        <w:t>;</w:t>
      </w:r>
      <w:proofErr w:type="gramEnd"/>
    </w:p>
    <w:p w14:paraId="743C0600" w14:textId="756C424B" w:rsidR="000D49F3" w:rsidRPr="00020455" w:rsidRDefault="001352ED" w:rsidP="00993763">
      <w:r w:rsidRPr="00020455">
        <w:rPr>
          <w:lang w:val="fr-CH"/>
        </w:rPr>
        <w:t>5</w:t>
      </w:r>
      <w:r w:rsidRPr="00020455">
        <w:rPr>
          <w:lang w:val="fr-CH"/>
        </w:rPr>
        <w:tab/>
      </w:r>
      <w:r w:rsidR="000D49F3" w:rsidRPr="00020455">
        <w:t xml:space="preserve">de continuer </w:t>
      </w:r>
      <w:r w:rsidR="00323B7C">
        <w:t>d'employer</w:t>
      </w:r>
      <w:r w:rsidR="00882BCD">
        <w:t xml:space="preserve"> le</w:t>
      </w:r>
      <w:r w:rsidR="000D49F3" w:rsidRPr="00020455">
        <w:t xml:space="preserve"> mécanisme Partner2Connect,</w:t>
      </w:r>
      <w:r w:rsidR="000D49F3">
        <w:t xml:space="preserve"> et</w:t>
      </w:r>
      <w:r w:rsidR="000D49F3" w:rsidRPr="00F1650E">
        <w:t xml:space="preserve"> de recueillir des engagements auprès des parties prenantes,</w:t>
      </w:r>
    </w:p>
    <w:p w14:paraId="4E99381B" w14:textId="3BF54744" w:rsidR="00066B95" w:rsidRPr="005F1B32" w:rsidRDefault="00066B95" w:rsidP="00DB414E">
      <w:pPr>
        <w:pStyle w:val="Call"/>
      </w:pPr>
      <w:proofErr w:type="gramStart"/>
      <w:r w:rsidRPr="0023465D">
        <w:rPr>
          <w:lang w:val="fr-CH"/>
        </w:rPr>
        <w:t>charge</w:t>
      </w:r>
      <w:proofErr w:type="gramEnd"/>
      <w:r w:rsidRPr="0023465D">
        <w:rPr>
          <w:lang w:val="fr-CH"/>
        </w:rPr>
        <w:t xml:space="preserve"> le Secrétaire général</w:t>
      </w:r>
    </w:p>
    <w:p w14:paraId="670A49C9" w14:textId="603464B3" w:rsidR="00066B95" w:rsidRPr="0023465D" w:rsidRDefault="00066B95" w:rsidP="00993763">
      <w:pPr>
        <w:rPr>
          <w:lang w:val="fr-CH"/>
        </w:rPr>
      </w:pPr>
      <w:proofErr w:type="gramStart"/>
      <w:r w:rsidRPr="0023465D">
        <w:rPr>
          <w:lang w:val="fr-CH"/>
        </w:rPr>
        <w:t>de</w:t>
      </w:r>
      <w:proofErr w:type="gramEnd"/>
      <w:r w:rsidRPr="0023465D">
        <w:rPr>
          <w:lang w:val="fr-CH"/>
        </w:rPr>
        <w:t xml:space="preserve"> coordonner les activités menées par les trois Secteurs de l'Union, conformément au décide ci-dessus, de faire en sorte que l'action engagée par l'UIT en faveur de l'Ukraine soit la plus efficace possible,</w:t>
      </w:r>
    </w:p>
    <w:p w14:paraId="10BD8607" w14:textId="77777777" w:rsidR="00066B95" w:rsidRPr="005F1B32" w:rsidRDefault="00066B95" w:rsidP="00DB414E">
      <w:pPr>
        <w:pStyle w:val="Call"/>
      </w:pPr>
      <w:proofErr w:type="gramStart"/>
      <w:r w:rsidRPr="0023465D">
        <w:rPr>
          <w:lang w:val="fr-CH"/>
        </w:rPr>
        <w:lastRenderedPageBreak/>
        <w:t>invite</w:t>
      </w:r>
      <w:proofErr w:type="gramEnd"/>
      <w:r w:rsidRPr="0023465D">
        <w:rPr>
          <w:lang w:val="fr-CH"/>
        </w:rPr>
        <w:t xml:space="preserve"> les États Membres</w:t>
      </w:r>
    </w:p>
    <w:p w14:paraId="7E45369E" w14:textId="5CD085E4" w:rsidR="00F1650E" w:rsidRPr="00020455" w:rsidRDefault="001352ED" w:rsidP="00020455">
      <w:r w:rsidRPr="00020455">
        <w:t>1</w:t>
      </w:r>
      <w:r w:rsidRPr="00020455">
        <w:tab/>
      </w:r>
      <w:r w:rsidR="000B521E">
        <w:t>à</w:t>
      </w:r>
      <w:r w:rsidR="00F1650E" w:rsidRPr="00020455">
        <w:t xml:space="preserve"> fournir un appui au Gouvernement de l'Ukraine</w:t>
      </w:r>
      <w:r w:rsidR="00DB414E">
        <w:t xml:space="preserve"> </w:t>
      </w:r>
      <w:r w:rsidR="005733D5">
        <w:t>au niveau</w:t>
      </w:r>
      <w:r w:rsidR="00F1650E" w:rsidRPr="00020455">
        <w:t xml:space="preserve"> bilatéral ou en coordination avec l'Union, comme indiqué ci-</w:t>
      </w:r>
      <w:proofErr w:type="gramStart"/>
      <w:r w:rsidR="00F1650E" w:rsidRPr="00020455">
        <w:t>dessus;</w:t>
      </w:r>
      <w:proofErr w:type="gramEnd"/>
    </w:p>
    <w:p w14:paraId="2554811D" w14:textId="2DDB15AE" w:rsidR="000B521E" w:rsidRPr="00020455" w:rsidRDefault="001352ED" w:rsidP="00020455">
      <w:r w:rsidRPr="00020455">
        <w:t>2</w:t>
      </w:r>
      <w:r w:rsidRPr="00020455">
        <w:tab/>
      </w:r>
      <w:r w:rsidR="000B521E" w:rsidRPr="00020455">
        <w:t xml:space="preserve">à </w:t>
      </w:r>
      <w:r w:rsidR="00FE7461" w:rsidRPr="00020455">
        <w:t>ré</w:t>
      </w:r>
      <w:r w:rsidR="00186B39">
        <w:t>pondre à l'appel à contribution</w:t>
      </w:r>
      <w:r w:rsidR="00830969">
        <w:t>s</w:t>
      </w:r>
      <w:r w:rsidR="00FE7461" w:rsidRPr="00020455">
        <w:t xml:space="preserve"> lancé au titre de l'Initiative Partner2</w:t>
      </w:r>
      <w:proofErr w:type="gramStart"/>
      <w:r w:rsidR="00FE7461" w:rsidRPr="00020455">
        <w:t>Connect;</w:t>
      </w:r>
      <w:proofErr w:type="gramEnd"/>
    </w:p>
    <w:p w14:paraId="5B90FBA8" w14:textId="3DB70CFD" w:rsidR="00A53864" w:rsidRPr="00020455" w:rsidRDefault="001352ED" w:rsidP="00020455">
      <w:r w:rsidRPr="00020455">
        <w:t>3</w:t>
      </w:r>
      <w:r w:rsidRPr="00020455">
        <w:tab/>
      </w:r>
      <w:r w:rsidR="00A53864" w:rsidRPr="00020455">
        <w:t xml:space="preserve">à apporter une contribution financière au Fonds d'affectation </w:t>
      </w:r>
      <w:proofErr w:type="gramStart"/>
      <w:r w:rsidR="00A53864" w:rsidRPr="00020455">
        <w:t>sp</w:t>
      </w:r>
      <w:r w:rsidR="000B7E1A">
        <w:t>é</w:t>
      </w:r>
      <w:r w:rsidR="00A53864" w:rsidRPr="00020455">
        <w:t>ciale;</w:t>
      </w:r>
      <w:proofErr w:type="gramEnd"/>
    </w:p>
    <w:p w14:paraId="1923813D" w14:textId="70C457B6" w:rsidR="000B7E1A" w:rsidRPr="00020455" w:rsidRDefault="001352ED" w:rsidP="00020455">
      <w:r w:rsidRPr="00020455">
        <w:t>4</w:t>
      </w:r>
      <w:r w:rsidRPr="00020455">
        <w:tab/>
      </w:r>
      <w:r w:rsidR="000B7E1A" w:rsidRPr="00020455">
        <w:t xml:space="preserve">à coopérer </w:t>
      </w:r>
      <w:r w:rsidR="0020741D">
        <w:t>en vue</w:t>
      </w:r>
      <w:r w:rsidR="000B7E1A" w:rsidRPr="00020455">
        <w:t xml:space="preserve"> de la mise en </w:t>
      </w:r>
      <w:r w:rsidR="0053573B" w:rsidRPr="0053573B">
        <w:t>œuvre</w:t>
      </w:r>
      <w:r w:rsidR="000B7E1A" w:rsidRPr="00020455">
        <w:t xml:space="preserve"> des projets </w:t>
      </w:r>
      <w:r w:rsidR="0053573B">
        <w:t>d'infrastructure, afin de reconstruire le secteur des télécommunications de l'Ukraine et d'améliorer la connectivité.</w:t>
      </w:r>
    </w:p>
    <w:p w14:paraId="17606DD9" w14:textId="77777777" w:rsidR="001352ED" w:rsidRPr="00020455" w:rsidRDefault="001352ED" w:rsidP="00993763">
      <w:pPr>
        <w:pStyle w:val="Reasons"/>
      </w:pPr>
    </w:p>
    <w:p w14:paraId="2AC967B8" w14:textId="6C03D5A5" w:rsidR="001352ED" w:rsidRDefault="001352ED" w:rsidP="00993763">
      <w:pPr>
        <w:jc w:val="center"/>
      </w:pPr>
      <w:r>
        <w:t>______________</w:t>
      </w:r>
    </w:p>
    <w:sectPr w:rsidR="001352ED" w:rsidSect="00D72F49">
      <w:headerReference w:type="even" r:id="rId9"/>
      <w:footerReference w:type="even" r:id="rId10"/>
      <w:footerReference w:type="default" r:id="rId11"/>
      <w:headerReference w:type="first" r:id="rId12"/>
      <w:footerReference w:type="first" r:id="rId13"/>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2DD40" w14:textId="77777777" w:rsidR="00486A04" w:rsidRDefault="00486A04">
      <w:r>
        <w:separator/>
      </w:r>
    </w:p>
  </w:endnote>
  <w:endnote w:type="continuationSeparator" w:id="0">
    <w:p w14:paraId="5F6AB1E4" w14:textId="77777777" w:rsidR="00486A04" w:rsidRDefault="0048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2A03" w14:textId="27F64D0D" w:rsidR="00732045" w:rsidRDefault="00020455">
    <w:pPr>
      <w:pStyle w:val="Footer"/>
    </w:pPr>
    <w:r>
      <w:fldChar w:fldCharType="begin"/>
    </w:r>
    <w:r>
      <w:instrText xml:space="preserve"> FILENAME \p \* MERGEFORMAT </w:instrText>
    </w:r>
    <w:r>
      <w:fldChar w:fldCharType="separate"/>
    </w:r>
    <w:r w:rsidR="00811029">
      <w:t>P:\FRA\SG\CONSEIL\C23\000\092REV1F.docx</w:t>
    </w:r>
    <w:r>
      <w:fldChar w:fldCharType="end"/>
    </w:r>
    <w:r w:rsidR="00732045">
      <w:tab/>
    </w:r>
    <w:r w:rsidR="002F1B76">
      <w:fldChar w:fldCharType="begin"/>
    </w:r>
    <w:r w:rsidR="00732045">
      <w:instrText xml:space="preserve"> savedate \@ dd.MM.yy </w:instrText>
    </w:r>
    <w:r w:rsidR="002F1B76">
      <w:fldChar w:fldCharType="separate"/>
    </w:r>
    <w:r>
      <w:t>14.07.23</w:t>
    </w:r>
    <w:r w:rsidR="002F1B76">
      <w:fldChar w:fldCharType="end"/>
    </w:r>
    <w:r w:rsidR="00732045">
      <w:tab/>
    </w:r>
    <w:r w:rsidR="002F1B76">
      <w:fldChar w:fldCharType="begin"/>
    </w:r>
    <w:r w:rsidR="00732045">
      <w:instrText xml:space="preserve"> printdate \@ dd.MM.yy </w:instrText>
    </w:r>
    <w:r w:rsidR="002F1B76">
      <w:fldChar w:fldCharType="separate"/>
    </w:r>
    <w:r w:rsidR="00811029">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028530B" w14:textId="77777777" w:rsidTr="00E31DCE">
      <w:trPr>
        <w:jc w:val="center"/>
      </w:trPr>
      <w:tc>
        <w:tcPr>
          <w:tcW w:w="1803" w:type="dxa"/>
          <w:vAlign w:val="center"/>
        </w:tcPr>
        <w:p w14:paraId="0C4FF983" w14:textId="68F13652" w:rsidR="00A51849" w:rsidRDefault="00A51849" w:rsidP="00A51849">
          <w:pPr>
            <w:pStyle w:val="Header"/>
            <w:jc w:val="left"/>
            <w:rPr>
              <w:noProof/>
            </w:rPr>
          </w:pPr>
          <w:r>
            <w:rPr>
              <w:noProof/>
            </w:rPr>
            <w:t xml:space="preserve">DPS </w:t>
          </w:r>
          <w:r w:rsidR="00C5211C" w:rsidRPr="00C5211C">
            <w:rPr>
              <w:noProof/>
            </w:rPr>
            <w:t>52</w:t>
          </w:r>
          <w:r w:rsidR="00020455">
            <w:rPr>
              <w:noProof/>
            </w:rPr>
            <w:t>6861</w:t>
          </w:r>
        </w:p>
      </w:tc>
      <w:tc>
        <w:tcPr>
          <w:tcW w:w="8261" w:type="dxa"/>
        </w:tcPr>
        <w:p w14:paraId="7323D17B" w14:textId="102FDDB4"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020455">
            <w:rPr>
              <w:bCs/>
            </w:rPr>
            <w:t>122</w:t>
          </w:r>
          <w:r w:rsidRPr="00623AE3">
            <w:rPr>
              <w:bCs/>
            </w:rPr>
            <w:t>-</w:t>
          </w:r>
          <w:r w:rsidR="00973F53">
            <w:rPr>
              <w:bCs/>
            </w:rPr>
            <w:t>F</w:t>
          </w:r>
          <w:r>
            <w:rPr>
              <w:bCs/>
            </w:rPr>
            <w:tab/>
          </w:r>
          <w:r>
            <w:fldChar w:fldCharType="begin"/>
          </w:r>
          <w:r>
            <w:instrText>PAGE</w:instrText>
          </w:r>
          <w:r>
            <w:fldChar w:fldCharType="separate"/>
          </w:r>
          <w:r w:rsidR="00811029">
            <w:rPr>
              <w:noProof/>
            </w:rPr>
            <w:t>5</w:t>
          </w:r>
          <w:r>
            <w:rPr>
              <w:noProof/>
            </w:rPr>
            <w:fldChar w:fldCharType="end"/>
          </w:r>
        </w:p>
      </w:tc>
    </w:tr>
  </w:tbl>
  <w:p w14:paraId="500C3570" w14:textId="7B300FE3" w:rsidR="00EE192C" w:rsidRPr="00A51849" w:rsidRDefault="00EE192C" w:rsidP="00EE192C">
    <w:pPr>
      <w:pStyle w:val="Footer"/>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1CB6C207" w14:textId="77777777" w:rsidTr="00E31DCE">
      <w:trPr>
        <w:jc w:val="center"/>
      </w:trPr>
      <w:tc>
        <w:tcPr>
          <w:tcW w:w="1803" w:type="dxa"/>
          <w:vAlign w:val="center"/>
        </w:tcPr>
        <w:p w14:paraId="626239B1" w14:textId="77777777" w:rsidR="00A51849" w:rsidRDefault="00020455" w:rsidP="00A51849">
          <w:pPr>
            <w:pStyle w:val="Header"/>
            <w:jc w:val="left"/>
            <w:rPr>
              <w:noProof/>
            </w:rPr>
          </w:pPr>
          <w:hyperlink r:id="rId1" w:history="1">
            <w:r w:rsidR="00A51849" w:rsidRPr="00A514A4">
              <w:rPr>
                <w:rStyle w:val="Hyperlink"/>
                <w:szCs w:val="14"/>
              </w:rPr>
              <w:t>www.itu.int/council</w:t>
            </w:r>
          </w:hyperlink>
        </w:p>
      </w:tc>
      <w:tc>
        <w:tcPr>
          <w:tcW w:w="8261" w:type="dxa"/>
        </w:tcPr>
        <w:p w14:paraId="6D4C21BA" w14:textId="2056C775"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020455">
            <w:rPr>
              <w:bCs/>
            </w:rPr>
            <w:t>12</w:t>
          </w:r>
          <w:r w:rsidR="00C5211C">
            <w:rPr>
              <w:bCs/>
            </w:rPr>
            <w:t>2</w:t>
          </w:r>
          <w:r w:rsidRPr="00623AE3">
            <w:rPr>
              <w:bCs/>
            </w:rPr>
            <w:t>-</w:t>
          </w:r>
          <w:r w:rsidR="00D72F49">
            <w:rPr>
              <w:bCs/>
            </w:rPr>
            <w:t>F</w:t>
          </w:r>
          <w:r>
            <w:rPr>
              <w:bCs/>
            </w:rPr>
            <w:tab/>
          </w:r>
          <w:r>
            <w:fldChar w:fldCharType="begin"/>
          </w:r>
          <w:r>
            <w:instrText>PAGE</w:instrText>
          </w:r>
          <w:r>
            <w:fldChar w:fldCharType="separate"/>
          </w:r>
          <w:r w:rsidR="00811029">
            <w:rPr>
              <w:noProof/>
            </w:rPr>
            <w:t>1</w:t>
          </w:r>
          <w:r>
            <w:rPr>
              <w:noProof/>
            </w:rPr>
            <w:fldChar w:fldCharType="end"/>
          </w:r>
        </w:p>
      </w:tc>
    </w:tr>
  </w:tbl>
  <w:p w14:paraId="2A3E37EC" w14:textId="6427D9CD" w:rsidR="00732045" w:rsidRPr="00A51849" w:rsidRDefault="00732045" w:rsidP="00EE192C">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9A5CC" w14:textId="77777777" w:rsidR="00486A04" w:rsidRDefault="00486A04">
      <w:r>
        <w:t>____________________</w:t>
      </w:r>
    </w:p>
  </w:footnote>
  <w:footnote w:type="continuationSeparator" w:id="0">
    <w:p w14:paraId="7B0E6DF4" w14:textId="77777777" w:rsidR="00486A04" w:rsidRDefault="00486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D896"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E57C5E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FF5CF41" w14:textId="77777777" w:rsidTr="00E31DCE">
      <w:trPr>
        <w:trHeight w:val="1104"/>
        <w:jc w:val="center"/>
      </w:trPr>
      <w:tc>
        <w:tcPr>
          <w:tcW w:w="4390" w:type="dxa"/>
          <w:vAlign w:val="center"/>
        </w:tcPr>
        <w:p w14:paraId="67F2D0FF" w14:textId="77777777" w:rsidR="00A51849" w:rsidRPr="009621F8" w:rsidRDefault="00A51849" w:rsidP="00A51849">
          <w:pPr>
            <w:pStyle w:val="Header"/>
            <w:jc w:val="left"/>
            <w:rPr>
              <w:rFonts w:ascii="Arial" w:hAnsi="Arial" w:cs="Arial"/>
              <w:b/>
              <w:bCs/>
              <w:color w:val="009CD6"/>
              <w:sz w:val="36"/>
              <w:szCs w:val="36"/>
            </w:rPr>
          </w:pPr>
          <w:r>
            <w:rPr>
              <w:noProof/>
              <w:lang w:val="en-US"/>
            </w:rPr>
            <w:drawing>
              <wp:inline distT="0" distB="0" distL="0" distR="0" wp14:anchorId="787E8004" wp14:editId="28022173">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948B2AE" w14:textId="77777777" w:rsidR="00A51849" w:rsidRDefault="00A51849" w:rsidP="00A51849">
          <w:pPr>
            <w:pStyle w:val="Header"/>
            <w:jc w:val="right"/>
            <w:rPr>
              <w:rFonts w:ascii="Arial" w:hAnsi="Arial" w:cs="Arial"/>
              <w:b/>
              <w:bCs/>
              <w:color w:val="009CD6"/>
              <w:szCs w:val="18"/>
            </w:rPr>
          </w:pPr>
        </w:p>
        <w:p w14:paraId="24FBBA91" w14:textId="77777777" w:rsidR="00A51849" w:rsidRDefault="00A51849" w:rsidP="00A51849">
          <w:pPr>
            <w:pStyle w:val="Header"/>
            <w:jc w:val="right"/>
            <w:rPr>
              <w:rFonts w:ascii="Arial" w:hAnsi="Arial" w:cs="Arial"/>
              <w:b/>
              <w:bCs/>
              <w:color w:val="009CD6"/>
              <w:szCs w:val="18"/>
            </w:rPr>
          </w:pPr>
        </w:p>
        <w:p w14:paraId="68312218"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541CD6F7" w14:textId="77777777" w:rsidR="00A51849" w:rsidRDefault="00A51849">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74CA0653" wp14:editId="05619E49">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A9F5046"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C3B85"/>
    <w:multiLevelType w:val="hybridMultilevel"/>
    <w:tmpl w:val="27B23642"/>
    <w:lvl w:ilvl="0" w:tplc="100C0001">
      <w:start w:val="1"/>
      <w:numFmt w:val="bullet"/>
      <w:lvlText w:val=""/>
      <w:lvlJc w:val="left"/>
      <w:pPr>
        <w:ind w:left="1287" w:hanging="360"/>
      </w:pPr>
      <w:rPr>
        <w:rFonts w:ascii="Symbol" w:hAnsi="Symbol"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1" w15:restartNumberingAfterBreak="0">
    <w:nsid w:val="78A762D6"/>
    <w:multiLevelType w:val="hybridMultilevel"/>
    <w:tmpl w:val="C622AE0C"/>
    <w:lvl w:ilvl="0" w:tplc="8D2C6F70">
      <w:start w:val="1"/>
      <w:numFmt w:val="lowerLetter"/>
      <w:lvlText w:val="%1)"/>
      <w:lvlJc w:val="left"/>
      <w:pPr>
        <w:ind w:left="720" w:hanging="360"/>
      </w:pPr>
      <w:rPr>
        <w:i/>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20959619">
    <w:abstractNumId w:val="1"/>
  </w:num>
  <w:num w:numId="2" w16cid:durableId="1482964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A04"/>
    <w:rsid w:val="000018E0"/>
    <w:rsid w:val="00001C28"/>
    <w:rsid w:val="00004B21"/>
    <w:rsid w:val="00007040"/>
    <w:rsid w:val="000077E5"/>
    <w:rsid w:val="00020455"/>
    <w:rsid w:val="000221C3"/>
    <w:rsid w:val="000360E7"/>
    <w:rsid w:val="00040486"/>
    <w:rsid w:val="00061A04"/>
    <w:rsid w:val="0006454F"/>
    <w:rsid w:val="00066B95"/>
    <w:rsid w:val="00074091"/>
    <w:rsid w:val="00076A2C"/>
    <w:rsid w:val="00087A18"/>
    <w:rsid w:val="000A365F"/>
    <w:rsid w:val="000B521E"/>
    <w:rsid w:val="000B6A4B"/>
    <w:rsid w:val="000B7E1A"/>
    <w:rsid w:val="000C7D93"/>
    <w:rsid w:val="000D0D0A"/>
    <w:rsid w:val="000D0E37"/>
    <w:rsid w:val="000D49F3"/>
    <w:rsid w:val="000E0E2B"/>
    <w:rsid w:val="000E2170"/>
    <w:rsid w:val="000E63D4"/>
    <w:rsid w:val="000F4ADC"/>
    <w:rsid w:val="00103163"/>
    <w:rsid w:val="00106B19"/>
    <w:rsid w:val="00115D93"/>
    <w:rsid w:val="00117E3A"/>
    <w:rsid w:val="001247A8"/>
    <w:rsid w:val="00126870"/>
    <w:rsid w:val="001352ED"/>
    <w:rsid w:val="001378C0"/>
    <w:rsid w:val="001427E2"/>
    <w:rsid w:val="00151033"/>
    <w:rsid w:val="00155DDF"/>
    <w:rsid w:val="0016625A"/>
    <w:rsid w:val="00172066"/>
    <w:rsid w:val="00172280"/>
    <w:rsid w:val="00181C83"/>
    <w:rsid w:val="00184358"/>
    <w:rsid w:val="0018694A"/>
    <w:rsid w:val="00186B39"/>
    <w:rsid w:val="0018777B"/>
    <w:rsid w:val="00187951"/>
    <w:rsid w:val="001A3287"/>
    <w:rsid w:val="001A6508"/>
    <w:rsid w:val="001B0C25"/>
    <w:rsid w:val="001C6416"/>
    <w:rsid w:val="001D4C31"/>
    <w:rsid w:val="001D7FF4"/>
    <w:rsid w:val="001E2EC1"/>
    <w:rsid w:val="001E4D21"/>
    <w:rsid w:val="001E4D66"/>
    <w:rsid w:val="0020741D"/>
    <w:rsid w:val="00207CD1"/>
    <w:rsid w:val="002122B3"/>
    <w:rsid w:val="0022316F"/>
    <w:rsid w:val="00226657"/>
    <w:rsid w:val="00232FC7"/>
    <w:rsid w:val="00233261"/>
    <w:rsid w:val="00234572"/>
    <w:rsid w:val="00245CA5"/>
    <w:rsid w:val="002477A2"/>
    <w:rsid w:val="00263A51"/>
    <w:rsid w:val="00267E02"/>
    <w:rsid w:val="00276CEC"/>
    <w:rsid w:val="00280C85"/>
    <w:rsid w:val="00295410"/>
    <w:rsid w:val="00295940"/>
    <w:rsid w:val="002A5D44"/>
    <w:rsid w:val="002C3CC7"/>
    <w:rsid w:val="002C4C75"/>
    <w:rsid w:val="002C7F88"/>
    <w:rsid w:val="002D4945"/>
    <w:rsid w:val="002E0BC4"/>
    <w:rsid w:val="002E5D43"/>
    <w:rsid w:val="002F068A"/>
    <w:rsid w:val="002F1B76"/>
    <w:rsid w:val="002F2C14"/>
    <w:rsid w:val="002F33B5"/>
    <w:rsid w:val="003123A8"/>
    <w:rsid w:val="00313BDB"/>
    <w:rsid w:val="0031466D"/>
    <w:rsid w:val="0031597A"/>
    <w:rsid w:val="00323B7C"/>
    <w:rsid w:val="00327673"/>
    <w:rsid w:val="0033568E"/>
    <w:rsid w:val="00343A78"/>
    <w:rsid w:val="00355FF5"/>
    <w:rsid w:val="00361350"/>
    <w:rsid w:val="00367DFA"/>
    <w:rsid w:val="00374689"/>
    <w:rsid w:val="003811D8"/>
    <w:rsid w:val="003823DA"/>
    <w:rsid w:val="00383324"/>
    <w:rsid w:val="003860FF"/>
    <w:rsid w:val="003876E5"/>
    <w:rsid w:val="00391A41"/>
    <w:rsid w:val="003A1D74"/>
    <w:rsid w:val="003A2928"/>
    <w:rsid w:val="003A5510"/>
    <w:rsid w:val="003B39CB"/>
    <w:rsid w:val="003C334E"/>
    <w:rsid w:val="003C3FAE"/>
    <w:rsid w:val="003E4548"/>
    <w:rsid w:val="003F31F1"/>
    <w:rsid w:val="0040323C"/>
    <w:rsid w:val="004038CB"/>
    <w:rsid w:val="0040546F"/>
    <w:rsid w:val="0041163A"/>
    <w:rsid w:val="004140DE"/>
    <w:rsid w:val="00414836"/>
    <w:rsid w:val="0042404A"/>
    <w:rsid w:val="00424637"/>
    <w:rsid w:val="0043126D"/>
    <w:rsid w:val="004353A2"/>
    <w:rsid w:val="00435EB6"/>
    <w:rsid w:val="00440794"/>
    <w:rsid w:val="00442955"/>
    <w:rsid w:val="0044618F"/>
    <w:rsid w:val="0045158B"/>
    <w:rsid w:val="00452C34"/>
    <w:rsid w:val="004542A7"/>
    <w:rsid w:val="0046769A"/>
    <w:rsid w:val="00472094"/>
    <w:rsid w:val="00475FB3"/>
    <w:rsid w:val="00477924"/>
    <w:rsid w:val="00486A04"/>
    <w:rsid w:val="004967CE"/>
    <w:rsid w:val="004C37A9"/>
    <w:rsid w:val="004D1D50"/>
    <w:rsid w:val="004F259E"/>
    <w:rsid w:val="004F63E1"/>
    <w:rsid w:val="0051016F"/>
    <w:rsid w:val="00511F1D"/>
    <w:rsid w:val="00515ACF"/>
    <w:rsid w:val="005203C3"/>
    <w:rsid w:val="00520F36"/>
    <w:rsid w:val="00534689"/>
    <w:rsid w:val="0053573B"/>
    <w:rsid w:val="0054039B"/>
    <w:rsid w:val="00540615"/>
    <w:rsid w:val="005407AD"/>
    <w:rsid w:val="00540A6D"/>
    <w:rsid w:val="00556CA1"/>
    <w:rsid w:val="00564D9D"/>
    <w:rsid w:val="00566CCD"/>
    <w:rsid w:val="00571EEA"/>
    <w:rsid w:val="005733D5"/>
    <w:rsid w:val="00575417"/>
    <w:rsid w:val="005768E1"/>
    <w:rsid w:val="005834CB"/>
    <w:rsid w:val="00584417"/>
    <w:rsid w:val="00593D44"/>
    <w:rsid w:val="005A37D3"/>
    <w:rsid w:val="005B1938"/>
    <w:rsid w:val="005B225D"/>
    <w:rsid w:val="005B42E2"/>
    <w:rsid w:val="005C0BE8"/>
    <w:rsid w:val="005C18AA"/>
    <w:rsid w:val="005C3890"/>
    <w:rsid w:val="005C77EC"/>
    <w:rsid w:val="005D60C3"/>
    <w:rsid w:val="005E1015"/>
    <w:rsid w:val="005F6960"/>
    <w:rsid w:val="005F7BFE"/>
    <w:rsid w:val="00600017"/>
    <w:rsid w:val="0061303C"/>
    <w:rsid w:val="006235CA"/>
    <w:rsid w:val="006273F7"/>
    <w:rsid w:val="00630EC5"/>
    <w:rsid w:val="00643646"/>
    <w:rsid w:val="006643AB"/>
    <w:rsid w:val="00667FD9"/>
    <w:rsid w:val="00690B69"/>
    <w:rsid w:val="006A3FB3"/>
    <w:rsid w:val="006B03C7"/>
    <w:rsid w:val="006B14CD"/>
    <w:rsid w:val="006B3079"/>
    <w:rsid w:val="006C018D"/>
    <w:rsid w:val="006D06E7"/>
    <w:rsid w:val="006D366B"/>
    <w:rsid w:val="006E3401"/>
    <w:rsid w:val="006E47B8"/>
    <w:rsid w:val="006E4A35"/>
    <w:rsid w:val="006E566B"/>
    <w:rsid w:val="006F0A53"/>
    <w:rsid w:val="006F122F"/>
    <w:rsid w:val="006F2857"/>
    <w:rsid w:val="006F59B5"/>
    <w:rsid w:val="00700E25"/>
    <w:rsid w:val="00714392"/>
    <w:rsid w:val="00714C8D"/>
    <w:rsid w:val="007210CD"/>
    <w:rsid w:val="00732045"/>
    <w:rsid w:val="007369DB"/>
    <w:rsid w:val="00737BDC"/>
    <w:rsid w:val="007464DB"/>
    <w:rsid w:val="007514E3"/>
    <w:rsid w:val="0075165B"/>
    <w:rsid w:val="00752538"/>
    <w:rsid w:val="00752972"/>
    <w:rsid w:val="00752EAE"/>
    <w:rsid w:val="00756E7B"/>
    <w:rsid w:val="00770F66"/>
    <w:rsid w:val="00777D0B"/>
    <w:rsid w:val="00785FE6"/>
    <w:rsid w:val="007921B7"/>
    <w:rsid w:val="00795292"/>
    <w:rsid w:val="007956C2"/>
    <w:rsid w:val="007A187E"/>
    <w:rsid w:val="007C72C2"/>
    <w:rsid w:val="007D4436"/>
    <w:rsid w:val="007E2AD1"/>
    <w:rsid w:val="007E2EED"/>
    <w:rsid w:val="007E62E0"/>
    <w:rsid w:val="007F257A"/>
    <w:rsid w:val="007F3665"/>
    <w:rsid w:val="00800037"/>
    <w:rsid w:val="0080074A"/>
    <w:rsid w:val="00805885"/>
    <w:rsid w:val="00811029"/>
    <w:rsid w:val="00813113"/>
    <w:rsid w:val="00821CD9"/>
    <w:rsid w:val="00830969"/>
    <w:rsid w:val="00830F6D"/>
    <w:rsid w:val="0083144B"/>
    <w:rsid w:val="0083391C"/>
    <w:rsid w:val="008404F3"/>
    <w:rsid w:val="00844B11"/>
    <w:rsid w:val="008454CC"/>
    <w:rsid w:val="00850CC5"/>
    <w:rsid w:val="00853220"/>
    <w:rsid w:val="00861D73"/>
    <w:rsid w:val="00877532"/>
    <w:rsid w:val="00882BCD"/>
    <w:rsid w:val="0088760B"/>
    <w:rsid w:val="00893959"/>
    <w:rsid w:val="00897553"/>
    <w:rsid w:val="008A2FB3"/>
    <w:rsid w:val="008A4E87"/>
    <w:rsid w:val="008A5C76"/>
    <w:rsid w:val="008A6696"/>
    <w:rsid w:val="008C71A6"/>
    <w:rsid w:val="008D76E6"/>
    <w:rsid w:val="0092377F"/>
    <w:rsid w:val="0092392D"/>
    <w:rsid w:val="0093234A"/>
    <w:rsid w:val="00933752"/>
    <w:rsid w:val="00933D2E"/>
    <w:rsid w:val="00936235"/>
    <w:rsid w:val="00941F06"/>
    <w:rsid w:val="009461C5"/>
    <w:rsid w:val="009479CF"/>
    <w:rsid w:val="00951DCC"/>
    <w:rsid w:val="00953D9E"/>
    <w:rsid w:val="00956A78"/>
    <w:rsid w:val="00963389"/>
    <w:rsid w:val="0097363B"/>
    <w:rsid w:val="00973F53"/>
    <w:rsid w:val="00975922"/>
    <w:rsid w:val="00987285"/>
    <w:rsid w:val="00993763"/>
    <w:rsid w:val="009A5278"/>
    <w:rsid w:val="009A5422"/>
    <w:rsid w:val="009B03DB"/>
    <w:rsid w:val="009B3040"/>
    <w:rsid w:val="009C307F"/>
    <w:rsid w:val="009C353C"/>
    <w:rsid w:val="009C3A85"/>
    <w:rsid w:val="009C554C"/>
    <w:rsid w:val="009D390E"/>
    <w:rsid w:val="009D4A13"/>
    <w:rsid w:val="009E2D51"/>
    <w:rsid w:val="009F443D"/>
    <w:rsid w:val="00A0672C"/>
    <w:rsid w:val="00A13C0A"/>
    <w:rsid w:val="00A2113E"/>
    <w:rsid w:val="00A23A51"/>
    <w:rsid w:val="00A24607"/>
    <w:rsid w:val="00A25CD3"/>
    <w:rsid w:val="00A31504"/>
    <w:rsid w:val="00A51849"/>
    <w:rsid w:val="00A51920"/>
    <w:rsid w:val="00A52E69"/>
    <w:rsid w:val="00A53864"/>
    <w:rsid w:val="00A5463A"/>
    <w:rsid w:val="00A709FE"/>
    <w:rsid w:val="00A73C60"/>
    <w:rsid w:val="00A74326"/>
    <w:rsid w:val="00A744CA"/>
    <w:rsid w:val="00A764B7"/>
    <w:rsid w:val="00A82767"/>
    <w:rsid w:val="00A82DA6"/>
    <w:rsid w:val="00A909FA"/>
    <w:rsid w:val="00A90C52"/>
    <w:rsid w:val="00AA332F"/>
    <w:rsid w:val="00AA47D7"/>
    <w:rsid w:val="00AA7BBB"/>
    <w:rsid w:val="00AB64A8"/>
    <w:rsid w:val="00AC0266"/>
    <w:rsid w:val="00AC58B7"/>
    <w:rsid w:val="00AC6CDA"/>
    <w:rsid w:val="00AD24EC"/>
    <w:rsid w:val="00AD5E58"/>
    <w:rsid w:val="00AF547E"/>
    <w:rsid w:val="00AF7C6B"/>
    <w:rsid w:val="00B00AF5"/>
    <w:rsid w:val="00B11E4F"/>
    <w:rsid w:val="00B1317D"/>
    <w:rsid w:val="00B17C5E"/>
    <w:rsid w:val="00B270D5"/>
    <w:rsid w:val="00B309F9"/>
    <w:rsid w:val="00B32B60"/>
    <w:rsid w:val="00B47F0A"/>
    <w:rsid w:val="00B51746"/>
    <w:rsid w:val="00B61323"/>
    <w:rsid w:val="00B61619"/>
    <w:rsid w:val="00B61C68"/>
    <w:rsid w:val="00B770B9"/>
    <w:rsid w:val="00B7772F"/>
    <w:rsid w:val="00B80690"/>
    <w:rsid w:val="00B85D44"/>
    <w:rsid w:val="00B905FA"/>
    <w:rsid w:val="00B924CF"/>
    <w:rsid w:val="00BB4545"/>
    <w:rsid w:val="00BC1724"/>
    <w:rsid w:val="00BC7CFE"/>
    <w:rsid w:val="00BD5873"/>
    <w:rsid w:val="00BD5ECD"/>
    <w:rsid w:val="00BD6053"/>
    <w:rsid w:val="00BE2134"/>
    <w:rsid w:val="00C0401A"/>
    <w:rsid w:val="00C04BE3"/>
    <w:rsid w:val="00C1547B"/>
    <w:rsid w:val="00C25D29"/>
    <w:rsid w:val="00C27A7C"/>
    <w:rsid w:val="00C3106A"/>
    <w:rsid w:val="00C5211C"/>
    <w:rsid w:val="00C53028"/>
    <w:rsid w:val="00C541AA"/>
    <w:rsid w:val="00C606BB"/>
    <w:rsid w:val="00C735CD"/>
    <w:rsid w:val="00C9740D"/>
    <w:rsid w:val="00CA08ED"/>
    <w:rsid w:val="00CA33DE"/>
    <w:rsid w:val="00CA41B8"/>
    <w:rsid w:val="00CA79BC"/>
    <w:rsid w:val="00CB1B6B"/>
    <w:rsid w:val="00CB4169"/>
    <w:rsid w:val="00CC09AD"/>
    <w:rsid w:val="00CC1706"/>
    <w:rsid w:val="00CD09FB"/>
    <w:rsid w:val="00CE593D"/>
    <w:rsid w:val="00CF183B"/>
    <w:rsid w:val="00CF3985"/>
    <w:rsid w:val="00D01C57"/>
    <w:rsid w:val="00D031DE"/>
    <w:rsid w:val="00D056BA"/>
    <w:rsid w:val="00D22082"/>
    <w:rsid w:val="00D3224C"/>
    <w:rsid w:val="00D32DC7"/>
    <w:rsid w:val="00D375CD"/>
    <w:rsid w:val="00D44EE5"/>
    <w:rsid w:val="00D47642"/>
    <w:rsid w:val="00D553A2"/>
    <w:rsid w:val="00D72F49"/>
    <w:rsid w:val="00D75BC5"/>
    <w:rsid w:val="00D774D3"/>
    <w:rsid w:val="00D81DF5"/>
    <w:rsid w:val="00D863B6"/>
    <w:rsid w:val="00D904E8"/>
    <w:rsid w:val="00D906AA"/>
    <w:rsid w:val="00D90EE4"/>
    <w:rsid w:val="00DA08C3"/>
    <w:rsid w:val="00DA2199"/>
    <w:rsid w:val="00DA5C85"/>
    <w:rsid w:val="00DA7357"/>
    <w:rsid w:val="00DB044C"/>
    <w:rsid w:val="00DB2856"/>
    <w:rsid w:val="00DB414E"/>
    <w:rsid w:val="00DB4B93"/>
    <w:rsid w:val="00DB5A3E"/>
    <w:rsid w:val="00DC18BD"/>
    <w:rsid w:val="00DC22AA"/>
    <w:rsid w:val="00DC2520"/>
    <w:rsid w:val="00DD55E7"/>
    <w:rsid w:val="00DE3AFA"/>
    <w:rsid w:val="00DE52B0"/>
    <w:rsid w:val="00DF0196"/>
    <w:rsid w:val="00DF74DD"/>
    <w:rsid w:val="00E0093C"/>
    <w:rsid w:val="00E02FDF"/>
    <w:rsid w:val="00E058BF"/>
    <w:rsid w:val="00E22635"/>
    <w:rsid w:val="00E25AD0"/>
    <w:rsid w:val="00E32EC3"/>
    <w:rsid w:val="00E42DD4"/>
    <w:rsid w:val="00E446F2"/>
    <w:rsid w:val="00E44A7A"/>
    <w:rsid w:val="00E47091"/>
    <w:rsid w:val="00E605CA"/>
    <w:rsid w:val="00E62848"/>
    <w:rsid w:val="00E712C0"/>
    <w:rsid w:val="00E82A37"/>
    <w:rsid w:val="00E93668"/>
    <w:rsid w:val="00E95972"/>
    <w:rsid w:val="00EB20D7"/>
    <w:rsid w:val="00EB2CA2"/>
    <w:rsid w:val="00EB6350"/>
    <w:rsid w:val="00EC3308"/>
    <w:rsid w:val="00EE192C"/>
    <w:rsid w:val="00EE29CC"/>
    <w:rsid w:val="00EE4766"/>
    <w:rsid w:val="00EF2CB4"/>
    <w:rsid w:val="00EF52D9"/>
    <w:rsid w:val="00F01614"/>
    <w:rsid w:val="00F07FFE"/>
    <w:rsid w:val="00F15B57"/>
    <w:rsid w:val="00F1635E"/>
    <w:rsid w:val="00F1650E"/>
    <w:rsid w:val="00F20048"/>
    <w:rsid w:val="00F35C7A"/>
    <w:rsid w:val="00F35EF4"/>
    <w:rsid w:val="00F427DB"/>
    <w:rsid w:val="00F50048"/>
    <w:rsid w:val="00F53C23"/>
    <w:rsid w:val="00F67383"/>
    <w:rsid w:val="00F70AE5"/>
    <w:rsid w:val="00F7759B"/>
    <w:rsid w:val="00F84674"/>
    <w:rsid w:val="00FA017F"/>
    <w:rsid w:val="00FA43A8"/>
    <w:rsid w:val="00FA5EB1"/>
    <w:rsid w:val="00FA7439"/>
    <w:rsid w:val="00FC4EC0"/>
    <w:rsid w:val="00FE7461"/>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7672D"/>
  <w15:docId w15:val="{A1679E74-E8CF-4390-A17C-C819C4E9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link w:val="ResNoChar"/>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5211C"/>
    <w:rPr>
      <w:color w:val="605E5C"/>
      <w:shd w:val="clear" w:color="auto" w:fill="E1DFDD"/>
    </w:rPr>
  </w:style>
  <w:style w:type="character" w:customStyle="1" w:styleId="ResNoChar">
    <w:name w:val="Res_No Char"/>
    <w:basedOn w:val="DefaultParagraphFont"/>
    <w:link w:val="ResNo"/>
    <w:locked/>
    <w:rsid w:val="00066B95"/>
    <w:rPr>
      <w:rFonts w:ascii="Calibri" w:hAnsi="Calibri"/>
      <w:caps/>
      <w:sz w:val="28"/>
      <w:lang w:val="fr-FR" w:eastAsia="en-US"/>
    </w:rPr>
  </w:style>
  <w:style w:type="character" w:customStyle="1" w:styleId="RestitleChar">
    <w:name w:val="Res_title Char"/>
    <w:basedOn w:val="DefaultParagraphFont"/>
    <w:link w:val="Restitle"/>
    <w:rsid w:val="00066B95"/>
    <w:rPr>
      <w:rFonts w:ascii="Calibri" w:hAnsi="Calibri"/>
      <w:b/>
      <w:sz w:val="28"/>
      <w:lang w:val="fr-FR" w:eastAsia="en-US"/>
    </w:rPr>
  </w:style>
  <w:style w:type="character" w:customStyle="1" w:styleId="NormalaftertitleChar">
    <w:name w:val="Normal after title Char"/>
    <w:link w:val="Normalaftertitle"/>
    <w:locked/>
    <w:rsid w:val="00066B95"/>
    <w:rPr>
      <w:rFonts w:ascii="Calibri" w:hAnsi="Calibri"/>
      <w:sz w:val="24"/>
      <w:lang w:val="fr-FR" w:eastAsia="en-US"/>
    </w:rPr>
  </w:style>
  <w:style w:type="character" w:customStyle="1" w:styleId="CallChar">
    <w:name w:val="Call Char"/>
    <w:basedOn w:val="DefaultParagraphFont"/>
    <w:link w:val="Call"/>
    <w:rsid w:val="00066B95"/>
    <w:rPr>
      <w:rFonts w:ascii="Calibri" w:hAnsi="Calibri"/>
      <w:i/>
      <w:sz w:val="24"/>
      <w:lang w:val="fr-FR" w:eastAsia="en-US"/>
    </w:rPr>
  </w:style>
  <w:style w:type="paragraph" w:styleId="Revision">
    <w:name w:val="Revision"/>
    <w:hidden/>
    <w:uiPriority w:val="99"/>
    <w:semiHidden/>
    <w:rsid w:val="00066B95"/>
    <w:rPr>
      <w:rFonts w:ascii="Calibri" w:hAnsi="Calibri"/>
      <w:sz w:val="24"/>
      <w:lang w:val="fr-FR" w:eastAsia="en-US"/>
    </w:rPr>
  </w:style>
  <w:style w:type="paragraph" w:styleId="ListParagraph">
    <w:name w:val="List Paragraph"/>
    <w:basedOn w:val="Normal"/>
    <w:uiPriority w:val="34"/>
    <w:qFormat/>
    <w:rsid w:val="001352ED"/>
    <w:pPr>
      <w:ind w:left="720"/>
      <w:contextualSpacing/>
    </w:pPr>
    <w:rPr>
      <w:rFonts w:eastAsia="SimSun"/>
      <w:lang w:val="en-GB"/>
    </w:rPr>
  </w:style>
  <w:style w:type="character" w:styleId="CommentReference">
    <w:name w:val="annotation reference"/>
    <w:basedOn w:val="DefaultParagraphFont"/>
    <w:semiHidden/>
    <w:unhideWhenUsed/>
    <w:rsid w:val="00A5463A"/>
    <w:rPr>
      <w:sz w:val="16"/>
      <w:szCs w:val="16"/>
    </w:rPr>
  </w:style>
  <w:style w:type="paragraph" w:styleId="CommentText">
    <w:name w:val="annotation text"/>
    <w:basedOn w:val="Normal"/>
    <w:link w:val="CommentTextChar"/>
    <w:unhideWhenUsed/>
    <w:rsid w:val="00A5463A"/>
    <w:rPr>
      <w:sz w:val="20"/>
    </w:rPr>
  </w:style>
  <w:style w:type="character" w:customStyle="1" w:styleId="CommentTextChar">
    <w:name w:val="Comment Text Char"/>
    <w:basedOn w:val="DefaultParagraphFont"/>
    <w:link w:val="CommentText"/>
    <w:rsid w:val="00A5463A"/>
    <w:rPr>
      <w:rFonts w:ascii="Calibri" w:hAnsi="Calibri"/>
      <w:lang w:val="fr-FR" w:eastAsia="en-US"/>
    </w:rPr>
  </w:style>
  <w:style w:type="paragraph" w:styleId="CommentSubject">
    <w:name w:val="annotation subject"/>
    <w:basedOn w:val="CommentText"/>
    <w:next w:val="CommentText"/>
    <w:link w:val="CommentSubjectChar"/>
    <w:semiHidden/>
    <w:unhideWhenUsed/>
    <w:rsid w:val="00A5463A"/>
    <w:rPr>
      <w:b/>
      <w:bCs/>
    </w:rPr>
  </w:style>
  <w:style w:type="character" w:customStyle="1" w:styleId="CommentSubjectChar">
    <w:name w:val="Comment Subject Char"/>
    <w:basedOn w:val="CommentTextChar"/>
    <w:link w:val="CommentSubject"/>
    <w:semiHidden/>
    <w:rsid w:val="00A5463A"/>
    <w:rPr>
      <w:rFonts w:ascii="Calibri" w:hAnsi="Calibri"/>
      <w:b/>
      <w:bCs/>
      <w:lang w:val="fr-FR" w:eastAsia="en-US"/>
    </w:rPr>
  </w:style>
  <w:style w:type="paragraph" w:styleId="BalloonText">
    <w:name w:val="Balloon Text"/>
    <w:basedOn w:val="Normal"/>
    <w:link w:val="BalloonTextChar"/>
    <w:semiHidden/>
    <w:unhideWhenUsed/>
    <w:rsid w:val="00A5463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5463A"/>
    <w:rPr>
      <w:rFonts w:ascii="Segoe UI" w:hAnsi="Segoe UI" w:cs="Segoe UI"/>
      <w:sz w:val="18"/>
      <w:szCs w:val="18"/>
      <w:lang w:val="fr-FR" w:eastAsia="en-US"/>
    </w:rPr>
  </w:style>
  <w:style w:type="character" w:styleId="UnresolvedMention">
    <w:name w:val="Unresolved Mention"/>
    <w:basedOn w:val="DefaultParagraphFont"/>
    <w:uiPriority w:val="99"/>
    <w:semiHidden/>
    <w:unhideWhenUsed/>
    <w:rsid w:val="00020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gitallibrary.un.org/record/3965290?ln=es"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igitallibrary.un.org/record/3965290?ln=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1214</Words>
  <Characters>7251</Characters>
  <Application>Microsoft Office Word</Application>
  <DocSecurity>0</DocSecurity>
  <Lines>219</Lines>
  <Paragraphs>151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8314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1408 (MODIFIÉE EN 2023) - Assistance et appui à l'Ukraine pour la reconstruction de son secteur des télécommunications</dc:title>
  <dc:subject>Conseil 2023</dc:subject>
  <dc:creator>Brouard, Ricarda</dc:creator>
  <cp:keywords>C2023, C23, Council-23</cp:keywords>
  <dc:description/>
  <cp:lastModifiedBy>Xue, Kun</cp:lastModifiedBy>
  <cp:revision>2</cp:revision>
  <cp:lastPrinted>2000-07-18T08:55:00Z</cp:lastPrinted>
  <dcterms:created xsi:type="dcterms:W3CDTF">2023-08-22T14:21:00Z</dcterms:created>
  <dcterms:modified xsi:type="dcterms:W3CDTF">2023-08-22T14:21:00Z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