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919CC" w14:paraId="1591300A" w14:textId="77777777" w:rsidTr="00AD3606">
        <w:trPr>
          <w:cantSplit/>
          <w:trHeight w:val="23"/>
        </w:trPr>
        <w:tc>
          <w:tcPr>
            <w:tcW w:w="3969" w:type="dxa"/>
            <w:vMerge w:val="restart"/>
            <w:tcMar>
              <w:left w:w="0" w:type="dxa"/>
            </w:tcMar>
          </w:tcPr>
          <w:p w14:paraId="4F2DE73B" w14:textId="7934BA9D"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06966071" w:rsidR="00AD3606" w:rsidRPr="00067A30" w:rsidRDefault="00AD3606" w:rsidP="00472BAD">
            <w:pPr>
              <w:tabs>
                <w:tab w:val="left" w:pos="851"/>
              </w:tabs>
              <w:spacing w:before="0" w:line="240" w:lineRule="atLeast"/>
              <w:jc w:val="right"/>
              <w:rPr>
                <w:b/>
              </w:rPr>
            </w:pPr>
            <w:r w:rsidRPr="00067A30">
              <w:rPr>
                <w:b/>
              </w:rPr>
              <w:t>Document C23/</w:t>
            </w:r>
            <w:r w:rsidR="00D20CAC">
              <w:rPr>
                <w:b/>
              </w:rPr>
              <w:t>122</w:t>
            </w:r>
            <w:r w:rsidRPr="00067A30">
              <w:rPr>
                <w:b/>
              </w:rPr>
              <w:t>-E</w:t>
            </w:r>
          </w:p>
        </w:tc>
      </w:tr>
      <w:tr w:rsidR="00AD3606" w:rsidRPr="00813E5E" w14:paraId="777833CB" w14:textId="77777777" w:rsidTr="00AD3606">
        <w:trPr>
          <w:cantSplit/>
        </w:trPr>
        <w:tc>
          <w:tcPr>
            <w:tcW w:w="3969" w:type="dxa"/>
            <w:vMerge/>
          </w:tcPr>
          <w:p w14:paraId="7DECAB6C" w14:textId="77777777" w:rsidR="00AD3606" w:rsidRPr="004919CC"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2FB6CA00" w:rsidR="00AD3606" w:rsidRPr="00067A30" w:rsidRDefault="00D20CAC" w:rsidP="00AD3606">
            <w:pPr>
              <w:tabs>
                <w:tab w:val="left" w:pos="851"/>
              </w:tabs>
              <w:spacing w:before="0"/>
              <w:jc w:val="right"/>
              <w:rPr>
                <w:b/>
              </w:rPr>
            </w:pPr>
            <w:r>
              <w:rPr>
                <w:b/>
              </w:rPr>
              <w:t>4 August</w:t>
            </w:r>
            <w:r w:rsidR="00AD3606" w:rsidRPr="00067A30">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0EC664DB" w:rsidR="00AD3606" w:rsidRPr="00067A30" w:rsidRDefault="00AD3606" w:rsidP="00AD3606">
            <w:pPr>
              <w:tabs>
                <w:tab w:val="left" w:pos="851"/>
              </w:tabs>
              <w:spacing w:before="0" w:line="240" w:lineRule="atLeast"/>
              <w:jc w:val="right"/>
              <w:rPr>
                <w:b/>
              </w:rPr>
            </w:pPr>
            <w:r w:rsidRPr="00067A30">
              <w:rPr>
                <w:b/>
              </w:rPr>
              <w:t xml:space="preserve">Original: </w:t>
            </w:r>
            <w:r w:rsidR="0036714E" w:rsidRPr="00067A30">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Pr="00067A30"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3D5464C2" w:rsidR="00AD3606" w:rsidRPr="008440E9" w:rsidRDefault="00AD3606" w:rsidP="00D20CAC">
            <w:pPr>
              <w:pStyle w:val="Source"/>
              <w:framePr w:hSpace="0" w:wrap="auto" w:vAnchor="margin" w:hAnchor="text" w:xAlign="left" w:yAlign="inline"/>
            </w:pPr>
            <w:bookmarkStart w:id="4" w:name="dsource" w:colFirst="0" w:colLast="0"/>
            <w:bookmarkEnd w:id="3"/>
          </w:p>
        </w:tc>
      </w:tr>
    </w:tbl>
    <w:bookmarkEnd w:id="4"/>
    <w:p w14:paraId="722A9AD2" w14:textId="634C30BC" w:rsidR="00606D36" w:rsidRDefault="00606D36" w:rsidP="00D20CAC">
      <w:pPr>
        <w:pStyle w:val="ResNo"/>
      </w:pPr>
      <w:r w:rsidRPr="00B3096A">
        <w:t xml:space="preserve">RESOLUTION </w:t>
      </w:r>
      <w:r>
        <w:t>1408</w:t>
      </w:r>
      <w:r w:rsidR="00D20CAC">
        <w:t xml:space="preserve"> (Modified 2023)</w:t>
      </w:r>
    </w:p>
    <w:p w14:paraId="07E45BE9" w14:textId="122ED73C" w:rsidR="00D20CAC" w:rsidRPr="00D20CAC" w:rsidRDefault="00D20CAC" w:rsidP="00D20CAC">
      <w:pPr>
        <w:pStyle w:val="Restitle"/>
        <w:spacing w:before="120" w:after="0"/>
        <w:rPr>
          <w:b w:val="0"/>
          <w:bCs/>
          <w:sz w:val="24"/>
          <w:szCs w:val="24"/>
        </w:rPr>
      </w:pPr>
      <w:r w:rsidRPr="00D20CAC">
        <w:rPr>
          <w:b w:val="0"/>
          <w:bCs/>
          <w:sz w:val="24"/>
          <w:szCs w:val="24"/>
        </w:rPr>
        <w:t>(</w:t>
      </w:r>
      <w:proofErr w:type="gramStart"/>
      <w:r w:rsidRPr="00D20CAC">
        <w:rPr>
          <w:b w:val="0"/>
          <w:bCs/>
          <w:sz w:val="24"/>
          <w:szCs w:val="24"/>
        </w:rPr>
        <w:t>adopted</w:t>
      </w:r>
      <w:proofErr w:type="gramEnd"/>
      <w:r w:rsidRPr="00D20CAC">
        <w:rPr>
          <w:b w:val="0"/>
          <w:bCs/>
          <w:sz w:val="24"/>
          <w:szCs w:val="24"/>
        </w:rPr>
        <w:t xml:space="preserve"> at the </w:t>
      </w:r>
      <w:r>
        <w:rPr>
          <w:b w:val="0"/>
          <w:bCs/>
          <w:sz w:val="24"/>
          <w:szCs w:val="24"/>
        </w:rPr>
        <w:t>third</w:t>
      </w:r>
      <w:r w:rsidRPr="00D20CAC">
        <w:rPr>
          <w:b w:val="0"/>
          <w:bCs/>
          <w:sz w:val="24"/>
          <w:szCs w:val="24"/>
        </w:rPr>
        <w:t xml:space="preserve"> Plenary meeting)</w:t>
      </w:r>
    </w:p>
    <w:p w14:paraId="11DD2E48" w14:textId="77777777" w:rsidR="00606D36" w:rsidRDefault="00606D36" w:rsidP="00D20CAC">
      <w:pPr>
        <w:pStyle w:val="Restitle"/>
      </w:pPr>
      <w:r w:rsidRPr="009E77D5">
        <w:t xml:space="preserve">Assistance and support to Ukraine for rebuilding their </w:t>
      </w:r>
      <w:r w:rsidRPr="009E77D5">
        <w:br/>
        <w:t xml:space="preserve">telecommunication </w:t>
      </w:r>
      <w:proofErr w:type="gramStart"/>
      <w:r w:rsidRPr="009E77D5">
        <w:t>sector</w:t>
      </w:r>
      <w:proofErr w:type="gramEnd"/>
    </w:p>
    <w:p w14:paraId="6D45398D" w14:textId="77777777" w:rsidR="00606D36" w:rsidRPr="00087E76" w:rsidRDefault="00606D36" w:rsidP="00D20CAC">
      <w:pPr>
        <w:pStyle w:val="Normalaftertitle"/>
        <w:rPr>
          <w:rFonts w:asciiTheme="minorHAnsi" w:hAnsiTheme="minorHAnsi" w:cstheme="minorHAnsi"/>
        </w:rPr>
      </w:pPr>
      <w:r w:rsidRPr="00087E76">
        <w:rPr>
          <w:rFonts w:asciiTheme="minorHAnsi" w:hAnsiTheme="minorHAnsi" w:cstheme="minorHAnsi"/>
        </w:rPr>
        <w:t>The ITU Council,</w:t>
      </w:r>
    </w:p>
    <w:p w14:paraId="13BDB54F" w14:textId="2A03DE2F" w:rsidR="00606D36" w:rsidRPr="00D20CAC" w:rsidRDefault="00606D36" w:rsidP="00D20CAC">
      <w:pPr>
        <w:pStyle w:val="Call"/>
      </w:pPr>
      <w:r w:rsidRPr="00D20CAC">
        <w:t>recalling</w:t>
      </w:r>
    </w:p>
    <w:p w14:paraId="6FE15E81" w14:textId="0DB14AEC" w:rsidR="00606D36" w:rsidRPr="00087E76" w:rsidRDefault="00D20CAC" w:rsidP="00D20CAC">
      <w:r w:rsidRPr="00D20CAC">
        <w:rPr>
          <w:i/>
          <w:iCs/>
        </w:rPr>
        <w:t>a)</w:t>
      </w:r>
      <w:r>
        <w:tab/>
      </w:r>
      <w:r w:rsidR="00606D36" w:rsidRPr="00087E76">
        <w:t xml:space="preserve">the noble principles, purpose and objectives enshrined in the Charter of the United Nations and in the Universal Declaration of Human Rights, as well as in the Declaration of Principles adopted by the World Summit on the Information </w:t>
      </w:r>
      <w:proofErr w:type="gramStart"/>
      <w:r w:rsidR="00606D36" w:rsidRPr="00087E76">
        <w:t>Society;</w:t>
      </w:r>
      <w:proofErr w:type="gramEnd"/>
    </w:p>
    <w:p w14:paraId="33F36DA8" w14:textId="5128B540" w:rsidR="00606D36" w:rsidRPr="00087E76" w:rsidRDefault="00D20CAC" w:rsidP="00D20CAC">
      <w:r w:rsidRPr="00D20CAC">
        <w:rPr>
          <w:i/>
          <w:iCs/>
        </w:rPr>
        <w:t>b)</w:t>
      </w:r>
      <w:r>
        <w:tab/>
      </w:r>
      <w:r w:rsidR="00606D36" w:rsidRPr="00087E76">
        <w:t xml:space="preserve">the efforts of the United Nations to promote sustainable </w:t>
      </w:r>
      <w:proofErr w:type="gramStart"/>
      <w:r w:rsidR="00606D36" w:rsidRPr="00087E76">
        <w:t>development;</w:t>
      </w:r>
      <w:proofErr w:type="gramEnd"/>
    </w:p>
    <w:p w14:paraId="1CC28400" w14:textId="53E9F7D0" w:rsidR="00606D36" w:rsidRPr="00087E76" w:rsidRDefault="00D20CAC" w:rsidP="00D20CAC">
      <w:r w:rsidRPr="00D20CAC">
        <w:rPr>
          <w:i/>
          <w:iCs/>
        </w:rPr>
        <w:t>c)</w:t>
      </w:r>
      <w:r>
        <w:tab/>
      </w:r>
      <w:r w:rsidR="00606D36" w:rsidRPr="00087E76">
        <w:t>the purposes of the Union as enshrined in Article 1 of the ITU Constitution,</w:t>
      </w:r>
      <w:r w:rsidR="00606D36">
        <w:t xml:space="preserve"> </w:t>
      </w:r>
      <w:r w:rsidR="00606D36" w:rsidRPr="00606D36">
        <w:t>Convention, and Administrative Regulations of the ITU and the underlying principles that motivate these purposes and the Union</w:t>
      </w:r>
      <w:r w:rsidR="00606D36">
        <w:t>,</w:t>
      </w:r>
    </w:p>
    <w:p w14:paraId="6D4EAFCA" w14:textId="77777777" w:rsidR="00606D36" w:rsidRPr="00087E76" w:rsidRDefault="00606D36" w:rsidP="00D20CAC">
      <w:pPr>
        <w:pStyle w:val="Call"/>
        <w:keepNext w:val="0"/>
        <w:keepLines w:val="0"/>
        <w:rPr>
          <w:i w:val="0"/>
        </w:rPr>
      </w:pPr>
      <w:r w:rsidRPr="00B637DF">
        <w:t>recalling</w:t>
      </w:r>
      <w:r w:rsidRPr="00087E76">
        <w:t xml:space="preserve"> further</w:t>
      </w:r>
    </w:p>
    <w:p w14:paraId="7EBAD6A2" w14:textId="57946BAE" w:rsidR="00606D36" w:rsidRPr="00067A30" w:rsidRDefault="00D20CAC" w:rsidP="00D20CAC">
      <w:r w:rsidRPr="00D20CAC">
        <w:rPr>
          <w:i/>
          <w:iCs/>
        </w:rPr>
        <w:t>a)</w:t>
      </w:r>
      <w:r>
        <w:tab/>
      </w:r>
      <w:r w:rsidR="00606D36" w:rsidRPr="00087E76">
        <w:t xml:space="preserve">United Nations General Assembly Resolution </w:t>
      </w:r>
      <w:hyperlink r:id="rId8" w:history="1">
        <w:r w:rsidR="00606D36" w:rsidRPr="00087E76">
          <w:rPr>
            <w:rStyle w:val="Hyperlink"/>
            <w:rFonts w:asciiTheme="minorHAnsi" w:hAnsiTheme="minorHAnsi" w:cstheme="minorHAnsi"/>
          </w:rPr>
          <w:t>A/RES/ES-11/1</w:t>
        </w:r>
      </w:hyperlink>
      <w:r w:rsidR="00606D36" w:rsidRPr="00087E76">
        <w:t xml:space="preserve"> of 2 March 2022 on Aggression Against Ukraine, that deplores in the strongest terms the aggression by the Russian Federation against Ukraine in violation of Article 2 (4) of the Charter and urges international organizations to support the de-escalation of the current </w:t>
      </w:r>
      <w:r w:rsidR="00606D36" w:rsidRPr="00067A30">
        <w:t>situation</w:t>
      </w:r>
      <w:r w:rsidR="004919CC" w:rsidRPr="00067A30">
        <w:t>, and all other resolutions adopted at the eleventh emergency special session of the UN General Assembly</w:t>
      </w:r>
      <w:r w:rsidR="00606D36" w:rsidRPr="00067A30">
        <w:t>;</w:t>
      </w:r>
    </w:p>
    <w:p w14:paraId="5ECB5EC4" w14:textId="7F50D9CE" w:rsidR="003131F3" w:rsidRPr="00067A30" w:rsidRDefault="00D20CAC" w:rsidP="00D20CAC">
      <w:r w:rsidRPr="00D20CAC">
        <w:rPr>
          <w:i/>
          <w:iCs/>
        </w:rPr>
        <w:t>b)</w:t>
      </w:r>
      <w:r>
        <w:tab/>
      </w:r>
      <w:r w:rsidR="00606D36" w:rsidRPr="00067A30">
        <w:t xml:space="preserve">2018 ITU Plenipotentiary Conference Resolution 34, on Assistance and support to countries in special need for rebuilding their telecommunication </w:t>
      </w:r>
      <w:proofErr w:type="gramStart"/>
      <w:r w:rsidR="00606D36" w:rsidRPr="00067A30">
        <w:t>sector</w:t>
      </w:r>
      <w:r w:rsidR="003131F3" w:rsidRPr="00067A30">
        <w:t>;</w:t>
      </w:r>
      <w:proofErr w:type="gramEnd"/>
    </w:p>
    <w:p w14:paraId="3AFF65F0" w14:textId="6D9EBAE7" w:rsidR="003131F3" w:rsidRPr="00D20CAC" w:rsidRDefault="00D20CAC" w:rsidP="00D20CAC">
      <w:r w:rsidRPr="00D20CAC">
        <w:rPr>
          <w:i/>
          <w:iCs/>
        </w:rPr>
        <w:t>c)</w:t>
      </w:r>
      <w:r>
        <w:tab/>
      </w:r>
      <w:r w:rsidR="003131F3" w:rsidRPr="00067A30">
        <w:t xml:space="preserve">the </w:t>
      </w:r>
      <w:r w:rsidR="003131F3" w:rsidRPr="00067A30">
        <w:rPr>
          <w:rFonts w:eastAsia="Calibri" w:cs="Calibri"/>
          <w:color w:val="000000"/>
        </w:rPr>
        <w:t xml:space="preserve">United Nations General Assembly Resolution </w:t>
      </w:r>
      <w:hyperlink r:id="rId9" w:history="1">
        <w:r w:rsidR="003131F3" w:rsidRPr="00D20CAC">
          <w:rPr>
            <w:rFonts w:eastAsia="Calibri" w:cs="Calibri"/>
            <w:color w:val="0563C1"/>
            <w:u w:val="single"/>
          </w:rPr>
          <w:t>68/262</w:t>
        </w:r>
      </w:hyperlink>
      <w:r w:rsidR="003131F3" w:rsidRPr="00067A30">
        <w:rPr>
          <w:rFonts w:eastAsia="Calibri" w:cs="Calibri"/>
          <w:color w:val="000000"/>
        </w:rPr>
        <w:t xml:space="preserve"> of 27 March 2014 entitled “Territorial integrity of Ukraine</w:t>
      </w:r>
      <w:proofErr w:type="gramStart"/>
      <w:r w:rsidR="003131F3" w:rsidRPr="00067A30">
        <w:rPr>
          <w:rFonts w:eastAsia="Calibri" w:cs="Calibri"/>
          <w:color w:val="000000"/>
        </w:rPr>
        <w:t>”;</w:t>
      </w:r>
      <w:proofErr w:type="gramEnd"/>
    </w:p>
    <w:p w14:paraId="72F66EC4" w14:textId="3B9C65D6" w:rsidR="003131F3" w:rsidRPr="00D20CAC" w:rsidRDefault="00D20CAC" w:rsidP="00D20CAC">
      <w:r w:rsidRPr="00D20CAC">
        <w:rPr>
          <w:i/>
          <w:iCs/>
        </w:rPr>
        <w:t>d)</w:t>
      </w:r>
      <w:r>
        <w:tab/>
      </w:r>
      <w:r w:rsidR="003131F3" w:rsidRPr="00067A30">
        <w:t>Resolution 205 (</w:t>
      </w:r>
      <w:r w:rsidRPr="00067A30">
        <w:t>Rev</w:t>
      </w:r>
      <w:r w:rsidR="003131F3" w:rsidRPr="00067A30">
        <w:t xml:space="preserve">.WRC-19) of the World Radiocommunication Conference on </w:t>
      </w:r>
      <w:r w:rsidR="003131F3" w:rsidRPr="002F1A0E">
        <w:rPr>
          <w:spacing w:val="-2"/>
        </w:rPr>
        <w:t>protection of systems operating in the mobile satellite service in the frequency band</w:t>
      </w:r>
      <w:r w:rsidR="003131F3" w:rsidRPr="00067A30">
        <w:t xml:space="preserve"> 406-406.1 </w:t>
      </w:r>
      <w:proofErr w:type="gramStart"/>
      <w:r w:rsidR="003131F3" w:rsidRPr="00067A30">
        <w:t>MHz;</w:t>
      </w:r>
      <w:proofErr w:type="gramEnd"/>
    </w:p>
    <w:p w14:paraId="73045973" w14:textId="1EDC0432" w:rsidR="003131F3" w:rsidRPr="00D20CAC" w:rsidRDefault="00D20CAC" w:rsidP="00D20CAC">
      <w:r w:rsidRPr="00D20CAC">
        <w:rPr>
          <w:rFonts w:eastAsia="Calibri" w:cs="Calibri"/>
          <w:i/>
          <w:iCs/>
          <w:color w:val="000000"/>
        </w:rPr>
        <w:t>e)</w:t>
      </w:r>
      <w:r>
        <w:rPr>
          <w:rFonts w:eastAsia="Calibri" w:cs="Calibri"/>
          <w:color w:val="000000"/>
        </w:rPr>
        <w:tab/>
      </w:r>
      <w:r w:rsidR="002F1A0E">
        <w:rPr>
          <w:rFonts w:eastAsia="Calibri" w:cs="Calibri"/>
          <w:color w:val="000000"/>
        </w:rPr>
        <w:t>t</w:t>
      </w:r>
      <w:r w:rsidR="003131F3" w:rsidRPr="00067A30">
        <w:rPr>
          <w:rFonts w:eastAsia="Calibri" w:cs="Calibri"/>
          <w:color w:val="000000"/>
        </w:rPr>
        <w:t>he ITU Interim Assessment on Damages to Telecommunications Infrastructure and Resilience of the ICT Ecosystem in Ukraine (December 2022</w:t>
      </w:r>
      <w:proofErr w:type="gramStart"/>
      <w:r w:rsidR="003131F3" w:rsidRPr="00067A30">
        <w:rPr>
          <w:rFonts w:eastAsia="Calibri" w:cs="Calibri"/>
          <w:color w:val="000000"/>
        </w:rPr>
        <w:t>);</w:t>
      </w:r>
      <w:proofErr w:type="gramEnd"/>
    </w:p>
    <w:p w14:paraId="08E8818C" w14:textId="11BF4025" w:rsidR="003131F3" w:rsidRPr="00D20CAC" w:rsidRDefault="00D20CAC" w:rsidP="00D20CAC">
      <w:r w:rsidRPr="00D20CAC">
        <w:rPr>
          <w:rFonts w:eastAsia="Calibri" w:cs="Calibri"/>
          <w:i/>
          <w:iCs/>
          <w:color w:val="000000"/>
        </w:rPr>
        <w:t>f)</w:t>
      </w:r>
      <w:r>
        <w:rPr>
          <w:rFonts w:eastAsia="Calibri" w:cs="Calibri"/>
          <w:color w:val="000000"/>
        </w:rPr>
        <w:tab/>
      </w:r>
      <w:r w:rsidR="002F1A0E">
        <w:rPr>
          <w:rFonts w:eastAsia="Calibri" w:cs="Calibri"/>
          <w:color w:val="000000"/>
        </w:rPr>
        <w:t>t</w:t>
      </w:r>
      <w:r w:rsidR="003131F3" w:rsidRPr="00067A30">
        <w:rPr>
          <w:rFonts w:eastAsia="Calibri" w:cs="Calibri"/>
          <w:color w:val="000000"/>
        </w:rPr>
        <w:t>he statement by the ITU Secretary-General on the ITU Plenipotentiary Conference 2014 (document PP</w:t>
      </w:r>
      <w:r w:rsidR="002F1A0E">
        <w:rPr>
          <w:rFonts w:eastAsia="Calibri" w:cs="Calibri"/>
          <w:color w:val="000000"/>
        </w:rPr>
        <w:t>-</w:t>
      </w:r>
      <w:r w:rsidR="003131F3" w:rsidRPr="00067A30">
        <w:rPr>
          <w:rFonts w:eastAsia="Calibri" w:cs="Calibri"/>
          <w:color w:val="000000"/>
        </w:rPr>
        <w:t xml:space="preserve">14/174, Annex B) and statement by the ITU Secretary-General in the ITU Operational Bulletin No. 1158 of </w:t>
      </w:r>
      <w:proofErr w:type="gramStart"/>
      <w:r w:rsidR="003131F3" w:rsidRPr="00067A30">
        <w:rPr>
          <w:rFonts w:eastAsia="Calibri" w:cs="Calibri"/>
          <w:color w:val="000000"/>
        </w:rPr>
        <w:t>15.10.2018;</w:t>
      </w:r>
      <w:proofErr w:type="gramEnd"/>
    </w:p>
    <w:p w14:paraId="5ABE9992" w14:textId="50160391" w:rsidR="003131F3" w:rsidRPr="00067A30" w:rsidRDefault="00D20CAC" w:rsidP="00D20CAC">
      <w:r w:rsidRPr="00D20CAC">
        <w:rPr>
          <w:rFonts w:eastAsia="Calibri" w:cs="Calibri"/>
          <w:i/>
          <w:iCs/>
          <w:color w:val="000000"/>
        </w:rPr>
        <w:t>g)</w:t>
      </w:r>
      <w:r>
        <w:rPr>
          <w:rFonts w:eastAsia="Calibri" w:cs="Calibri"/>
          <w:color w:val="000000"/>
        </w:rPr>
        <w:tab/>
      </w:r>
      <w:r w:rsidR="003131F3" w:rsidRPr="00067A30">
        <w:rPr>
          <w:rFonts w:eastAsia="Calibri" w:cs="Calibri"/>
          <w:color w:val="000000"/>
        </w:rPr>
        <w:t xml:space="preserve">Resolution 88 (Kigali, 2022) of the World Telecommunication Development Conference on the ITU Partner2Connect Digital </w:t>
      </w:r>
      <w:proofErr w:type="gramStart"/>
      <w:r w:rsidR="003131F3" w:rsidRPr="00067A30">
        <w:rPr>
          <w:rFonts w:eastAsia="Calibri" w:cs="Calibri"/>
          <w:color w:val="000000"/>
        </w:rPr>
        <w:t>Coalition;</w:t>
      </w:r>
      <w:proofErr w:type="gramEnd"/>
    </w:p>
    <w:p w14:paraId="60C9079A" w14:textId="1AC7ECDA" w:rsidR="00606D36" w:rsidRPr="00067A30" w:rsidRDefault="00D20CAC" w:rsidP="00D20CAC">
      <w:r w:rsidRPr="00D20CAC">
        <w:rPr>
          <w:rFonts w:eastAsia="Calibri" w:cs="Calibri"/>
          <w:i/>
          <w:iCs/>
          <w:color w:val="000000"/>
        </w:rPr>
        <w:t>h)</w:t>
      </w:r>
      <w:r>
        <w:rPr>
          <w:rFonts w:eastAsia="Calibri" w:cs="Calibri"/>
          <w:color w:val="000000"/>
        </w:rPr>
        <w:tab/>
      </w:r>
      <w:r w:rsidR="003131F3" w:rsidRPr="00067A30">
        <w:rPr>
          <w:rFonts w:eastAsia="Calibri" w:cs="Calibri"/>
          <w:color w:val="000000"/>
        </w:rPr>
        <w:t>Resolution 25 (Rev. Bucharest, 2022) of the Plenipotentiary Conference, on strengthening the ITU regional presence</w:t>
      </w:r>
      <w:r w:rsidR="00606D36" w:rsidRPr="00067A30">
        <w:t>,</w:t>
      </w:r>
    </w:p>
    <w:p w14:paraId="1B357770" w14:textId="0862319D" w:rsidR="00606D36" w:rsidRPr="00067A30" w:rsidRDefault="00606D36" w:rsidP="00D20CAC">
      <w:pPr>
        <w:pStyle w:val="Call"/>
        <w:keepNext w:val="0"/>
        <w:keepLines w:val="0"/>
        <w:rPr>
          <w:i w:val="0"/>
          <w:lang w:val="en-US"/>
        </w:rPr>
      </w:pPr>
      <w:r w:rsidRPr="00067A30">
        <w:t>reaffirming</w:t>
      </w:r>
    </w:p>
    <w:p w14:paraId="58F1B41A" w14:textId="7BF0B0A8" w:rsidR="003131F3" w:rsidRPr="00067A30" w:rsidRDefault="003131F3" w:rsidP="00D20CAC">
      <w:r w:rsidRPr="00D20CAC">
        <w:rPr>
          <w:i/>
          <w:iCs/>
        </w:rPr>
        <w:t>a)</w:t>
      </w:r>
      <w:r w:rsidRPr="00067A30">
        <w:tab/>
        <w:t xml:space="preserve">the </w:t>
      </w:r>
      <w:r w:rsidR="00606D36" w:rsidRPr="00067A30">
        <w:t xml:space="preserve">sovereignty, independence, unity, and territorial integrity of Ukraine within its internationally recognized borders, extending to its territorial </w:t>
      </w:r>
      <w:proofErr w:type="gramStart"/>
      <w:r w:rsidR="00606D36" w:rsidRPr="00067A30">
        <w:t>waters</w:t>
      </w:r>
      <w:r w:rsidRPr="00067A30">
        <w:t>;</w:t>
      </w:r>
      <w:proofErr w:type="gramEnd"/>
    </w:p>
    <w:p w14:paraId="3BDDA752" w14:textId="0ABEFA2F" w:rsidR="003131F3" w:rsidRPr="00D20CAC" w:rsidRDefault="003131F3" w:rsidP="00D20CAC">
      <w:r w:rsidRPr="00D20CAC">
        <w:rPr>
          <w:rFonts w:eastAsia="Calibri" w:cs="Calibri"/>
          <w:i/>
          <w:iCs/>
          <w:color w:val="000000"/>
        </w:rPr>
        <w:lastRenderedPageBreak/>
        <w:t>b)</w:t>
      </w:r>
      <w:r w:rsidRPr="00067A30">
        <w:rPr>
          <w:rFonts w:eastAsia="Calibri" w:cs="Calibri"/>
          <w:color w:val="000000"/>
        </w:rPr>
        <w:tab/>
      </w:r>
      <w:r w:rsidRPr="002F1A0E">
        <w:rPr>
          <w:rFonts w:eastAsia="Calibri" w:cs="Calibri"/>
          <w:color w:val="000000"/>
          <w:spacing w:val="4"/>
        </w:rPr>
        <w:t>that a reliable telecommunication network is indispensable for promoting the</w:t>
      </w:r>
      <w:r w:rsidRPr="00067A30">
        <w:rPr>
          <w:rFonts w:eastAsia="Calibri" w:cs="Calibri"/>
          <w:color w:val="000000"/>
        </w:rPr>
        <w:t xml:space="preserve"> socio-economic development of countries, in particular those having suffered from natural disasters, domestic conflicts or </w:t>
      </w:r>
      <w:proofErr w:type="gramStart"/>
      <w:r w:rsidRPr="00067A30">
        <w:rPr>
          <w:rFonts w:eastAsia="Calibri" w:cs="Calibri"/>
          <w:color w:val="000000"/>
        </w:rPr>
        <w:t>war;</w:t>
      </w:r>
      <w:proofErr w:type="gramEnd"/>
    </w:p>
    <w:p w14:paraId="6D33CB04" w14:textId="133792B2" w:rsidR="00606D36" w:rsidRPr="00067A30" w:rsidRDefault="003131F3" w:rsidP="00D20CAC">
      <w:pPr>
        <w:tabs>
          <w:tab w:val="clear" w:pos="1134"/>
          <w:tab w:val="left" w:pos="142"/>
        </w:tabs>
        <w:ind w:left="42" w:hanging="28"/>
      </w:pPr>
      <w:r w:rsidRPr="00D20CAC">
        <w:rPr>
          <w:rFonts w:eastAsia="Calibri" w:cs="Calibri"/>
          <w:i/>
          <w:iCs/>
          <w:color w:val="000000"/>
        </w:rPr>
        <w:t>c)</w:t>
      </w:r>
      <w:r w:rsidRPr="00067A30">
        <w:rPr>
          <w:rFonts w:eastAsia="Calibri" w:cs="Calibri"/>
          <w:color w:val="000000"/>
        </w:rPr>
        <w:tab/>
        <w:t xml:space="preserve">that, under the current conditions and in the foreseeable future, Ukraine will need assistance to recover its telecommunications sector in general and infrastructure </w:t>
      </w:r>
      <w:proofErr w:type="gramStart"/>
      <w:r w:rsidRPr="00067A30">
        <w:rPr>
          <w:rFonts w:eastAsia="Calibri" w:cs="Calibri"/>
          <w:color w:val="000000"/>
        </w:rPr>
        <w:t>in particular to</w:t>
      </w:r>
      <w:proofErr w:type="gramEnd"/>
      <w:r w:rsidRPr="00067A30">
        <w:rPr>
          <w:rFonts w:eastAsia="Calibri" w:cs="Calibri"/>
          <w:color w:val="000000"/>
        </w:rPr>
        <w:t xml:space="preserve"> an acceptable level, which requires the assistance of the international community, provided bilaterally, regionally, or through international organizations</w:t>
      </w:r>
      <w:r w:rsidR="00606D36" w:rsidRPr="00067A30">
        <w:t>,</w:t>
      </w:r>
    </w:p>
    <w:p w14:paraId="770055A8" w14:textId="3DB3CCB7" w:rsidR="00606D36" w:rsidRPr="00067A30" w:rsidRDefault="00606D36" w:rsidP="00D20CAC">
      <w:pPr>
        <w:pStyle w:val="Call"/>
        <w:keepNext w:val="0"/>
        <w:keepLines w:val="0"/>
        <w:rPr>
          <w:i w:val="0"/>
          <w:lang w:val="en-US"/>
        </w:rPr>
      </w:pPr>
      <w:r w:rsidRPr="00067A30">
        <w:t>reiterating the ITU commitment</w:t>
      </w:r>
    </w:p>
    <w:p w14:paraId="62E2FBF3" w14:textId="134683B6" w:rsidR="00606D36" w:rsidRPr="00067A30" w:rsidRDefault="002F1A0E" w:rsidP="00D20CAC">
      <w:r>
        <w:t>t</w:t>
      </w:r>
      <w:r w:rsidR="00606D36" w:rsidRPr="00067A30">
        <w:t>o “promote the adoption of measures for ensuring the safety of life through the cooperation of telecommunication services”,</w:t>
      </w:r>
    </w:p>
    <w:p w14:paraId="38E8851A" w14:textId="5BB604F5" w:rsidR="00606D36" w:rsidRPr="00067A30" w:rsidRDefault="00B637DF" w:rsidP="00D20CAC">
      <w:pPr>
        <w:pStyle w:val="Call"/>
        <w:keepNext w:val="0"/>
        <w:keepLines w:val="0"/>
        <w:rPr>
          <w:i w:val="0"/>
        </w:rPr>
      </w:pPr>
      <w:r w:rsidRPr="00067A30">
        <w:t>expressing grave concern</w:t>
      </w:r>
    </w:p>
    <w:p w14:paraId="14CB105D" w14:textId="0456D7EC" w:rsidR="00B637DF" w:rsidRPr="00067A30" w:rsidRDefault="00B637DF" w:rsidP="00D20CAC">
      <w:bookmarkStart w:id="5" w:name="_Hlk137742105"/>
      <w:r w:rsidRPr="00D20CAC">
        <w:rPr>
          <w:i/>
          <w:iCs/>
        </w:rPr>
        <w:t>a)</w:t>
      </w:r>
      <w:r w:rsidRPr="00067A30">
        <w:tab/>
      </w:r>
      <w:r w:rsidRPr="00067A30">
        <w:rPr>
          <w:rFonts w:asciiTheme="minorHAnsi" w:eastAsia="Times New Roman" w:hAnsiTheme="minorHAnsi" w:cstheme="minorHAnsi"/>
          <w:szCs w:val="24"/>
        </w:rPr>
        <w:t xml:space="preserve">over </w:t>
      </w:r>
      <w:r w:rsidRPr="00067A30">
        <w:t xml:space="preserve">the devastating impact that the war against Ukraine has on the operation of telecommunication facilities and services in Ukraine, including widespread destruction of critical infrastructure, and on the exercise of Ukraine’s sovereign right to regulate telecommunications within its </w:t>
      </w:r>
      <w:proofErr w:type="gramStart"/>
      <w:r w:rsidRPr="00067A30">
        <w:t>territory;</w:t>
      </w:r>
      <w:proofErr w:type="gramEnd"/>
    </w:p>
    <w:p w14:paraId="4D3F7CC7" w14:textId="4CC5F8C1" w:rsidR="00B637DF" w:rsidRPr="00067A30" w:rsidRDefault="00B637DF" w:rsidP="00D20CAC">
      <w:bookmarkStart w:id="6" w:name="_Hlk137738981"/>
      <w:r w:rsidRPr="00D20CAC">
        <w:rPr>
          <w:rFonts w:asciiTheme="minorHAnsi" w:eastAsia="Times New Roman" w:hAnsiTheme="minorHAnsi" w:cstheme="minorHAnsi"/>
          <w:i/>
          <w:iCs/>
          <w:szCs w:val="24"/>
        </w:rPr>
        <w:t>b)</w:t>
      </w:r>
      <w:r w:rsidRPr="00067A30">
        <w:rPr>
          <w:rFonts w:asciiTheme="minorHAnsi" w:eastAsia="Times New Roman" w:hAnsiTheme="minorHAnsi" w:cstheme="minorHAnsi"/>
          <w:szCs w:val="24"/>
        </w:rPr>
        <w:tab/>
        <w:t xml:space="preserve">over the Russian Federation’s persistent </w:t>
      </w:r>
      <w:r w:rsidRPr="00067A30">
        <w:rPr>
          <w:rFonts w:asciiTheme="minorHAnsi" w:eastAsia="Times New Roman" w:hAnsiTheme="minorHAnsi" w:cstheme="minorHAnsi"/>
          <w:szCs w:val="24"/>
          <w:lang w:val="en-US"/>
        </w:rPr>
        <w:t>dis</w:t>
      </w:r>
      <w:r w:rsidRPr="00067A30">
        <w:rPr>
          <w:rFonts w:asciiTheme="minorHAnsi" w:eastAsia="Times New Roman" w:hAnsiTheme="minorHAnsi" w:cstheme="minorHAnsi"/>
          <w:szCs w:val="24"/>
        </w:rPr>
        <w:t xml:space="preserve">regard since 2014 of the international principles for the functioning of public telecommunications networks by changing unilaterally the international numbering system and the national numbering system of </w:t>
      </w:r>
      <w:proofErr w:type="gramStart"/>
      <w:r w:rsidRPr="00067A30">
        <w:rPr>
          <w:rFonts w:asciiTheme="minorHAnsi" w:eastAsia="Times New Roman" w:hAnsiTheme="minorHAnsi" w:cstheme="minorHAnsi"/>
          <w:szCs w:val="24"/>
        </w:rPr>
        <w:t>Ukraine</w:t>
      </w:r>
      <w:bookmarkEnd w:id="6"/>
      <w:r w:rsidRPr="00067A30">
        <w:rPr>
          <w:rFonts w:asciiTheme="minorHAnsi" w:eastAsia="Times New Roman" w:hAnsiTheme="minorHAnsi" w:cstheme="minorBidi"/>
        </w:rPr>
        <w:t>;</w:t>
      </w:r>
      <w:proofErr w:type="gramEnd"/>
    </w:p>
    <w:p w14:paraId="57AA0B98" w14:textId="360FA848" w:rsidR="00B637DF" w:rsidRPr="00067A30" w:rsidRDefault="00B637DF" w:rsidP="00D20CAC">
      <w:r w:rsidRPr="00D20CAC">
        <w:rPr>
          <w:rFonts w:asciiTheme="minorHAnsi" w:eastAsia="Times New Roman" w:hAnsiTheme="minorHAnsi" w:cstheme="minorBidi"/>
          <w:i/>
          <w:iCs/>
        </w:rPr>
        <w:t>c)</w:t>
      </w:r>
      <w:r w:rsidRPr="00067A30">
        <w:rPr>
          <w:rFonts w:asciiTheme="minorHAnsi" w:eastAsia="Times New Roman" w:hAnsiTheme="minorHAnsi" w:cstheme="minorBidi"/>
        </w:rPr>
        <w:tab/>
        <w:t>over the illegal seizure and subsequent misuse of Ukrainian telecommunication networks, ICT resources and radiofrequency spectrum in the territories of Ukraine</w:t>
      </w:r>
      <w:r w:rsidR="004919CC" w:rsidRPr="00067A30">
        <w:t xml:space="preserve"> </w:t>
      </w:r>
      <w:r w:rsidR="004919CC" w:rsidRPr="00067A30">
        <w:rPr>
          <w:rFonts w:asciiTheme="minorHAnsi" w:eastAsia="Times New Roman" w:hAnsiTheme="minorHAnsi" w:cstheme="minorBidi"/>
        </w:rPr>
        <w:t xml:space="preserve">that, in part, are or have been under the temporary military control of the Russian </w:t>
      </w:r>
      <w:proofErr w:type="gramStart"/>
      <w:r w:rsidR="004919CC" w:rsidRPr="00067A30">
        <w:rPr>
          <w:rFonts w:asciiTheme="minorHAnsi" w:eastAsia="Times New Roman" w:hAnsiTheme="minorHAnsi" w:cstheme="minorBidi"/>
        </w:rPr>
        <w:t>Federation</w:t>
      </w:r>
      <w:r w:rsidRPr="00067A30">
        <w:rPr>
          <w:rFonts w:asciiTheme="minorHAnsi" w:eastAsia="Times New Roman" w:hAnsiTheme="minorHAnsi" w:cstheme="minorBidi"/>
        </w:rPr>
        <w:t>;</w:t>
      </w:r>
      <w:proofErr w:type="gramEnd"/>
    </w:p>
    <w:p w14:paraId="4B46F888" w14:textId="11B7961F" w:rsidR="00606D36" w:rsidRPr="00067A30" w:rsidRDefault="00B637DF" w:rsidP="00D20CAC">
      <w:r w:rsidRPr="00D20CAC">
        <w:rPr>
          <w:rFonts w:asciiTheme="minorHAnsi" w:eastAsia="Times New Roman" w:hAnsiTheme="minorHAnsi" w:cstheme="minorHAnsi"/>
          <w:i/>
          <w:iCs/>
          <w:szCs w:val="24"/>
          <w:lang w:val="en-US"/>
        </w:rPr>
        <w:t>d)</w:t>
      </w:r>
      <w:r w:rsidRPr="00067A30">
        <w:rPr>
          <w:rFonts w:asciiTheme="minorHAnsi" w:eastAsia="Times New Roman" w:hAnsiTheme="minorHAnsi" w:cstheme="minorHAnsi"/>
          <w:szCs w:val="24"/>
          <w:lang w:val="en-US"/>
        </w:rPr>
        <w:tab/>
        <w:t xml:space="preserve">over the increase of </w:t>
      </w:r>
      <w:r w:rsidRPr="00067A30">
        <w:rPr>
          <w:rFonts w:asciiTheme="minorHAnsi" w:eastAsia="Times New Roman" w:hAnsiTheme="minorHAnsi" w:cstheme="minorHAnsi"/>
          <w:szCs w:val="24"/>
        </w:rPr>
        <w:t>the number of unauthorized emissions from the territories of Ukraine</w:t>
      </w:r>
      <w:r w:rsidR="004919CC" w:rsidRPr="00067A30">
        <w:t xml:space="preserve"> </w:t>
      </w:r>
      <w:r w:rsidR="004919CC" w:rsidRPr="00067A30">
        <w:rPr>
          <w:rFonts w:asciiTheme="minorHAnsi" w:eastAsia="Times New Roman" w:hAnsiTheme="minorHAnsi" w:cstheme="minorHAnsi"/>
          <w:szCs w:val="24"/>
        </w:rPr>
        <w:t>that, in part, are or have been under the temporary military control of the Russian Federation</w:t>
      </w:r>
      <w:r w:rsidRPr="00067A30">
        <w:rPr>
          <w:rFonts w:asciiTheme="minorHAnsi" w:eastAsia="Times New Roman" w:hAnsiTheme="minorHAnsi" w:cstheme="minorHAnsi"/>
          <w:szCs w:val="24"/>
        </w:rPr>
        <w:t xml:space="preserve">, since the beginning and </w:t>
      </w:r>
      <w:proofErr w:type="gramStart"/>
      <w:r w:rsidRPr="00067A30">
        <w:rPr>
          <w:rFonts w:asciiTheme="minorHAnsi" w:eastAsia="Times New Roman" w:hAnsiTheme="minorHAnsi" w:cstheme="minorHAnsi"/>
          <w:szCs w:val="24"/>
        </w:rPr>
        <w:t>as a result of</w:t>
      </w:r>
      <w:proofErr w:type="gramEnd"/>
      <w:r w:rsidRPr="00067A30">
        <w:rPr>
          <w:rFonts w:asciiTheme="minorHAnsi" w:eastAsia="Times New Roman" w:hAnsiTheme="minorHAnsi" w:cstheme="minorHAnsi"/>
          <w:szCs w:val="24"/>
        </w:rPr>
        <w:t xml:space="preserve"> the war started by the Russian Federation, that cause harmful interference to the reception of satellite emergency position-indicating radio beacons signals in mobile-satellite service used for search and rescue activities</w:t>
      </w:r>
      <w:bookmarkEnd w:id="5"/>
      <w:r w:rsidR="00606D36" w:rsidRPr="00067A30">
        <w:t>,</w:t>
      </w:r>
    </w:p>
    <w:p w14:paraId="60BC115D" w14:textId="77777777" w:rsidR="00B637DF" w:rsidRPr="00067A30" w:rsidRDefault="00B637DF" w:rsidP="00D20CAC">
      <w:pPr>
        <w:pStyle w:val="Call"/>
        <w:keepNext w:val="0"/>
        <w:keepLines w:val="0"/>
      </w:pPr>
      <w:r w:rsidRPr="00067A30">
        <w:t>highlighting</w:t>
      </w:r>
    </w:p>
    <w:p w14:paraId="4A85D27F" w14:textId="34B3BCC7" w:rsidR="004919CC" w:rsidRDefault="004919CC" w:rsidP="00D20CAC">
      <w:r w:rsidRPr="00067A30">
        <w:t xml:space="preserve">that the actions taken by the Russian Federation stand in contradiction to </w:t>
      </w:r>
      <w:r w:rsidR="00B637DF" w:rsidRPr="00067A30">
        <w:t xml:space="preserve">the fundamental principles of the Constitution, Convention and Administrative Regulations of the ITU, </w:t>
      </w:r>
      <w:r w:rsidRPr="00067A30">
        <w:t>and undermine the ITU's mission to promote digital connectivity worldwide,</w:t>
      </w:r>
    </w:p>
    <w:p w14:paraId="279B202E" w14:textId="77777777" w:rsidR="004919CC" w:rsidRPr="00067A30" w:rsidRDefault="004919CC" w:rsidP="00D20CAC">
      <w:pPr>
        <w:pStyle w:val="Call"/>
        <w:keepNext w:val="0"/>
        <w:keepLines w:val="0"/>
      </w:pPr>
      <w:r w:rsidRPr="00067A30">
        <w:lastRenderedPageBreak/>
        <w:t>reiterates</w:t>
      </w:r>
    </w:p>
    <w:p w14:paraId="2FDA292C" w14:textId="6E5DFAD4" w:rsidR="00B637DF" w:rsidRPr="00067A30" w:rsidRDefault="00B637DF" w:rsidP="00D20CAC">
      <w:r w:rsidRPr="00067A30">
        <w:t>the sovereign right of each ITU member to regulate its telecommunications within its internationally recognized borders,</w:t>
      </w:r>
    </w:p>
    <w:p w14:paraId="7CB95B2F" w14:textId="77777777" w:rsidR="00606D36" w:rsidRPr="00067A30" w:rsidRDefault="00606D36" w:rsidP="00D20CAC">
      <w:pPr>
        <w:pStyle w:val="Call"/>
        <w:keepNext w:val="0"/>
        <w:keepLines w:val="0"/>
      </w:pPr>
      <w:r w:rsidRPr="00067A30">
        <w:t>resolves to instruct the Directors of the three Bureaux</w:t>
      </w:r>
    </w:p>
    <w:p w14:paraId="6DEC1BD9" w14:textId="601A9F05" w:rsidR="00606D36" w:rsidRPr="00067A30" w:rsidRDefault="00D20CAC" w:rsidP="00D20CAC">
      <w:pPr>
        <w:rPr>
          <w:rFonts w:asciiTheme="minorHAnsi" w:eastAsia="Times New Roman" w:hAnsiTheme="minorHAnsi" w:cstheme="minorHAnsi"/>
          <w:szCs w:val="24"/>
        </w:rPr>
      </w:pPr>
      <w:r>
        <w:t>1</w:t>
      </w:r>
      <w:r>
        <w:tab/>
      </w:r>
      <w:r w:rsidR="00B637DF" w:rsidRPr="00067A30">
        <w:t>to provide</w:t>
      </w:r>
      <w:r w:rsidR="00B637DF" w:rsidRPr="00067A30">
        <w:rPr>
          <w:lang w:val="uk-UA"/>
        </w:rPr>
        <w:t xml:space="preserve"> </w:t>
      </w:r>
      <w:r w:rsidR="00B637DF" w:rsidRPr="00067A30">
        <w:rPr>
          <w:lang w:val="en-US"/>
        </w:rPr>
        <w:t>and present</w:t>
      </w:r>
      <w:r w:rsidR="00B637DF" w:rsidRPr="00067A30">
        <w:t xml:space="preserve"> detailed regular reports assessing Ukraine’s immediate, medium- and long-term ICT reconstruction needs</w:t>
      </w:r>
      <w:r w:rsidR="00B637DF" w:rsidRPr="00067A30">
        <w:rPr>
          <w:color w:val="FF0000"/>
        </w:rPr>
        <w:t xml:space="preserve"> </w:t>
      </w:r>
      <w:r w:rsidR="00B637DF" w:rsidRPr="00067A30">
        <w:t xml:space="preserve">resulting from the Russian Federation’s invasion at subsequent Council meetings and future ITU conferences, until the withdrawal of all Russian Federation’s military forces from the territory of Ukraine within its internationally recognized borders, and until the reconstruction of the telecommunication and media infrastructure in those areas that suffered is complete, </w:t>
      </w:r>
      <w:r w:rsidR="00B637DF" w:rsidRPr="00067A30">
        <w:rPr>
          <w:rFonts w:asciiTheme="minorHAnsi" w:eastAsia="Times New Roman" w:hAnsiTheme="minorHAnsi" w:cstheme="minorHAnsi"/>
          <w:szCs w:val="24"/>
        </w:rPr>
        <w:t>and to prepare proposals for effective technical assistance</w:t>
      </w:r>
      <w:r w:rsidR="00606D36" w:rsidRPr="00067A30">
        <w:rPr>
          <w:rFonts w:asciiTheme="minorHAnsi" w:eastAsia="Times New Roman" w:hAnsiTheme="minorHAnsi" w:cstheme="minorHAnsi"/>
          <w:szCs w:val="24"/>
        </w:rPr>
        <w:t>;</w:t>
      </w:r>
    </w:p>
    <w:p w14:paraId="15F544C0" w14:textId="3207DFD7" w:rsidR="00606D36" w:rsidRPr="00067A30" w:rsidRDefault="00D20CAC" w:rsidP="00D20CAC">
      <w:pPr>
        <w:rPr>
          <w:rFonts w:asciiTheme="minorHAnsi" w:eastAsia="Times New Roman" w:hAnsiTheme="minorHAnsi" w:cstheme="minorHAnsi"/>
          <w:szCs w:val="24"/>
        </w:rPr>
      </w:pPr>
      <w:r>
        <w:rPr>
          <w:rFonts w:asciiTheme="minorHAnsi" w:eastAsia="Times New Roman" w:hAnsiTheme="minorHAnsi" w:cstheme="minorHAnsi"/>
          <w:szCs w:val="24"/>
        </w:rPr>
        <w:t>2</w:t>
      </w:r>
      <w:r>
        <w:rPr>
          <w:rFonts w:asciiTheme="minorHAnsi" w:eastAsia="Times New Roman" w:hAnsiTheme="minorHAnsi" w:cstheme="minorHAnsi"/>
          <w:szCs w:val="24"/>
        </w:rPr>
        <w:tab/>
      </w:r>
      <w:r w:rsidR="00B637DF" w:rsidRPr="00067A30">
        <w:rPr>
          <w:rFonts w:asciiTheme="minorHAnsi" w:eastAsia="Times New Roman" w:hAnsiTheme="minorHAnsi" w:cstheme="minorHAnsi"/>
          <w:szCs w:val="24"/>
        </w:rPr>
        <w:t xml:space="preserve">to provide assistance and full support to Ukraine for rebuilding its damaged and destroyed telecommunications and television infrastructure, supporting the ICT/telecommunications, and promoting digitalization for recovery and sustainable </w:t>
      </w:r>
      <w:proofErr w:type="gramStart"/>
      <w:r w:rsidR="00B637DF" w:rsidRPr="00067A30">
        <w:rPr>
          <w:rFonts w:asciiTheme="minorHAnsi" w:eastAsia="Times New Roman" w:hAnsiTheme="minorHAnsi" w:cstheme="minorHAnsi"/>
          <w:szCs w:val="24"/>
        </w:rPr>
        <w:t>development</w:t>
      </w:r>
      <w:r w:rsidR="00606D36" w:rsidRPr="00067A30">
        <w:rPr>
          <w:rFonts w:asciiTheme="minorHAnsi" w:eastAsia="Times New Roman" w:hAnsiTheme="minorHAnsi" w:cstheme="minorHAnsi"/>
          <w:szCs w:val="24"/>
        </w:rPr>
        <w:t>;</w:t>
      </w:r>
      <w:proofErr w:type="gramEnd"/>
    </w:p>
    <w:p w14:paraId="2559BCFE" w14:textId="23B95BA8" w:rsidR="00B637DF" w:rsidRPr="00067A30" w:rsidRDefault="00D20CAC" w:rsidP="00D20CAC">
      <w:pPr>
        <w:rPr>
          <w:rFonts w:asciiTheme="minorHAnsi" w:eastAsia="Times New Roman" w:hAnsiTheme="minorHAnsi" w:cstheme="minorHAnsi"/>
          <w:szCs w:val="24"/>
        </w:rPr>
      </w:pPr>
      <w:r>
        <w:rPr>
          <w:rFonts w:eastAsia="Calibri" w:cs="Calibri"/>
          <w:color w:val="000000" w:themeColor="text1"/>
        </w:rPr>
        <w:t>3</w:t>
      </w:r>
      <w:r>
        <w:rPr>
          <w:rFonts w:eastAsia="Calibri" w:cs="Calibri"/>
          <w:color w:val="000000" w:themeColor="text1"/>
        </w:rPr>
        <w:tab/>
      </w:r>
      <w:r w:rsidR="00B637DF" w:rsidRPr="00067A30">
        <w:rPr>
          <w:rFonts w:eastAsia="Calibri" w:cs="Calibri"/>
          <w:color w:val="000000" w:themeColor="text1"/>
        </w:rPr>
        <w:t>to review and prevent publication of information in any ITU documents</w:t>
      </w:r>
      <w:r w:rsidR="004919CC" w:rsidRPr="00067A30">
        <w:rPr>
          <w:rFonts w:eastAsia="Calibri" w:cs="Calibri"/>
          <w:color w:val="000000" w:themeColor="text1"/>
        </w:rPr>
        <w:t>, submitted by the Russian Federation,</w:t>
      </w:r>
      <w:r w:rsidR="00B637DF" w:rsidRPr="00067A30">
        <w:rPr>
          <w:rFonts w:eastAsia="Calibri" w:cs="Calibri"/>
          <w:color w:val="000000" w:themeColor="text1"/>
        </w:rPr>
        <w:t xml:space="preserve"> regarding the assignment of frequencies</w:t>
      </w:r>
      <w:r w:rsidR="00B637DF" w:rsidRPr="00067A30">
        <w:rPr>
          <w:rFonts w:eastAsia="Calibri" w:cs="Calibri"/>
          <w:color w:val="000000" w:themeColor="text1"/>
          <w:sz w:val="22"/>
          <w:szCs w:val="22"/>
        </w:rPr>
        <w:t xml:space="preserve"> </w:t>
      </w:r>
      <w:r w:rsidR="00B637DF" w:rsidRPr="00067A30">
        <w:rPr>
          <w:rFonts w:eastAsia="Calibri" w:cs="Calibri"/>
          <w:color w:val="000000" w:themeColor="text1"/>
        </w:rPr>
        <w:t xml:space="preserve">or National Destination Code (NDC) under the country code of the Russian Federation "7" for the territories </w:t>
      </w:r>
      <w:r w:rsidR="004919CC" w:rsidRPr="00067A30">
        <w:rPr>
          <w:rFonts w:eastAsia="Calibri" w:cs="Calibri"/>
          <w:color w:val="000000" w:themeColor="text1"/>
        </w:rPr>
        <w:t xml:space="preserve">that, in part, are or have been under the temporary military control </w:t>
      </w:r>
      <w:r w:rsidR="00B637DF" w:rsidRPr="00067A30">
        <w:rPr>
          <w:rFonts w:eastAsia="Calibri" w:cs="Calibri"/>
          <w:color w:val="000000" w:themeColor="text1"/>
        </w:rPr>
        <w:t xml:space="preserve">of the Russian </w:t>
      </w:r>
      <w:proofErr w:type="gramStart"/>
      <w:r w:rsidR="00B637DF" w:rsidRPr="00067A30">
        <w:rPr>
          <w:rFonts w:eastAsia="Calibri" w:cs="Calibri"/>
          <w:color w:val="000000" w:themeColor="text1"/>
        </w:rPr>
        <w:t>Federation;</w:t>
      </w:r>
      <w:proofErr w:type="gramEnd"/>
    </w:p>
    <w:p w14:paraId="627706D1" w14:textId="64F070D2" w:rsidR="00B637DF" w:rsidRDefault="00D20CAC" w:rsidP="00D20CAC">
      <w:pPr>
        <w:rPr>
          <w:rFonts w:asciiTheme="minorHAnsi" w:eastAsia="Times New Roman" w:hAnsiTheme="minorHAnsi" w:cstheme="minorHAnsi"/>
          <w:szCs w:val="24"/>
        </w:rPr>
      </w:pPr>
      <w:r>
        <w:rPr>
          <w:rFonts w:asciiTheme="minorHAnsi" w:eastAsia="Times New Roman" w:hAnsiTheme="minorHAnsi" w:cstheme="minorHAnsi"/>
          <w:szCs w:val="24"/>
        </w:rPr>
        <w:t>4</w:t>
      </w:r>
      <w:r>
        <w:rPr>
          <w:rFonts w:asciiTheme="minorHAnsi" w:eastAsia="Times New Roman" w:hAnsiTheme="minorHAnsi" w:cstheme="minorHAnsi"/>
          <w:szCs w:val="24"/>
        </w:rPr>
        <w:tab/>
      </w:r>
      <w:r w:rsidR="00606D36" w:rsidRPr="00067A30">
        <w:rPr>
          <w:rFonts w:asciiTheme="minorHAnsi" w:eastAsia="Times New Roman" w:hAnsiTheme="minorHAnsi" w:cstheme="minorHAnsi"/>
          <w:szCs w:val="24"/>
        </w:rPr>
        <w:t>to ensure adequate financial and human resources mobilization, including under the internal budget and the Information and Communication Technology Development Fund, for</w:t>
      </w:r>
      <w:r w:rsidR="00606D36" w:rsidRPr="00087E76">
        <w:rPr>
          <w:rFonts w:asciiTheme="minorHAnsi" w:eastAsia="Times New Roman" w:hAnsiTheme="minorHAnsi" w:cstheme="minorHAnsi"/>
          <w:szCs w:val="24"/>
        </w:rPr>
        <w:t xml:space="preserve"> the implementation of the proposed </w:t>
      </w:r>
      <w:proofErr w:type="gramStart"/>
      <w:r w:rsidR="00606D36" w:rsidRPr="00087E76">
        <w:rPr>
          <w:rFonts w:asciiTheme="minorHAnsi" w:eastAsia="Times New Roman" w:hAnsiTheme="minorHAnsi" w:cstheme="minorHAnsi"/>
          <w:szCs w:val="24"/>
        </w:rPr>
        <w:t>actions</w:t>
      </w:r>
      <w:r w:rsidR="00B637DF">
        <w:rPr>
          <w:rFonts w:asciiTheme="minorHAnsi" w:eastAsia="Times New Roman" w:hAnsiTheme="minorHAnsi" w:cstheme="minorHAnsi"/>
          <w:szCs w:val="24"/>
        </w:rPr>
        <w:t>;</w:t>
      </w:r>
      <w:proofErr w:type="gramEnd"/>
    </w:p>
    <w:p w14:paraId="7D5B4965" w14:textId="56036545" w:rsidR="00606D36" w:rsidRPr="00087E76" w:rsidRDefault="00D20CAC" w:rsidP="00D20CAC">
      <w:pPr>
        <w:rPr>
          <w:rFonts w:asciiTheme="minorHAnsi" w:eastAsia="Times New Roman" w:hAnsiTheme="minorHAnsi" w:cstheme="minorHAnsi"/>
          <w:szCs w:val="24"/>
        </w:rPr>
      </w:pPr>
      <w:r>
        <w:rPr>
          <w:rFonts w:asciiTheme="minorHAnsi" w:eastAsia="Times New Roman" w:hAnsiTheme="minorHAnsi" w:cstheme="minorHAnsi"/>
          <w:szCs w:val="24"/>
        </w:rPr>
        <w:t>5</w:t>
      </w:r>
      <w:r>
        <w:rPr>
          <w:rFonts w:asciiTheme="minorHAnsi" w:eastAsia="Times New Roman" w:hAnsiTheme="minorHAnsi" w:cstheme="minorHAnsi"/>
          <w:szCs w:val="24"/>
        </w:rPr>
        <w:tab/>
      </w:r>
      <w:r w:rsidR="00B637DF">
        <w:rPr>
          <w:rFonts w:asciiTheme="minorHAnsi" w:eastAsia="Times New Roman" w:hAnsiTheme="minorHAnsi" w:cstheme="minorHAnsi"/>
          <w:szCs w:val="24"/>
        </w:rPr>
        <w:t>to continue using the Partner2Con</w:t>
      </w:r>
      <w:r w:rsidR="002F1A0E">
        <w:rPr>
          <w:rFonts w:asciiTheme="minorHAnsi" w:eastAsia="Times New Roman" w:hAnsiTheme="minorHAnsi" w:cstheme="minorHAnsi"/>
          <w:szCs w:val="24"/>
        </w:rPr>
        <w:t>n</w:t>
      </w:r>
      <w:r w:rsidR="00B637DF">
        <w:rPr>
          <w:rFonts w:asciiTheme="minorHAnsi" w:eastAsia="Times New Roman" w:hAnsiTheme="minorHAnsi" w:cstheme="minorHAnsi"/>
          <w:szCs w:val="24"/>
        </w:rPr>
        <w:t>ect mechanism, collecting pledges and commitments of stakeholders</w:t>
      </w:r>
      <w:r w:rsidR="00606D36" w:rsidRPr="00087E76">
        <w:rPr>
          <w:rFonts w:asciiTheme="minorHAnsi" w:eastAsia="Times New Roman" w:hAnsiTheme="minorHAnsi" w:cstheme="minorHAnsi"/>
          <w:szCs w:val="24"/>
        </w:rPr>
        <w:t>,</w:t>
      </w:r>
    </w:p>
    <w:p w14:paraId="321BAB1E" w14:textId="77777777" w:rsidR="00606D36" w:rsidRPr="00087E76" w:rsidRDefault="00606D36" w:rsidP="00D20CAC">
      <w:pPr>
        <w:pStyle w:val="Call"/>
        <w:keepNext w:val="0"/>
        <w:keepLines w:val="0"/>
      </w:pPr>
      <w:r w:rsidRPr="00087E76">
        <w:t xml:space="preserve">instructs the </w:t>
      </w:r>
      <w:proofErr w:type="gramStart"/>
      <w:r w:rsidRPr="00087E76">
        <w:t>Secretary-General</w:t>
      </w:r>
      <w:proofErr w:type="gramEnd"/>
    </w:p>
    <w:p w14:paraId="6A806873" w14:textId="68D8A30A" w:rsidR="00606D36" w:rsidRPr="00087E76" w:rsidRDefault="00606D36" w:rsidP="00D20CAC">
      <w:r w:rsidRPr="00087E76">
        <w:t xml:space="preserve">to coordinate the activities carried out by the three Sectors of the Union in accordance with </w:t>
      </w:r>
      <w:r w:rsidRPr="002F1A0E">
        <w:rPr>
          <w:i/>
          <w:iCs/>
        </w:rPr>
        <w:t>resolves</w:t>
      </w:r>
      <w:r w:rsidRPr="00087E76">
        <w:t xml:space="preserve"> above, to ensure that the Union's action in favour of Ukraine is as effective as possible, </w:t>
      </w:r>
    </w:p>
    <w:p w14:paraId="5B33F9B7" w14:textId="513025DD" w:rsidR="00606D36" w:rsidRPr="00087E76" w:rsidRDefault="00606D36" w:rsidP="00D20CAC">
      <w:pPr>
        <w:pStyle w:val="Call"/>
        <w:keepNext w:val="0"/>
        <w:keepLines w:val="0"/>
      </w:pPr>
      <w:r w:rsidRPr="00087E76">
        <w:t xml:space="preserve">invites Member </w:t>
      </w:r>
      <w:r w:rsidRPr="00B637DF">
        <w:t>States</w:t>
      </w:r>
    </w:p>
    <w:p w14:paraId="3D9DDF17" w14:textId="7244A93E" w:rsidR="00016EEE" w:rsidRDefault="00016EEE" w:rsidP="00D20CAC">
      <w:pPr>
        <w:rPr>
          <w:lang w:val="en-US"/>
        </w:rPr>
      </w:pPr>
      <w:r>
        <w:t>1</w:t>
      </w:r>
      <w:r>
        <w:tab/>
        <w:t xml:space="preserve">to support the Government of Ukraine on a bilateral level or in coordination with the Union, as indicated </w:t>
      </w:r>
      <w:proofErr w:type="gramStart"/>
      <w:r>
        <w:t>above;</w:t>
      </w:r>
      <w:proofErr w:type="gramEnd"/>
    </w:p>
    <w:p w14:paraId="6C84497F" w14:textId="3E1664D0" w:rsidR="00016EEE" w:rsidRDefault="00016EEE" w:rsidP="00D20CAC">
      <w:r>
        <w:t>2</w:t>
      </w:r>
      <w:r>
        <w:tab/>
        <w:t xml:space="preserve">to respond to the call for pledges under Partner2Connect </w:t>
      </w:r>
      <w:proofErr w:type="gramStart"/>
      <w:r>
        <w:t>Initiative;</w:t>
      </w:r>
      <w:proofErr w:type="gramEnd"/>
    </w:p>
    <w:p w14:paraId="2A048CAB" w14:textId="35FD0729" w:rsidR="00016EEE" w:rsidRDefault="00016EEE" w:rsidP="00D20CAC">
      <w:r>
        <w:t>3</w:t>
      </w:r>
      <w:r>
        <w:tab/>
        <w:t xml:space="preserve">to provide financial contribution to the Special </w:t>
      </w:r>
      <w:proofErr w:type="gramStart"/>
      <w:r>
        <w:t>Fund;</w:t>
      </w:r>
      <w:proofErr w:type="gramEnd"/>
    </w:p>
    <w:p w14:paraId="73FFB792" w14:textId="2586E1AB" w:rsidR="00606D36" w:rsidRPr="00087E76" w:rsidRDefault="00016EEE" w:rsidP="00D20CAC">
      <w:r>
        <w:lastRenderedPageBreak/>
        <w:t>4</w:t>
      </w:r>
      <w:r>
        <w:tab/>
        <w:t xml:space="preserve">to cooperate in the direction of implementation of infrastructure projects </w:t>
      </w:r>
      <w:proofErr w:type="gramStart"/>
      <w:r>
        <w:t>in order to</w:t>
      </w:r>
      <w:proofErr w:type="gramEnd"/>
      <w:r>
        <w:t xml:space="preserve"> rebuild the telecommunications sector of Ukraine and improve Connectivity</w:t>
      </w:r>
      <w:r w:rsidR="00606D36" w:rsidRPr="00087E76">
        <w:t>.</w:t>
      </w:r>
    </w:p>
    <w:p w14:paraId="343250EE" w14:textId="77777777" w:rsidR="00606D36" w:rsidRDefault="00606D36" w:rsidP="00D20CAC">
      <w:pPr>
        <w:spacing w:before="840"/>
        <w:jc w:val="center"/>
      </w:pPr>
      <w:r>
        <w:t>______________</w:t>
      </w:r>
    </w:p>
    <w:sectPr w:rsidR="00606D36"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3D018F1F" w:rsidR="00EE49E8" w:rsidRDefault="00606D36" w:rsidP="00EE49E8">
          <w:pPr>
            <w:pStyle w:val="Header"/>
            <w:jc w:val="left"/>
            <w:rPr>
              <w:noProof/>
            </w:rPr>
          </w:pPr>
          <w:r>
            <w:rPr>
              <w:noProof/>
            </w:rPr>
            <w:t xml:space="preserve">DPS </w:t>
          </w:r>
          <w:r w:rsidR="002F1A0E" w:rsidRPr="002F1A0E">
            <w:rPr>
              <w:noProof/>
            </w:rPr>
            <w:t>526861</w:t>
          </w:r>
        </w:p>
      </w:tc>
      <w:tc>
        <w:tcPr>
          <w:tcW w:w="8261" w:type="dxa"/>
        </w:tcPr>
        <w:p w14:paraId="35709C74" w14:textId="0413BB48"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F1A0E">
            <w:rPr>
              <w:bCs/>
            </w:rPr>
            <w:t>122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DD59A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D66D03F" w:rsidR="00EE49E8" w:rsidRPr="00E06FD5" w:rsidRDefault="00EE49E8" w:rsidP="00EE49E8">
          <w:pPr>
            <w:pStyle w:val="Header"/>
            <w:tabs>
              <w:tab w:val="left" w:pos="6667"/>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F1A0E">
            <w:rPr>
              <w:bCs/>
            </w:rPr>
            <w:t>122</w:t>
          </w:r>
          <w:r w:rsidR="004919CC">
            <w:rPr>
              <w:bCs/>
            </w:rPr>
            <w:t xml:space="preserve"> </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238E9"/>
    <w:multiLevelType w:val="hybridMultilevel"/>
    <w:tmpl w:val="DFDCC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3A3163"/>
    <w:multiLevelType w:val="hybridMultilevel"/>
    <w:tmpl w:val="B8D669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A50F1"/>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E72D80"/>
    <w:multiLevelType w:val="hybridMultilevel"/>
    <w:tmpl w:val="75608892"/>
    <w:lvl w:ilvl="0" w:tplc="AD7019D4">
      <w:start w:val="2"/>
      <w:numFmt w:val="lowerLetter"/>
      <w:lvlText w:val="%1)"/>
      <w:lvlJc w:val="left"/>
      <w:pPr>
        <w:ind w:left="720" w:hanging="360"/>
      </w:pPr>
      <w:rPr>
        <w:rFonts w:asciiTheme="minorHAnsi" w:eastAsia="Times New Roman"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F48A5"/>
    <w:multiLevelType w:val="multilevel"/>
    <w:tmpl w:val="36640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904FE0"/>
    <w:multiLevelType w:val="hybridMultilevel"/>
    <w:tmpl w:val="30C2E9A4"/>
    <w:lvl w:ilvl="0" w:tplc="E398BFAA">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74816267">
    <w:abstractNumId w:val="0"/>
  </w:num>
  <w:num w:numId="2" w16cid:durableId="1974092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5096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922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62361">
    <w:abstractNumId w:val="6"/>
  </w:num>
  <w:num w:numId="6" w16cid:durableId="1939018718">
    <w:abstractNumId w:val="7"/>
  </w:num>
  <w:num w:numId="7" w16cid:durableId="1813013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03466">
    <w:abstractNumId w:val="2"/>
  </w:num>
  <w:num w:numId="9" w16cid:durableId="1248881896">
    <w:abstractNumId w:val="4"/>
  </w:num>
  <w:num w:numId="10" w16cid:durableId="1731732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380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6EEE"/>
    <w:rsid w:val="000210D4"/>
    <w:rsid w:val="00063016"/>
    <w:rsid w:val="00066795"/>
    <w:rsid w:val="00067A30"/>
    <w:rsid w:val="00076AF6"/>
    <w:rsid w:val="00085CF2"/>
    <w:rsid w:val="000B1705"/>
    <w:rsid w:val="000D75B2"/>
    <w:rsid w:val="000E3386"/>
    <w:rsid w:val="001121F5"/>
    <w:rsid w:val="00123263"/>
    <w:rsid w:val="001400DC"/>
    <w:rsid w:val="00140CE1"/>
    <w:rsid w:val="00146BAF"/>
    <w:rsid w:val="0017539C"/>
    <w:rsid w:val="00175AC2"/>
    <w:rsid w:val="0017609F"/>
    <w:rsid w:val="001A7D1D"/>
    <w:rsid w:val="001B51DD"/>
    <w:rsid w:val="001C628E"/>
    <w:rsid w:val="001E0F7B"/>
    <w:rsid w:val="002119FD"/>
    <w:rsid w:val="002130E0"/>
    <w:rsid w:val="00226DDE"/>
    <w:rsid w:val="00245201"/>
    <w:rsid w:val="00264425"/>
    <w:rsid w:val="00265875"/>
    <w:rsid w:val="0027303B"/>
    <w:rsid w:val="0028109B"/>
    <w:rsid w:val="002968DA"/>
    <w:rsid w:val="002A2188"/>
    <w:rsid w:val="002B1F58"/>
    <w:rsid w:val="002C1C7A"/>
    <w:rsid w:val="002C54E2"/>
    <w:rsid w:val="002F1A0E"/>
    <w:rsid w:val="002F6124"/>
    <w:rsid w:val="0030160F"/>
    <w:rsid w:val="003131F3"/>
    <w:rsid w:val="00320223"/>
    <w:rsid w:val="00322D0D"/>
    <w:rsid w:val="00361465"/>
    <w:rsid w:val="0036714E"/>
    <w:rsid w:val="003877F5"/>
    <w:rsid w:val="003942D4"/>
    <w:rsid w:val="003958A8"/>
    <w:rsid w:val="003C2533"/>
    <w:rsid w:val="003D5A7F"/>
    <w:rsid w:val="0040435A"/>
    <w:rsid w:val="00416A24"/>
    <w:rsid w:val="00431D9E"/>
    <w:rsid w:val="00433CE8"/>
    <w:rsid w:val="00434A5C"/>
    <w:rsid w:val="00453E31"/>
    <w:rsid w:val="004544D9"/>
    <w:rsid w:val="00472BAD"/>
    <w:rsid w:val="00484009"/>
    <w:rsid w:val="00490E72"/>
    <w:rsid w:val="00491157"/>
    <w:rsid w:val="004919CC"/>
    <w:rsid w:val="004921C8"/>
    <w:rsid w:val="00495B0B"/>
    <w:rsid w:val="004A1B8B"/>
    <w:rsid w:val="004D1851"/>
    <w:rsid w:val="004D599D"/>
    <w:rsid w:val="004E2EA5"/>
    <w:rsid w:val="004E3AEB"/>
    <w:rsid w:val="0050223C"/>
    <w:rsid w:val="005243FF"/>
    <w:rsid w:val="00564FBC"/>
    <w:rsid w:val="005800BC"/>
    <w:rsid w:val="00582442"/>
    <w:rsid w:val="005C11D3"/>
    <w:rsid w:val="005F3269"/>
    <w:rsid w:val="00606D36"/>
    <w:rsid w:val="00623AE3"/>
    <w:rsid w:val="0064737F"/>
    <w:rsid w:val="006535F1"/>
    <w:rsid w:val="0065557D"/>
    <w:rsid w:val="00660D50"/>
    <w:rsid w:val="00661C03"/>
    <w:rsid w:val="00662984"/>
    <w:rsid w:val="006716BB"/>
    <w:rsid w:val="006A7314"/>
    <w:rsid w:val="006B1859"/>
    <w:rsid w:val="006B6680"/>
    <w:rsid w:val="006B6DCC"/>
    <w:rsid w:val="00702DEF"/>
    <w:rsid w:val="00706861"/>
    <w:rsid w:val="0075051B"/>
    <w:rsid w:val="00793188"/>
    <w:rsid w:val="00794D34"/>
    <w:rsid w:val="00813E5E"/>
    <w:rsid w:val="00821AC8"/>
    <w:rsid w:val="0082315B"/>
    <w:rsid w:val="0083581B"/>
    <w:rsid w:val="008440E9"/>
    <w:rsid w:val="00863874"/>
    <w:rsid w:val="00864AFF"/>
    <w:rsid w:val="00865925"/>
    <w:rsid w:val="008B4A6A"/>
    <w:rsid w:val="008C62D7"/>
    <w:rsid w:val="008C7E27"/>
    <w:rsid w:val="008F7448"/>
    <w:rsid w:val="0090147A"/>
    <w:rsid w:val="009173EF"/>
    <w:rsid w:val="00932906"/>
    <w:rsid w:val="00961B0B"/>
    <w:rsid w:val="00977302"/>
    <w:rsid w:val="009B38C3"/>
    <w:rsid w:val="009E17BD"/>
    <w:rsid w:val="009E485A"/>
    <w:rsid w:val="00A04CEC"/>
    <w:rsid w:val="00A27F92"/>
    <w:rsid w:val="00A32257"/>
    <w:rsid w:val="00A36D20"/>
    <w:rsid w:val="00A44716"/>
    <w:rsid w:val="00A514A4"/>
    <w:rsid w:val="00A54171"/>
    <w:rsid w:val="00A55622"/>
    <w:rsid w:val="00A72FED"/>
    <w:rsid w:val="00A83502"/>
    <w:rsid w:val="00AD15B3"/>
    <w:rsid w:val="00AD3606"/>
    <w:rsid w:val="00AD4A3D"/>
    <w:rsid w:val="00AF6E49"/>
    <w:rsid w:val="00B04A67"/>
    <w:rsid w:val="00B0583C"/>
    <w:rsid w:val="00B40A81"/>
    <w:rsid w:val="00B44910"/>
    <w:rsid w:val="00B637DF"/>
    <w:rsid w:val="00B72267"/>
    <w:rsid w:val="00B76EB6"/>
    <w:rsid w:val="00B7737B"/>
    <w:rsid w:val="00B77A6F"/>
    <w:rsid w:val="00B824C8"/>
    <w:rsid w:val="00B84B9D"/>
    <w:rsid w:val="00BC251A"/>
    <w:rsid w:val="00BD032B"/>
    <w:rsid w:val="00BE2640"/>
    <w:rsid w:val="00C01189"/>
    <w:rsid w:val="00C33B22"/>
    <w:rsid w:val="00C374DE"/>
    <w:rsid w:val="00C45268"/>
    <w:rsid w:val="00C47AD4"/>
    <w:rsid w:val="00C52D81"/>
    <w:rsid w:val="00C55198"/>
    <w:rsid w:val="00CA6393"/>
    <w:rsid w:val="00CB18FF"/>
    <w:rsid w:val="00CB7423"/>
    <w:rsid w:val="00CD0C08"/>
    <w:rsid w:val="00CE03FB"/>
    <w:rsid w:val="00CE433C"/>
    <w:rsid w:val="00CF0161"/>
    <w:rsid w:val="00CF33F3"/>
    <w:rsid w:val="00D06183"/>
    <w:rsid w:val="00D078DB"/>
    <w:rsid w:val="00D20CAC"/>
    <w:rsid w:val="00D22C42"/>
    <w:rsid w:val="00D65041"/>
    <w:rsid w:val="00DB1936"/>
    <w:rsid w:val="00DB384B"/>
    <w:rsid w:val="00DD59A4"/>
    <w:rsid w:val="00DE5DFC"/>
    <w:rsid w:val="00DF0189"/>
    <w:rsid w:val="00E06FD5"/>
    <w:rsid w:val="00E10E80"/>
    <w:rsid w:val="00E124F0"/>
    <w:rsid w:val="00E46D69"/>
    <w:rsid w:val="00E60F04"/>
    <w:rsid w:val="00E65B24"/>
    <w:rsid w:val="00E84FF8"/>
    <w:rsid w:val="00E854E4"/>
    <w:rsid w:val="00E86DBF"/>
    <w:rsid w:val="00EB0D6F"/>
    <w:rsid w:val="00EB2232"/>
    <w:rsid w:val="00EB7DF7"/>
    <w:rsid w:val="00EC5337"/>
    <w:rsid w:val="00EE46BA"/>
    <w:rsid w:val="00EE49E8"/>
    <w:rsid w:val="00F16BAB"/>
    <w:rsid w:val="00F2150A"/>
    <w:rsid w:val="00F231D8"/>
    <w:rsid w:val="00F44C00"/>
    <w:rsid w:val="00F46C5F"/>
    <w:rsid w:val="00F62F27"/>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20CAC"/>
    <w:pPr>
      <w:framePr w:hSpace="180" w:wrap="around" w:vAnchor="page" w:hAnchor="page" w:x="1821" w:y="2317"/>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123263"/>
    <w:rPr>
      <w:rFonts w:ascii="Calibri" w:hAnsi="Calibri"/>
      <w:sz w:val="24"/>
      <w:lang w:val="en-GB" w:eastAsia="en-US"/>
    </w:rPr>
  </w:style>
  <w:style w:type="character" w:styleId="UnresolvedMention">
    <w:name w:val="Unresolved Mention"/>
    <w:basedOn w:val="DefaultParagraphFont"/>
    <w:uiPriority w:val="99"/>
    <w:semiHidden/>
    <w:unhideWhenUsed/>
    <w:rsid w:val="00123263"/>
    <w:rPr>
      <w:color w:val="605E5C"/>
      <w:shd w:val="clear" w:color="auto" w:fill="E1DFDD"/>
    </w:rPr>
  </w:style>
  <w:style w:type="paragraph" w:styleId="ListParagraph">
    <w:name w:val="List Paragraph"/>
    <w:basedOn w:val="Normal"/>
    <w:uiPriority w:val="34"/>
    <w:qFormat/>
    <w:rsid w:val="00606D36"/>
    <w:pPr>
      <w:ind w:left="720"/>
      <w:contextualSpacing/>
    </w:pPr>
  </w:style>
  <w:style w:type="character" w:customStyle="1" w:styleId="NormalaftertitleChar">
    <w:name w:val="Normal after title Char"/>
    <w:basedOn w:val="DefaultParagraphFont"/>
    <w:link w:val="Normalaftertitle"/>
    <w:rsid w:val="00606D36"/>
    <w:rPr>
      <w:rFonts w:ascii="Calibri" w:hAnsi="Calibri"/>
      <w:sz w:val="24"/>
      <w:lang w:val="en-GB" w:eastAsia="en-US"/>
    </w:rPr>
  </w:style>
  <w:style w:type="character" w:customStyle="1" w:styleId="CallChar">
    <w:name w:val="Call Char"/>
    <w:link w:val="Call"/>
    <w:rsid w:val="00606D36"/>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965290?l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library.un.org/record/3965290?ln=e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998</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Multi-country contribution - Proposal on the update of the ITU Council Resolution 1408 on "Assistance and support to Ukraine for rebuilding their telecommunication sector"</vt:lpstr>
    </vt:vector>
  </TitlesOfParts>
  <Manager>General Secretariat - Pool</Manager>
  <Company>International Telecommunication Union (ITU)</Company>
  <LinksUpToDate>false</LinksUpToDate>
  <CharactersWithSpaces>7201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1408 (Modified 2023) - Assistance and support to Ukraine for rebuilding their  telecommunication sector</dc:title>
  <dc:subject>Council 2023</dc:subject>
  <dc:creator/>
  <cp:keywords>C2023, C23, Council-23</cp:keywords>
  <dc:description/>
  <cp:lastModifiedBy>Brouard, Ricarda</cp:lastModifiedBy>
  <cp:revision>4</cp:revision>
  <cp:lastPrinted>2000-07-18T13:30:00Z</cp:lastPrinted>
  <dcterms:created xsi:type="dcterms:W3CDTF">2023-08-04T16:09:00Z</dcterms:created>
  <dcterms:modified xsi:type="dcterms:W3CDTF">2023-08-04T16:31:00Z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