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12100F6B"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340985A2" w:rsidR="00AD3606" w:rsidRPr="00E85629" w:rsidRDefault="00AD3606" w:rsidP="00472BAD">
            <w:pPr>
              <w:tabs>
                <w:tab w:val="left" w:pos="851"/>
              </w:tabs>
              <w:spacing w:before="0" w:line="240" w:lineRule="atLeast"/>
              <w:jc w:val="right"/>
              <w:rPr>
                <w:b/>
              </w:rPr>
            </w:pPr>
            <w:r>
              <w:rPr>
                <w:b/>
              </w:rPr>
              <w:t>Document C23/</w:t>
            </w:r>
            <w:r w:rsidR="005D3A3E">
              <w:rPr>
                <w:b/>
              </w:rPr>
              <w:t>121</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5A188F78" w:rsidR="00AD3606" w:rsidRPr="00E85629" w:rsidRDefault="005D3A3E" w:rsidP="00AD3606">
            <w:pPr>
              <w:tabs>
                <w:tab w:val="left" w:pos="851"/>
              </w:tabs>
              <w:spacing w:before="0"/>
              <w:jc w:val="right"/>
              <w:rPr>
                <w:b/>
              </w:rPr>
            </w:pPr>
            <w:r>
              <w:rPr>
                <w:b/>
              </w:rPr>
              <w:t>4 August</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39C97865" w:rsidR="00AD3606" w:rsidRPr="00E85629" w:rsidRDefault="00AD3606" w:rsidP="00AD3606">
            <w:pPr>
              <w:tabs>
                <w:tab w:val="left" w:pos="851"/>
              </w:tabs>
              <w:spacing w:before="0" w:line="240" w:lineRule="atLeast"/>
              <w:jc w:val="right"/>
              <w:rPr>
                <w:b/>
              </w:rPr>
            </w:pPr>
            <w:r>
              <w:rPr>
                <w:b/>
              </w:rPr>
              <w:t xml:space="preserve">Original: </w:t>
            </w:r>
            <w:r w:rsidR="00B946AF">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011C97AE" w:rsidR="00AD3606" w:rsidRPr="00813E5E" w:rsidRDefault="00AD3606" w:rsidP="00620FC2">
            <w:pPr>
              <w:pStyle w:val="Source"/>
              <w:framePr w:hSpace="0" w:wrap="auto" w:vAnchor="margin" w:hAnchor="text" w:xAlign="left" w:yAlign="inline"/>
            </w:pPr>
            <w:bookmarkStart w:id="4" w:name="dsource" w:colFirst="0" w:colLast="0"/>
            <w:bookmarkEnd w:id="3"/>
          </w:p>
        </w:tc>
      </w:tr>
    </w:tbl>
    <w:bookmarkEnd w:id="4"/>
    <w:p w14:paraId="37678CBB" w14:textId="7BFF4E37" w:rsidR="00586249" w:rsidRPr="00586249" w:rsidRDefault="00586249" w:rsidP="00586249">
      <w:pPr>
        <w:pStyle w:val="AnnexNo"/>
      </w:pPr>
      <w:r w:rsidRPr="00586249">
        <w:t>Resolution 1379 (</w:t>
      </w:r>
      <w:r w:rsidR="00784FCB">
        <w:t>Modified 2023</w:t>
      </w:r>
      <w:r w:rsidRPr="00586249">
        <w:t>)</w:t>
      </w:r>
    </w:p>
    <w:p w14:paraId="1A8EC404" w14:textId="419CC047" w:rsidR="00586249" w:rsidRPr="00586249" w:rsidRDefault="00586249" w:rsidP="00784FCB">
      <w:pPr>
        <w:tabs>
          <w:tab w:val="clear" w:pos="567"/>
          <w:tab w:val="clear" w:pos="1134"/>
          <w:tab w:val="clear" w:pos="1701"/>
          <w:tab w:val="clear" w:pos="2268"/>
          <w:tab w:val="clear" w:pos="2835"/>
        </w:tabs>
        <w:overflowPunct/>
        <w:autoSpaceDE/>
        <w:autoSpaceDN/>
        <w:adjustRightInd/>
        <w:snapToGrid w:val="0"/>
        <w:spacing w:line="259" w:lineRule="auto"/>
        <w:jc w:val="center"/>
        <w:textAlignment w:val="auto"/>
        <w:rPr>
          <w:rFonts w:asciiTheme="minorHAnsi" w:eastAsiaTheme="minorHAnsi" w:hAnsiTheme="minorHAnsi" w:cstheme="minorBidi"/>
          <w:caps/>
          <w:kern w:val="2"/>
          <w:sz w:val="28"/>
          <w:szCs w:val="22"/>
          <w14:ligatures w14:val="standardContextual"/>
        </w:rPr>
      </w:pPr>
      <w:r w:rsidRPr="00586249">
        <w:rPr>
          <w:rFonts w:asciiTheme="minorHAnsi" w:eastAsiaTheme="minorHAnsi" w:hAnsiTheme="minorHAnsi" w:cstheme="minorBidi"/>
          <w:kern w:val="2"/>
          <w:sz w:val="28"/>
          <w:szCs w:val="28"/>
          <w14:ligatures w14:val="standardContextual"/>
        </w:rPr>
        <w:t>(</w:t>
      </w:r>
      <w:proofErr w:type="gramStart"/>
      <w:r w:rsidRPr="00586249">
        <w:rPr>
          <w:rFonts w:asciiTheme="minorHAnsi" w:eastAsiaTheme="minorHAnsi" w:hAnsiTheme="minorHAnsi" w:cstheme="minorBidi"/>
          <w:kern w:val="2"/>
          <w:sz w:val="28"/>
          <w:szCs w:val="28"/>
          <w14:ligatures w14:val="standardContextual"/>
        </w:rPr>
        <w:t>adopted</w:t>
      </w:r>
      <w:proofErr w:type="gramEnd"/>
      <w:r w:rsidRPr="00586249">
        <w:rPr>
          <w:rFonts w:asciiTheme="minorHAnsi" w:eastAsiaTheme="minorHAnsi" w:hAnsiTheme="minorHAnsi" w:cstheme="minorBidi"/>
          <w:kern w:val="2"/>
          <w:sz w:val="28"/>
          <w:szCs w:val="28"/>
          <w14:ligatures w14:val="standardContextual"/>
        </w:rPr>
        <w:t xml:space="preserve"> at the </w:t>
      </w:r>
      <w:r w:rsidR="00784FCB">
        <w:rPr>
          <w:rFonts w:asciiTheme="minorHAnsi" w:eastAsiaTheme="minorHAnsi" w:hAnsiTheme="minorHAnsi" w:cstheme="minorBidi"/>
          <w:kern w:val="2"/>
          <w:sz w:val="28"/>
          <w:szCs w:val="28"/>
          <w14:ligatures w14:val="standardContextual"/>
        </w:rPr>
        <w:t>fourth</w:t>
      </w:r>
      <w:r>
        <w:rPr>
          <w:rFonts w:asciiTheme="minorHAnsi" w:eastAsiaTheme="minorHAnsi" w:hAnsiTheme="minorHAnsi" w:cstheme="minorBidi"/>
          <w:kern w:val="2"/>
          <w:sz w:val="28"/>
          <w:szCs w:val="28"/>
          <w14:ligatures w14:val="standardContextual"/>
        </w:rPr>
        <w:t xml:space="preserve"> </w:t>
      </w:r>
      <w:r w:rsidRPr="00586249">
        <w:rPr>
          <w:rFonts w:asciiTheme="minorHAnsi" w:eastAsiaTheme="minorHAnsi" w:hAnsiTheme="minorHAnsi" w:cstheme="minorBidi"/>
          <w:kern w:val="2"/>
          <w:sz w:val="28"/>
          <w:szCs w:val="28"/>
          <w14:ligatures w14:val="standardContextual"/>
        </w:rPr>
        <w:t xml:space="preserve">Plenary </w:t>
      </w:r>
      <w:r w:rsidR="00784FCB">
        <w:rPr>
          <w:rFonts w:asciiTheme="minorHAnsi" w:eastAsiaTheme="minorHAnsi" w:hAnsiTheme="minorHAnsi" w:cstheme="minorBidi"/>
          <w:kern w:val="2"/>
          <w:sz w:val="28"/>
          <w:szCs w:val="28"/>
          <w14:ligatures w14:val="standardContextual"/>
        </w:rPr>
        <w:t>m</w:t>
      </w:r>
      <w:r w:rsidRPr="00586249">
        <w:rPr>
          <w:rFonts w:asciiTheme="minorHAnsi" w:eastAsiaTheme="minorHAnsi" w:hAnsiTheme="minorHAnsi" w:cstheme="minorBidi"/>
          <w:kern w:val="2"/>
          <w:sz w:val="28"/>
          <w:szCs w:val="28"/>
          <w14:ligatures w14:val="standardContextual"/>
        </w:rPr>
        <w:t>eeting)</w:t>
      </w:r>
    </w:p>
    <w:p w14:paraId="72029E5F" w14:textId="77777777" w:rsidR="00586249" w:rsidRPr="00586249" w:rsidRDefault="00586249" w:rsidP="00586249">
      <w:pPr>
        <w:pStyle w:val="Annextitle"/>
      </w:pPr>
      <w:r w:rsidRPr="00586249">
        <w:t>Expert Group on the International Telecommunication Regulations (EG-ITRs)</w:t>
      </w:r>
    </w:p>
    <w:p w14:paraId="6982A94E" w14:textId="1324D3BE" w:rsidR="00586249" w:rsidRPr="00586249" w:rsidRDefault="00586249" w:rsidP="00586249">
      <w:pPr>
        <w:pStyle w:val="Normalaftertitle"/>
      </w:pPr>
      <w:r w:rsidRPr="00586249">
        <w:t xml:space="preserve">The </w:t>
      </w:r>
      <w:r>
        <w:t xml:space="preserve">ITU </w:t>
      </w:r>
      <w:r w:rsidRPr="00586249">
        <w:t>Council,</w:t>
      </w:r>
    </w:p>
    <w:p w14:paraId="54A60CD8" w14:textId="77777777" w:rsidR="00586249" w:rsidRPr="00586249" w:rsidRDefault="00586249" w:rsidP="00586249">
      <w:pPr>
        <w:pStyle w:val="Call"/>
      </w:pPr>
      <w:r w:rsidRPr="00586249">
        <w:t>considering</w:t>
      </w:r>
    </w:p>
    <w:p w14:paraId="0147AFD0" w14:textId="77777777" w:rsidR="00586249" w:rsidRPr="00586249" w:rsidRDefault="00586249" w:rsidP="00586249">
      <w:r w:rsidRPr="00586249">
        <w:rPr>
          <w:i/>
        </w:rPr>
        <w:t>a)</w:t>
      </w:r>
      <w:r w:rsidRPr="00586249">
        <w:tab/>
        <w:t>Article 25 of the ITU Constitution, on World Conferences on International Telecommunications (WCIT</w:t>
      </w:r>
      <w:proofErr w:type="gramStart"/>
      <w:r w:rsidRPr="00586249">
        <w:t>);</w:t>
      </w:r>
      <w:proofErr w:type="gramEnd"/>
    </w:p>
    <w:p w14:paraId="36305CE9" w14:textId="77777777" w:rsidR="00586249" w:rsidRPr="00586249" w:rsidRDefault="00586249" w:rsidP="00586249">
      <w:r w:rsidRPr="00586249">
        <w:rPr>
          <w:i/>
        </w:rPr>
        <w:t>b)</w:t>
      </w:r>
      <w:r w:rsidRPr="00586249">
        <w:tab/>
        <w:t xml:space="preserve">No. 48 in Article 3 of the ITU Convention, on other conferences and </w:t>
      </w:r>
      <w:proofErr w:type="gramStart"/>
      <w:r w:rsidRPr="00586249">
        <w:t>assemblies;</w:t>
      </w:r>
      <w:proofErr w:type="gramEnd"/>
    </w:p>
    <w:p w14:paraId="78691FC6" w14:textId="77777777" w:rsidR="00586249" w:rsidRPr="00586249" w:rsidRDefault="00586249" w:rsidP="00586249">
      <w:r w:rsidRPr="00586249">
        <w:rPr>
          <w:i/>
          <w:iCs/>
        </w:rPr>
        <w:t>c)</w:t>
      </w:r>
      <w:r w:rsidRPr="00586249">
        <w:tab/>
        <w:t xml:space="preserve">Resolution 146 (Rev. Bucharest, 2022) of the Plenipotentiary Conference, on Periodic review and revision of the International Telecommunication </w:t>
      </w:r>
      <w:proofErr w:type="gramStart"/>
      <w:r w:rsidRPr="00586249">
        <w:t>Regulations;</w:t>
      </w:r>
      <w:proofErr w:type="gramEnd"/>
    </w:p>
    <w:p w14:paraId="73F4DF05" w14:textId="77777777" w:rsidR="00586249" w:rsidRPr="00586249" w:rsidRDefault="00586249" w:rsidP="00586249">
      <w:r w:rsidRPr="00586249">
        <w:rPr>
          <w:i/>
        </w:rPr>
        <w:t>d)</w:t>
      </w:r>
      <w:r w:rsidRPr="00586249">
        <w:tab/>
        <w:t>Resolution 4 (Dubai, 2012) of the World Conference on International Telecommunications, on periodic review of the International Telecommunication Regulations,</w:t>
      </w:r>
    </w:p>
    <w:p w14:paraId="141CB8D5" w14:textId="77777777" w:rsidR="00586249" w:rsidRPr="00586249" w:rsidRDefault="00586249" w:rsidP="00586249">
      <w:pPr>
        <w:pStyle w:val="Call"/>
      </w:pPr>
      <w:r w:rsidRPr="00586249">
        <w:t>recalling</w:t>
      </w:r>
    </w:p>
    <w:p w14:paraId="2CEB7A27" w14:textId="5F05B98C" w:rsidR="00586249" w:rsidRPr="00586249" w:rsidRDefault="00586249" w:rsidP="00586249">
      <w:r w:rsidRPr="00586249">
        <w:rPr>
          <w:i/>
          <w:iCs/>
        </w:rPr>
        <w:t>a)</w:t>
      </w:r>
      <w:r>
        <w:tab/>
      </w:r>
      <w:r w:rsidRPr="00586249">
        <w:t>2016 Council created an Expert Group on the International Telecommunication Regulations</w:t>
      </w:r>
      <w:r w:rsidRPr="00586249">
        <w:rPr>
          <w:spacing w:val="2"/>
        </w:rPr>
        <w:t xml:space="preserve"> </w:t>
      </w:r>
      <w:r w:rsidRPr="00586249">
        <w:t xml:space="preserve">that pursuant to its terms of reference prepared a final report on the review of the 2012 ITRs subsequently submitted to the 2018 Plenipotentiary </w:t>
      </w:r>
      <w:proofErr w:type="gramStart"/>
      <w:r w:rsidRPr="00586249">
        <w:t>Conference;</w:t>
      </w:r>
      <w:proofErr w:type="gramEnd"/>
    </w:p>
    <w:p w14:paraId="60B9FB8A" w14:textId="6AC2E2DD" w:rsidR="00586249" w:rsidRPr="00586249" w:rsidRDefault="00586249" w:rsidP="00586249">
      <w:r w:rsidRPr="00586249">
        <w:rPr>
          <w:i/>
          <w:iCs/>
        </w:rPr>
        <w:t>b)</w:t>
      </w:r>
      <w:r>
        <w:tab/>
      </w:r>
      <w:r w:rsidRPr="00586249">
        <w:t>2019 Council re-convened an Expert Group on the International Telecommunication Regulations that pursuant to its terms of reference prepared a final report on the review of the 2012 ITRs subsequently submitted to the 2022 Plenipotentiary Conference,</w:t>
      </w:r>
    </w:p>
    <w:p w14:paraId="59F3C103" w14:textId="77777777" w:rsidR="00586249" w:rsidRPr="00586249" w:rsidRDefault="00586249" w:rsidP="00586249">
      <w:pPr>
        <w:pStyle w:val="Call"/>
      </w:pPr>
      <w:r w:rsidRPr="00586249">
        <w:t>resolves</w:t>
      </w:r>
    </w:p>
    <w:p w14:paraId="77406ECC" w14:textId="6A4281B9" w:rsidR="00586249" w:rsidRPr="00586249" w:rsidRDefault="00586249" w:rsidP="00586249">
      <w:r w:rsidRPr="00586249">
        <w:t>1</w:t>
      </w:r>
      <w:r w:rsidRPr="00586249">
        <w:tab/>
        <w:t xml:space="preserve">that an Expert Group on the International Telecommunication Regulations (EG-ITRs), open to the ITU Member States and Sector Members, be reconvened to continue consideration of issues relating to the ITRs, including their review, with the Terms of Reference shown in Annex 1 of this </w:t>
      </w:r>
      <w:proofErr w:type="gramStart"/>
      <w:r w:rsidR="00784FCB">
        <w:t>r</w:t>
      </w:r>
      <w:r w:rsidRPr="00586249">
        <w:t>esolution;</w:t>
      </w:r>
      <w:proofErr w:type="gramEnd"/>
    </w:p>
    <w:p w14:paraId="7DE778B9" w14:textId="77777777" w:rsidR="00586249" w:rsidRPr="00586249" w:rsidRDefault="00586249" w:rsidP="00586249">
      <w:r w:rsidRPr="00586249">
        <w:t>2</w:t>
      </w:r>
      <w:r w:rsidRPr="00586249">
        <w:tab/>
        <w:t xml:space="preserve">that the Group has a </w:t>
      </w:r>
      <w:proofErr w:type="gramStart"/>
      <w:r w:rsidRPr="00586249">
        <w:t>Chairman</w:t>
      </w:r>
      <w:proofErr w:type="gramEnd"/>
      <w:r w:rsidRPr="00586249">
        <w:t xml:space="preserve"> and six Vice-Chairmen, one from each ITU region, nominated by Council and taking into account competency and qualification as well as enhancing gender balance;</w:t>
      </w:r>
    </w:p>
    <w:p w14:paraId="340F51B6" w14:textId="77777777" w:rsidR="00586249" w:rsidRPr="00586249" w:rsidRDefault="00586249" w:rsidP="00586249">
      <w:r w:rsidRPr="00586249">
        <w:lastRenderedPageBreak/>
        <w:t>3</w:t>
      </w:r>
      <w:r w:rsidRPr="00586249">
        <w:tab/>
        <w:t xml:space="preserve">that the EG-ITRs shall prepare a progress report to the annual sessions of the </w:t>
      </w:r>
      <w:proofErr w:type="gramStart"/>
      <w:r w:rsidRPr="00586249">
        <w:t>Council;</w:t>
      </w:r>
      <w:proofErr w:type="gramEnd"/>
    </w:p>
    <w:p w14:paraId="4ABE7A60" w14:textId="77777777" w:rsidR="00586249" w:rsidRPr="00586249" w:rsidRDefault="00586249" w:rsidP="00586249">
      <w:r w:rsidRPr="00586249">
        <w:t>4</w:t>
      </w:r>
      <w:r w:rsidRPr="00586249">
        <w:tab/>
        <w:t xml:space="preserve">that the EG-ITRs shall prepare a final report to the 2026 session of the Council for submission of the report to the 2026 Plenipotentiary Conference with the Council's </w:t>
      </w:r>
      <w:proofErr w:type="gramStart"/>
      <w:r w:rsidRPr="00586249">
        <w:t>comments;</w:t>
      </w:r>
      <w:proofErr w:type="gramEnd"/>
    </w:p>
    <w:p w14:paraId="086984C1" w14:textId="77777777" w:rsidR="00586249" w:rsidRPr="00586249" w:rsidRDefault="00586249" w:rsidP="00586249">
      <w:r w:rsidRPr="00586249">
        <w:t>5</w:t>
      </w:r>
      <w:r w:rsidRPr="00586249">
        <w:tab/>
        <w:t xml:space="preserve">that the General Rules of conferences, assemblies, and meetings of the Union and Rules of procedure of the Council related to working groups of the Council shall apply to the </w:t>
      </w:r>
      <w:proofErr w:type="gramStart"/>
      <w:r w:rsidRPr="00586249">
        <w:t>Group;</w:t>
      </w:r>
      <w:proofErr w:type="gramEnd"/>
    </w:p>
    <w:p w14:paraId="5316855A" w14:textId="4310E3B1" w:rsidR="00586249" w:rsidRPr="00586249" w:rsidRDefault="00586249" w:rsidP="00586249">
      <w:r w:rsidRPr="00586249">
        <w:rPr>
          <w:rFonts w:cs="Calibri"/>
          <w:spacing w:val="1"/>
          <w:position w:val="2"/>
        </w:rPr>
        <w:t>6</w:t>
      </w:r>
      <w:r w:rsidRPr="00586249">
        <w:rPr>
          <w:rFonts w:cs="Calibri"/>
          <w:spacing w:val="1"/>
          <w:position w:val="2"/>
        </w:rPr>
        <w:tab/>
      </w:r>
      <w:r w:rsidRPr="003C5F7D">
        <w:t xml:space="preserve">that where required, </w:t>
      </w:r>
      <w:r w:rsidR="003C5F7D">
        <w:t xml:space="preserve">to </w:t>
      </w:r>
      <w:r w:rsidRPr="003C5F7D">
        <w:t>provide</w:t>
      </w:r>
      <w:r w:rsidRPr="00586249">
        <w:t xml:space="preserve"> interpretation in the six ITU official languages, captioning and </w:t>
      </w:r>
      <w:proofErr w:type="gramStart"/>
      <w:r w:rsidRPr="00586249">
        <w:t>transcription</w:t>
      </w:r>
      <w:r w:rsidRPr="00586249">
        <w:rPr>
          <w:rFonts w:cs="Calibri"/>
          <w:position w:val="1"/>
        </w:rPr>
        <w:t>;</w:t>
      </w:r>
      <w:proofErr w:type="gramEnd"/>
    </w:p>
    <w:p w14:paraId="2206B21A" w14:textId="77777777" w:rsidR="00586249" w:rsidRPr="00586249" w:rsidRDefault="00586249" w:rsidP="00586249">
      <w:r w:rsidRPr="00586249">
        <w:t>7</w:t>
      </w:r>
      <w:r w:rsidRPr="00586249">
        <w:tab/>
        <w:t xml:space="preserve">that all the output documents of meetings of the Group shall be made publicly available consistent with the ITU’s document access policy, and that all input documents shall be made publicly available subject to the decision of the </w:t>
      </w:r>
      <w:proofErr w:type="gramStart"/>
      <w:r w:rsidRPr="00586249">
        <w:t>submitter;</w:t>
      </w:r>
      <w:proofErr w:type="gramEnd"/>
    </w:p>
    <w:p w14:paraId="75EB5234" w14:textId="77777777" w:rsidR="00586249" w:rsidRPr="00586249" w:rsidRDefault="00586249" w:rsidP="00586249">
      <w:r w:rsidRPr="00586249">
        <w:t>8</w:t>
      </w:r>
      <w:r w:rsidRPr="00586249">
        <w:tab/>
        <w:t>that the EG-ITRs should meet preferably physically as part of the cluster of Council Working Group meetings,</w:t>
      </w:r>
    </w:p>
    <w:p w14:paraId="5FBD8F06" w14:textId="77777777" w:rsidR="00586249" w:rsidRPr="00586249" w:rsidRDefault="00586249" w:rsidP="00586249">
      <w:pPr>
        <w:pStyle w:val="Call"/>
      </w:pPr>
      <w:r w:rsidRPr="00586249">
        <w:t xml:space="preserve">instructs the </w:t>
      </w:r>
      <w:proofErr w:type="gramStart"/>
      <w:r w:rsidRPr="00586249">
        <w:t>Secretary-General</w:t>
      </w:r>
      <w:proofErr w:type="gramEnd"/>
    </w:p>
    <w:p w14:paraId="0624B605" w14:textId="494DFD46" w:rsidR="00586249" w:rsidRPr="00586249" w:rsidRDefault="00586249" w:rsidP="00586249">
      <w:r w:rsidRPr="00586249">
        <w:rPr>
          <w:spacing w:val="1"/>
        </w:rPr>
        <w:t>t</w:t>
      </w:r>
      <w:r w:rsidRPr="00586249">
        <w:t>o</w:t>
      </w:r>
      <w:r w:rsidRPr="00586249">
        <w:rPr>
          <w:spacing w:val="-4"/>
        </w:rPr>
        <w:t xml:space="preserve"> </w:t>
      </w:r>
      <w:r w:rsidRPr="00586249">
        <w:t>ma</w:t>
      </w:r>
      <w:r w:rsidRPr="00586249">
        <w:rPr>
          <w:spacing w:val="2"/>
        </w:rPr>
        <w:t>k</w:t>
      </w:r>
      <w:r w:rsidRPr="00586249">
        <w:t>e</w:t>
      </w:r>
      <w:r w:rsidRPr="00586249">
        <w:rPr>
          <w:spacing w:val="-6"/>
        </w:rPr>
        <w:t xml:space="preserve"> </w:t>
      </w:r>
      <w:r w:rsidRPr="00586249">
        <w:t>nece</w:t>
      </w:r>
      <w:r w:rsidRPr="00586249">
        <w:rPr>
          <w:spacing w:val="2"/>
        </w:rPr>
        <w:t>ss</w:t>
      </w:r>
      <w:r w:rsidRPr="00586249">
        <w:t>a</w:t>
      </w:r>
      <w:r w:rsidRPr="00586249">
        <w:rPr>
          <w:spacing w:val="-2"/>
        </w:rPr>
        <w:t>r</w:t>
      </w:r>
      <w:r w:rsidRPr="00586249">
        <w:t>y</w:t>
      </w:r>
      <w:r w:rsidRPr="00586249">
        <w:rPr>
          <w:spacing w:val="-7"/>
        </w:rPr>
        <w:t xml:space="preserve"> </w:t>
      </w:r>
      <w:r w:rsidRPr="00586249">
        <w:t>a</w:t>
      </w:r>
      <w:r w:rsidRPr="00586249">
        <w:rPr>
          <w:spacing w:val="-2"/>
        </w:rPr>
        <w:t>rr</w:t>
      </w:r>
      <w:r w:rsidRPr="00586249">
        <w:t>an</w:t>
      </w:r>
      <w:r w:rsidRPr="00586249">
        <w:rPr>
          <w:spacing w:val="2"/>
        </w:rPr>
        <w:t>g</w:t>
      </w:r>
      <w:r w:rsidRPr="00586249">
        <w:t>em</w:t>
      </w:r>
      <w:r w:rsidRPr="00586249">
        <w:rPr>
          <w:spacing w:val="1"/>
        </w:rPr>
        <w:t>e</w:t>
      </w:r>
      <w:r w:rsidRPr="00586249">
        <w:t>n</w:t>
      </w:r>
      <w:r w:rsidRPr="00586249">
        <w:rPr>
          <w:spacing w:val="1"/>
        </w:rPr>
        <w:t>t</w:t>
      </w:r>
      <w:r w:rsidRPr="00586249">
        <w:t>s</w:t>
      </w:r>
      <w:r w:rsidRPr="00586249">
        <w:rPr>
          <w:spacing w:val="-9"/>
        </w:rPr>
        <w:t xml:space="preserve"> </w:t>
      </w:r>
      <w:r w:rsidRPr="00586249">
        <w:t xml:space="preserve">to implement this </w:t>
      </w:r>
      <w:r w:rsidR="00784FCB">
        <w:rPr>
          <w:spacing w:val="-2"/>
        </w:rPr>
        <w:t>r</w:t>
      </w:r>
      <w:r w:rsidRPr="00586249">
        <w:t>e</w:t>
      </w:r>
      <w:r w:rsidRPr="00586249">
        <w:rPr>
          <w:spacing w:val="2"/>
        </w:rPr>
        <w:t>s</w:t>
      </w:r>
      <w:r w:rsidRPr="00586249">
        <w:rPr>
          <w:spacing w:val="-2"/>
        </w:rPr>
        <w:t>o</w:t>
      </w:r>
      <w:r w:rsidRPr="00586249">
        <w:rPr>
          <w:spacing w:val="2"/>
        </w:rPr>
        <w:t>l</w:t>
      </w:r>
      <w:r w:rsidRPr="00586249">
        <w:t>u</w:t>
      </w:r>
      <w:r w:rsidRPr="00586249">
        <w:rPr>
          <w:spacing w:val="1"/>
        </w:rPr>
        <w:t>t</w:t>
      </w:r>
      <w:r w:rsidRPr="00586249">
        <w:rPr>
          <w:spacing w:val="-2"/>
        </w:rPr>
        <w:t>i</w:t>
      </w:r>
      <w:r w:rsidRPr="00586249">
        <w:rPr>
          <w:spacing w:val="3"/>
        </w:rPr>
        <w:t>o</w:t>
      </w:r>
      <w:r w:rsidRPr="00586249">
        <w:t>n,</w:t>
      </w:r>
    </w:p>
    <w:p w14:paraId="49679351" w14:textId="77777777" w:rsidR="00586249" w:rsidRPr="00586249" w:rsidRDefault="00586249" w:rsidP="00586249">
      <w:pPr>
        <w:pStyle w:val="Call"/>
      </w:pPr>
      <w:bookmarkStart w:id="5" w:name="_Hlk142051470"/>
      <w:r w:rsidRPr="00586249">
        <w:t>instructs the Directors of the Bureaux</w:t>
      </w:r>
    </w:p>
    <w:p w14:paraId="258B586E" w14:textId="77777777" w:rsidR="00586249" w:rsidRPr="00586249" w:rsidRDefault="00586249" w:rsidP="00586249">
      <w:r w:rsidRPr="00586249">
        <w:t>1</w:t>
      </w:r>
      <w:r w:rsidRPr="00586249">
        <w:tab/>
        <w:t xml:space="preserve">each within their field of competence, with advice from the relevant advisory group, to contribute to the activities of the EG-ITRs, recognizing that the ITU Telecommunication Standardization Sector has most of the work relevant to the </w:t>
      </w:r>
      <w:proofErr w:type="gramStart"/>
      <w:r w:rsidRPr="00586249">
        <w:t>ITRs;</w:t>
      </w:r>
      <w:proofErr w:type="gramEnd"/>
    </w:p>
    <w:p w14:paraId="6DCC2ACE" w14:textId="4B47A1DB" w:rsidR="00586249" w:rsidRPr="00586249" w:rsidRDefault="00586249" w:rsidP="00586249">
      <w:r w:rsidRPr="00586249">
        <w:t>2</w:t>
      </w:r>
      <w:r w:rsidRPr="00586249">
        <w:tab/>
        <w:t>to submit the results of their work to the EG-</w:t>
      </w:r>
      <w:proofErr w:type="gramStart"/>
      <w:r w:rsidRPr="00586249">
        <w:t>ITR</w:t>
      </w:r>
      <w:r w:rsidR="00A955F6">
        <w:t>s</w:t>
      </w:r>
      <w:r w:rsidRPr="00586249">
        <w:t>;</w:t>
      </w:r>
      <w:proofErr w:type="gramEnd"/>
    </w:p>
    <w:p w14:paraId="4C931F8A" w14:textId="77777777" w:rsidR="00586249" w:rsidRPr="00586249" w:rsidRDefault="00586249" w:rsidP="00586249">
      <w:r w:rsidRPr="00586249">
        <w:t>3</w:t>
      </w:r>
      <w:r w:rsidRPr="00586249">
        <w:tab/>
        <w:t>to consider providing fellowships, where resources are available, for developing</w:t>
      </w:r>
      <w:r w:rsidRPr="00586249">
        <w:rPr>
          <w:position w:val="6"/>
          <w:sz w:val="16"/>
        </w:rPr>
        <w:footnoteReference w:id="1"/>
      </w:r>
      <w:r w:rsidRPr="00586249">
        <w:t xml:space="preserve"> and least developed countries according to the list established by the United Nations, </w:t>
      </w:r>
      <w:proofErr w:type="gramStart"/>
      <w:r w:rsidRPr="00586249">
        <w:t>in order to</w:t>
      </w:r>
      <w:proofErr w:type="gramEnd"/>
      <w:r w:rsidRPr="00586249">
        <w:t xml:space="preserve"> widen participation in the expert group,</w:t>
      </w:r>
    </w:p>
    <w:p w14:paraId="432DD0F7" w14:textId="77777777" w:rsidR="00586249" w:rsidRPr="00586249" w:rsidRDefault="00586249" w:rsidP="00586249">
      <w:pPr>
        <w:pStyle w:val="Call"/>
      </w:pPr>
      <w:r w:rsidRPr="00586249">
        <w:t>invites Member States and Sector Members</w:t>
      </w:r>
    </w:p>
    <w:p w14:paraId="4FB679C8" w14:textId="480A3E01" w:rsidR="00586249" w:rsidRPr="00586249" w:rsidRDefault="00586249" w:rsidP="00586249">
      <w:r w:rsidRPr="00586249">
        <w:t>to participate in and contribute to the activities of EG-ITRs</w:t>
      </w:r>
      <w:r>
        <w:t>.</w:t>
      </w:r>
      <w:bookmarkEnd w:id="5"/>
    </w:p>
    <w:p w14:paraId="6BB8CAAF" w14:textId="06CE2812" w:rsidR="00586249" w:rsidRPr="005D3A3E" w:rsidRDefault="00586249" w:rsidP="005D3A3E">
      <w:pPr>
        <w:spacing w:before="720"/>
        <w:rPr>
          <w:rFonts w:asciiTheme="minorHAnsi" w:eastAsiaTheme="minorHAnsi" w:hAnsiTheme="minorHAnsi" w:cstheme="minorBidi"/>
          <w:i/>
          <w:iCs/>
          <w:caps/>
          <w:kern w:val="2"/>
          <w:sz w:val="28"/>
          <w:szCs w:val="22"/>
          <w14:ligatures w14:val="standardContextual"/>
        </w:rPr>
      </w:pPr>
      <w:r w:rsidRPr="005D3A3E">
        <w:rPr>
          <w:i/>
          <w:iCs/>
        </w:rPr>
        <w:t xml:space="preserve">Annex: </w:t>
      </w:r>
      <w:r w:rsidRPr="005D3A3E">
        <w:rPr>
          <w:b/>
          <w:bCs/>
          <w:i/>
          <w:iCs/>
        </w:rPr>
        <w:t>1</w:t>
      </w:r>
      <w:bookmarkStart w:id="6" w:name="dstart"/>
      <w:bookmarkStart w:id="7" w:name="dbreak"/>
      <w:bookmarkEnd w:id="6"/>
      <w:bookmarkEnd w:id="7"/>
      <w:r w:rsidRPr="005D3A3E">
        <w:rPr>
          <w:rFonts w:asciiTheme="minorHAnsi" w:eastAsiaTheme="minorHAnsi" w:hAnsiTheme="minorHAnsi" w:cstheme="minorBidi"/>
          <w:i/>
          <w:iCs/>
          <w:kern w:val="2"/>
          <w:sz w:val="22"/>
          <w:szCs w:val="22"/>
          <w14:ligatures w14:val="standardContextual"/>
        </w:rPr>
        <w:br w:type="page"/>
      </w:r>
    </w:p>
    <w:p w14:paraId="7E02A21C" w14:textId="77777777" w:rsidR="00586249" w:rsidRPr="00586249" w:rsidRDefault="00586249" w:rsidP="00586249">
      <w:pPr>
        <w:pStyle w:val="AnnexNo"/>
      </w:pPr>
      <w:bookmarkStart w:id="8" w:name="_Hlk140492504"/>
      <w:r w:rsidRPr="00586249">
        <w:lastRenderedPageBreak/>
        <w:t>Annex</w:t>
      </w:r>
    </w:p>
    <w:p w14:paraId="461216CA" w14:textId="769160C2" w:rsidR="00586249" w:rsidRPr="00586249" w:rsidRDefault="00586249" w:rsidP="00586249">
      <w:pPr>
        <w:pStyle w:val="Annextitle"/>
      </w:pPr>
      <w:r w:rsidRPr="00586249">
        <w:t>Terms of Reference of the Expert Group on the International Telecommunication Regulations (EG-ITRs)</w:t>
      </w:r>
    </w:p>
    <w:p w14:paraId="3F011EB9" w14:textId="092751E7" w:rsidR="00586249" w:rsidRPr="00586249" w:rsidRDefault="00586249" w:rsidP="00586249">
      <w:r w:rsidRPr="00586249">
        <w:t>1</w:t>
      </w:r>
      <w:r w:rsidRPr="00586249">
        <w:tab/>
        <w:t xml:space="preserve">On the basis of contributions submitted by Member States, Sector Members and inputs from the Directors of the </w:t>
      </w:r>
      <w:proofErr w:type="gramStart"/>
      <w:r w:rsidRPr="00586249">
        <w:t>Bureaux</w:t>
      </w:r>
      <w:proofErr w:type="gramEnd"/>
      <w:r w:rsidRPr="00586249">
        <w:t xml:space="preserve"> if necessary, the EG-ITRs shall continu</w:t>
      </w:r>
      <w:r w:rsidRPr="003C5F7D">
        <w:t>e to review the ITRs</w:t>
      </w:r>
      <w:r w:rsidR="003C5F7D">
        <w:t>.</w:t>
      </w:r>
    </w:p>
    <w:bookmarkEnd w:id="8"/>
    <w:p w14:paraId="3CC377E7" w14:textId="3AFC3118" w:rsidR="003C5F7D" w:rsidRDefault="00586249" w:rsidP="00586249">
      <w:r w:rsidRPr="00586249">
        <w:t>2</w:t>
      </w:r>
      <w:r w:rsidRPr="00586249">
        <w:tab/>
      </w:r>
      <w:r w:rsidR="003C5F7D" w:rsidRPr="003C5F7D">
        <w:t>Taking into consideration the work of the previous two Expert Groups, the review may consider, among others</w:t>
      </w:r>
      <w:r w:rsidR="003C5F7D">
        <w:t>:</w:t>
      </w:r>
      <w:r w:rsidRPr="00586249">
        <w:t xml:space="preserve"> </w:t>
      </w:r>
    </w:p>
    <w:p w14:paraId="290462CB" w14:textId="0293B7B5" w:rsidR="00586249" w:rsidRPr="00586249" w:rsidRDefault="003C5F7D" w:rsidP="003C5F7D">
      <w:pPr>
        <w:pStyle w:val="enumlev2"/>
      </w:pPr>
      <w:r>
        <w:t>a)</w:t>
      </w:r>
      <w:r>
        <w:tab/>
      </w:r>
      <w:r w:rsidRPr="003C5F7D">
        <w:t>new trends in telecommunications/ICT and emerging issues in international telecommunications/ICT environment which may impact the ITRs,</w:t>
      </w:r>
    </w:p>
    <w:p w14:paraId="72EC15C5" w14:textId="24237EB3" w:rsidR="00586249" w:rsidRPr="003C5F7D" w:rsidRDefault="003C5F7D" w:rsidP="003C5F7D">
      <w:pPr>
        <w:pStyle w:val="enumlev2"/>
      </w:pPr>
      <w:r>
        <w:t>b</w:t>
      </w:r>
      <w:r w:rsidR="00586249" w:rsidRPr="00586249">
        <w:t>)</w:t>
      </w:r>
      <w:r w:rsidR="00586249">
        <w:tab/>
      </w:r>
      <w:r w:rsidRPr="003C5F7D">
        <w:t>empirical data on the current use of the ITRs by operating agencies and/or administrations and the proportion of global telecommunication services which now rely on the ITRs, and</w:t>
      </w:r>
    </w:p>
    <w:p w14:paraId="660C166F" w14:textId="6CCD49EF" w:rsidR="00586249" w:rsidRPr="00586249" w:rsidRDefault="00586249" w:rsidP="003C5F7D">
      <w:pPr>
        <w:pStyle w:val="enumlev2"/>
        <w:rPr>
          <w:highlight w:val="yellow"/>
        </w:rPr>
      </w:pPr>
      <w:r w:rsidRPr="002B3687">
        <w:t>c)</w:t>
      </w:r>
      <w:r w:rsidRPr="002B3687">
        <w:tab/>
      </w:r>
      <w:r w:rsidR="003C5F7D" w:rsidRPr="002B3687">
        <w:t>the</w:t>
      </w:r>
      <w:r w:rsidR="003C5F7D" w:rsidRPr="003C5F7D">
        <w:t xml:space="preserve"> relevance of the ITRs which “consist of high-level guiding principles” in the current telecommunication/ICT environment</w:t>
      </w:r>
      <w:r w:rsidR="003C5F7D">
        <w:t>.</w:t>
      </w:r>
    </w:p>
    <w:p w14:paraId="613C2142" w14:textId="6997473C" w:rsidR="00586249" w:rsidRPr="00586249" w:rsidRDefault="003C5F7D" w:rsidP="00586249">
      <w:r>
        <w:t>3</w:t>
      </w:r>
      <w:r w:rsidR="00586249" w:rsidRPr="00586249">
        <w:tab/>
      </w:r>
      <w:r w:rsidRPr="003C5F7D">
        <w:t>The EG-ITRs will present a progress report reflecting all views on the ITRs review to Council 2024 and Council 2025, and a final report to Council 2026 for examination and submission to the 2026 Plenipotentiary Conference with the Council’s comments.</w:t>
      </w:r>
    </w:p>
    <w:p w14:paraId="18262B92" w14:textId="57AEC5FA" w:rsidR="00586249" w:rsidRPr="00586249" w:rsidRDefault="00586249" w:rsidP="00586249">
      <w:pPr>
        <w:tabs>
          <w:tab w:val="clear" w:pos="567"/>
          <w:tab w:val="clear" w:pos="1134"/>
          <w:tab w:val="clear" w:pos="1701"/>
          <w:tab w:val="clear" w:pos="2268"/>
          <w:tab w:val="clear" w:pos="2835"/>
        </w:tabs>
        <w:overflowPunct/>
        <w:autoSpaceDE/>
        <w:autoSpaceDN/>
        <w:adjustRightInd/>
        <w:spacing w:before="840" w:after="160" w:line="259" w:lineRule="auto"/>
        <w:jc w:val="center"/>
        <w:textAlignment w:val="auto"/>
        <w:rPr>
          <w:rFonts w:asciiTheme="minorHAnsi" w:eastAsiaTheme="minorHAnsi" w:hAnsiTheme="minorHAnsi" w:cstheme="minorBidi"/>
          <w:kern w:val="2"/>
          <w:sz w:val="22"/>
          <w:szCs w:val="22"/>
          <w14:ligatures w14:val="standardContextual"/>
        </w:rPr>
      </w:pPr>
      <w:r w:rsidRPr="00586249">
        <w:rPr>
          <w:rFonts w:asciiTheme="minorHAnsi" w:eastAsiaTheme="minorHAnsi" w:hAnsiTheme="minorHAnsi" w:cstheme="minorBidi"/>
          <w:kern w:val="2"/>
          <w:sz w:val="22"/>
          <w:szCs w:val="22"/>
          <w14:ligatures w14:val="standardContextual"/>
        </w:rPr>
        <w:t>___________________</w:t>
      </w:r>
    </w:p>
    <w:sectPr w:rsidR="00586249" w:rsidRPr="00586249"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29885BB7" w:rsidR="00EE49E8" w:rsidRDefault="005D3A3E" w:rsidP="00EE49E8">
          <w:pPr>
            <w:pStyle w:val="Header"/>
            <w:jc w:val="left"/>
            <w:rPr>
              <w:noProof/>
            </w:rPr>
          </w:pPr>
          <w:r>
            <w:rPr>
              <w:noProof/>
            </w:rPr>
            <w:t>DPS: 526843</w:t>
          </w:r>
        </w:p>
      </w:tc>
      <w:tc>
        <w:tcPr>
          <w:tcW w:w="8261" w:type="dxa"/>
        </w:tcPr>
        <w:p w14:paraId="35709C74" w14:textId="689CDE7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5D3A3E">
            <w:rPr>
              <w:bCs/>
            </w:rPr>
            <w:t>121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5D3A3E"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879ECA3"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5D3A3E">
            <w:rPr>
              <w:bCs/>
            </w:rPr>
            <w:t>121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 w:id="1">
    <w:p w14:paraId="2FB92275" w14:textId="52FD27FE" w:rsidR="00586249" w:rsidRPr="00B27F63" w:rsidRDefault="00586249" w:rsidP="00586249">
      <w:pPr>
        <w:pStyle w:val="FootnoteText"/>
      </w:pPr>
      <w:r>
        <w:rPr>
          <w:rStyle w:val="FootnoteReference"/>
        </w:rPr>
        <w:footnoteRef/>
      </w:r>
      <w:r w:rsidRPr="00B27F63">
        <w:t xml:space="preserve"> </w:t>
      </w:r>
      <w:r>
        <w:tab/>
      </w:r>
      <w:r w:rsidRPr="00586249">
        <w:t xml:space="preserve">These include the least developed countries, small island developing states, landlocked developing </w:t>
      </w:r>
      <w:proofErr w:type="gramStart"/>
      <w:r w:rsidRPr="00586249">
        <w:t>countries</w:t>
      </w:r>
      <w:proofErr w:type="gramEnd"/>
      <w:r w:rsidRPr="00586249">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1121F5"/>
    <w:rsid w:val="001400DC"/>
    <w:rsid w:val="00140CE1"/>
    <w:rsid w:val="00146BAF"/>
    <w:rsid w:val="0017539C"/>
    <w:rsid w:val="00175AC2"/>
    <w:rsid w:val="0017609F"/>
    <w:rsid w:val="001A7D1D"/>
    <w:rsid w:val="001B51DD"/>
    <w:rsid w:val="001C628E"/>
    <w:rsid w:val="001E0F7B"/>
    <w:rsid w:val="002119FD"/>
    <w:rsid w:val="002130E0"/>
    <w:rsid w:val="00226DDE"/>
    <w:rsid w:val="00264425"/>
    <w:rsid w:val="00265875"/>
    <w:rsid w:val="0027303B"/>
    <w:rsid w:val="0028109B"/>
    <w:rsid w:val="002A2188"/>
    <w:rsid w:val="002B1F58"/>
    <w:rsid w:val="002B3687"/>
    <w:rsid w:val="002C1C7A"/>
    <w:rsid w:val="002C54E2"/>
    <w:rsid w:val="002F6124"/>
    <w:rsid w:val="0030160F"/>
    <w:rsid w:val="00320223"/>
    <w:rsid w:val="00322D0D"/>
    <w:rsid w:val="00361465"/>
    <w:rsid w:val="003877F5"/>
    <w:rsid w:val="003942D4"/>
    <w:rsid w:val="003958A8"/>
    <w:rsid w:val="003C2533"/>
    <w:rsid w:val="003C5F7D"/>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86249"/>
    <w:rsid w:val="005C11D3"/>
    <w:rsid w:val="005D3A3E"/>
    <w:rsid w:val="005F3269"/>
    <w:rsid w:val="00620FC2"/>
    <w:rsid w:val="00623AE3"/>
    <w:rsid w:val="0064737F"/>
    <w:rsid w:val="006535F1"/>
    <w:rsid w:val="0065557D"/>
    <w:rsid w:val="00660D50"/>
    <w:rsid w:val="00661C03"/>
    <w:rsid w:val="00662984"/>
    <w:rsid w:val="006716BB"/>
    <w:rsid w:val="006B1859"/>
    <w:rsid w:val="006B6680"/>
    <w:rsid w:val="006B6DCC"/>
    <w:rsid w:val="00702DEF"/>
    <w:rsid w:val="00706861"/>
    <w:rsid w:val="0075051B"/>
    <w:rsid w:val="00784FCB"/>
    <w:rsid w:val="00793188"/>
    <w:rsid w:val="00794D34"/>
    <w:rsid w:val="00813E5E"/>
    <w:rsid w:val="0083581B"/>
    <w:rsid w:val="00863874"/>
    <w:rsid w:val="00864AFF"/>
    <w:rsid w:val="00865925"/>
    <w:rsid w:val="008B4A6A"/>
    <w:rsid w:val="008C7E27"/>
    <w:rsid w:val="008F7448"/>
    <w:rsid w:val="0090147A"/>
    <w:rsid w:val="009173EF"/>
    <w:rsid w:val="00932906"/>
    <w:rsid w:val="00961B0B"/>
    <w:rsid w:val="009B38C3"/>
    <w:rsid w:val="009E17BD"/>
    <w:rsid w:val="009E485A"/>
    <w:rsid w:val="00A04CEC"/>
    <w:rsid w:val="00A27F92"/>
    <w:rsid w:val="00A32257"/>
    <w:rsid w:val="00A36D20"/>
    <w:rsid w:val="00A44716"/>
    <w:rsid w:val="00A514A4"/>
    <w:rsid w:val="00A531DB"/>
    <w:rsid w:val="00A54171"/>
    <w:rsid w:val="00A55622"/>
    <w:rsid w:val="00A83502"/>
    <w:rsid w:val="00A955F6"/>
    <w:rsid w:val="00AD15B3"/>
    <w:rsid w:val="00AD3606"/>
    <w:rsid w:val="00AD4A3D"/>
    <w:rsid w:val="00AF6E49"/>
    <w:rsid w:val="00B04A67"/>
    <w:rsid w:val="00B0583C"/>
    <w:rsid w:val="00B40A81"/>
    <w:rsid w:val="00B44910"/>
    <w:rsid w:val="00B72267"/>
    <w:rsid w:val="00B76EB6"/>
    <w:rsid w:val="00B7737B"/>
    <w:rsid w:val="00B824C8"/>
    <w:rsid w:val="00B84B9D"/>
    <w:rsid w:val="00B946AF"/>
    <w:rsid w:val="00BC251A"/>
    <w:rsid w:val="00BD032B"/>
    <w:rsid w:val="00BE2640"/>
    <w:rsid w:val="00C01189"/>
    <w:rsid w:val="00C374DE"/>
    <w:rsid w:val="00C45268"/>
    <w:rsid w:val="00C47AD4"/>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F0"/>
    <w:rsid w:val="00E60F04"/>
    <w:rsid w:val="00E65B24"/>
    <w:rsid w:val="00E854E4"/>
    <w:rsid w:val="00E86DBF"/>
    <w:rsid w:val="00EB0D6F"/>
    <w:rsid w:val="00EB2232"/>
    <w:rsid w:val="00EC5337"/>
    <w:rsid w:val="00EE49E8"/>
    <w:rsid w:val="00F16BAB"/>
    <w:rsid w:val="00F2150A"/>
    <w:rsid w:val="00F2311F"/>
    <w:rsid w:val="00F231D8"/>
    <w:rsid w:val="00F44C00"/>
    <w:rsid w:val="00F46C5F"/>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o"/>
    <w:basedOn w:val="DefaultParagraphFont"/>
    <w:qForma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20FC2"/>
    <w:pPr>
      <w:framePr w:hSpace="180" w:wrap="around" w:vAnchor="page" w:hAnchor="page" w:x="1821" w:y="2317"/>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687</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Pluchon, Beatrice</dc:creator>
  <cp:keywords>C2023, C23, Council-23</cp:keywords>
  <dc:description/>
  <cp:lastModifiedBy>Brouard, Ricarda</cp:lastModifiedBy>
  <cp:revision>4</cp:revision>
  <cp:lastPrinted>2000-07-18T13:30:00Z</cp:lastPrinted>
  <dcterms:created xsi:type="dcterms:W3CDTF">2023-08-04T10:55:00Z</dcterms:created>
  <dcterms:modified xsi:type="dcterms:W3CDTF">2023-08-04T15:13:00Z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