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6AEF6E28" w14:textId="77777777" w:rsidTr="00F363FE">
        <w:tc>
          <w:tcPr>
            <w:tcW w:w="6512" w:type="dxa"/>
          </w:tcPr>
          <w:p w14:paraId="44DB6DA4" w14:textId="3F46BF0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10A15B4" w14:textId="4AA1DDC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BD391C">
              <w:rPr>
                <w:b/>
                <w:bCs/>
                <w:lang w:bidi="ar-EG"/>
              </w:rPr>
              <w:t>121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5271847" w14:textId="77777777" w:rsidTr="00F363FE">
        <w:tc>
          <w:tcPr>
            <w:tcW w:w="6512" w:type="dxa"/>
          </w:tcPr>
          <w:p w14:paraId="7E61F794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F63DD22" w14:textId="0CB3CB54" w:rsidR="007B0AA0" w:rsidRPr="007B0AA0" w:rsidRDefault="00BD391C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أغسطس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2AA8AD12" w14:textId="77777777" w:rsidTr="00F363FE">
        <w:tc>
          <w:tcPr>
            <w:tcW w:w="6512" w:type="dxa"/>
          </w:tcPr>
          <w:p w14:paraId="47DB14BD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AB7724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4D6ED80E" w14:textId="77777777" w:rsidTr="00F363FE">
        <w:tc>
          <w:tcPr>
            <w:tcW w:w="6512" w:type="dxa"/>
          </w:tcPr>
          <w:p w14:paraId="24044EC0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544DF2F7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74EC9DE8" w14:textId="1F36D6AD" w:rsidR="00BD391C" w:rsidRDefault="00BD391C" w:rsidP="00BD391C">
      <w:pPr>
        <w:pStyle w:val="ResNo"/>
        <w:spacing w:before="480"/>
        <w:rPr>
          <w:rtl/>
        </w:rPr>
      </w:pPr>
      <w:bookmarkStart w:id="0" w:name="_Toc490216852"/>
      <w:bookmarkStart w:id="1" w:name="_Toc531184382"/>
      <w:bookmarkStart w:id="2" w:name="_Toc532896192"/>
      <w:bookmarkStart w:id="3" w:name="_Toc532896868"/>
      <w:bookmarkStart w:id="4" w:name="_Toc87003316"/>
      <w:bookmarkStart w:id="5" w:name="_Toc119589948"/>
      <w:r w:rsidRPr="005A24C0">
        <w:rPr>
          <w:rFonts w:hint="cs"/>
          <w:rtl/>
        </w:rPr>
        <w:t xml:space="preserve">القرار </w:t>
      </w:r>
      <w:r w:rsidRPr="005A24C0">
        <w:t>1379</w:t>
      </w:r>
      <w:r w:rsidRPr="005A24C0">
        <w:rPr>
          <w:rFonts w:hint="cs"/>
          <w:rtl/>
        </w:rPr>
        <w:t xml:space="preserve"> </w:t>
      </w:r>
      <w:bookmarkEnd w:id="0"/>
      <w:bookmarkEnd w:id="1"/>
      <w:bookmarkEnd w:id="2"/>
      <w:bookmarkEnd w:id="3"/>
      <w:r w:rsidRPr="005A24C0">
        <w:rPr>
          <w:rFonts w:hint="cs"/>
          <w:rtl/>
        </w:rPr>
        <w:t xml:space="preserve">(المعدل في </w:t>
      </w:r>
      <w:r w:rsidRPr="005A24C0">
        <w:t>2023</w:t>
      </w:r>
      <w:r w:rsidRPr="005A24C0">
        <w:rPr>
          <w:rFonts w:hint="cs"/>
          <w:rtl/>
        </w:rPr>
        <w:t>)</w:t>
      </w:r>
      <w:bookmarkEnd w:id="4"/>
      <w:bookmarkEnd w:id="5"/>
    </w:p>
    <w:p w14:paraId="3472C9D0" w14:textId="010DE04B" w:rsidR="00BD391C" w:rsidRPr="00FB47DB" w:rsidRDefault="00BD391C" w:rsidP="00BD391C">
      <w:pPr>
        <w:jc w:val="center"/>
        <w:rPr>
          <w:rtl/>
          <w:lang w:bidi="ar-SY"/>
        </w:rPr>
      </w:pPr>
      <w:r w:rsidRPr="005A24C0">
        <w:rPr>
          <w:rFonts w:hint="cs"/>
          <w:rtl/>
          <w:lang w:bidi="ar-SY"/>
        </w:rPr>
        <w:t>(اعتُمد في الجلسة العامة الرابعة)</w:t>
      </w:r>
    </w:p>
    <w:p w14:paraId="32B50635" w14:textId="77777777" w:rsidR="00BD391C" w:rsidRPr="00FB47DB" w:rsidRDefault="00BD391C" w:rsidP="00BD391C">
      <w:pPr>
        <w:pStyle w:val="Restitle"/>
        <w:rPr>
          <w:rtl/>
          <w:lang w:bidi="ar-EG"/>
        </w:rPr>
      </w:pPr>
      <w:bookmarkStart w:id="6" w:name="_Toc87003317"/>
      <w:bookmarkStart w:id="7" w:name="_Toc119589949"/>
      <w:r w:rsidRPr="00FB47DB">
        <w:rPr>
          <w:rFonts w:hint="cs"/>
          <w:rtl/>
        </w:rPr>
        <w:t>فريق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الخبراء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المعني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بلوائح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الاتصالات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الدولية</w:t>
      </w:r>
      <w:r w:rsidRPr="00FB47DB">
        <w:rPr>
          <w:rtl/>
        </w:rPr>
        <w:t xml:space="preserve"> </w:t>
      </w:r>
      <w:r w:rsidRPr="00FB47DB">
        <w:t>(EG-ITR)</w:t>
      </w:r>
      <w:bookmarkEnd w:id="6"/>
      <w:bookmarkEnd w:id="7"/>
    </w:p>
    <w:p w14:paraId="65BBEA55" w14:textId="77777777" w:rsidR="00BD391C" w:rsidRPr="00FB47DB" w:rsidRDefault="00BD391C" w:rsidP="00BD391C">
      <w:pPr>
        <w:pStyle w:val="Normalaftertitle"/>
        <w:rPr>
          <w:rtl/>
        </w:rPr>
      </w:pPr>
      <w:r w:rsidRPr="000A1077">
        <w:rPr>
          <w:rtl/>
        </w:rPr>
        <w:t>إن مجلس الاتحاد الدولي للاتصالات</w:t>
      </w:r>
      <w:r w:rsidRPr="009D4DBB">
        <w:rPr>
          <w:rtl/>
        </w:rPr>
        <w:t>،</w:t>
      </w:r>
    </w:p>
    <w:p w14:paraId="751998DD" w14:textId="77777777" w:rsidR="00BD391C" w:rsidRPr="00FB47DB" w:rsidRDefault="00BD391C" w:rsidP="00BD391C">
      <w:pPr>
        <w:pStyle w:val="Call"/>
        <w:rPr>
          <w:rtl/>
        </w:rPr>
      </w:pPr>
      <w:r w:rsidRPr="00FB47DB">
        <w:rPr>
          <w:rtl/>
        </w:rPr>
        <w:t xml:space="preserve">إذ </w:t>
      </w:r>
      <w:r w:rsidRPr="00FB47DB">
        <w:rPr>
          <w:rFonts w:hint="cs"/>
          <w:rtl/>
        </w:rPr>
        <w:t>يضع في اعتباره</w:t>
      </w:r>
    </w:p>
    <w:p w14:paraId="720A5C41" w14:textId="77777777" w:rsidR="00BD391C" w:rsidRPr="00417EAD" w:rsidRDefault="00BD391C" w:rsidP="00BD391C">
      <w:pPr>
        <w:rPr>
          <w:rtl/>
        </w:rPr>
      </w:pPr>
      <w:r w:rsidRPr="00417EAD">
        <w:rPr>
          <w:i/>
          <w:iCs/>
          <w:rtl/>
        </w:rPr>
        <w:t xml:space="preserve"> أ )</w:t>
      </w:r>
      <w:r w:rsidRPr="00417EAD">
        <w:rPr>
          <w:rtl/>
        </w:rPr>
        <w:tab/>
        <w:t xml:space="preserve">المادة </w:t>
      </w:r>
      <w:r w:rsidRPr="00417EAD">
        <w:rPr>
          <w:lang w:bidi="ar-EG"/>
        </w:rPr>
        <w:t>25</w:t>
      </w:r>
      <w:r w:rsidRPr="00417EAD">
        <w:rPr>
          <w:rtl/>
        </w:rPr>
        <w:t xml:space="preserve"> من دستور الاتحاد، بشأن المؤتمرات العالمية للاتصالات الدولية </w:t>
      </w:r>
      <w:r w:rsidRPr="00417EAD">
        <w:rPr>
          <w:lang w:bidi="ar-EG"/>
        </w:rPr>
        <w:t>(WCIT)</w:t>
      </w:r>
      <w:r w:rsidRPr="00417EAD">
        <w:rPr>
          <w:rtl/>
        </w:rPr>
        <w:t>؛</w:t>
      </w:r>
    </w:p>
    <w:p w14:paraId="12822121" w14:textId="77777777" w:rsidR="00BD391C" w:rsidRPr="00417EAD" w:rsidRDefault="00BD391C" w:rsidP="00BD391C">
      <w:pPr>
        <w:rPr>
          <w:rtl/>
        </w:rPr>
      </w:pPr>
      <w:r w:rsidRPr="00990C32">
        <w:rPr>
          <w:rFonts w:hint="cs"/>
          <w:i/>
          <w:iCs/>
          <w:rtl/>
          <w:lang w:bidi="ar-SY"/>
        </w:rPr>
        <w:t>ب)</w:t>
      </w:r>
      <w:r w:rsidRPr="00417EAD">
        <w:rPr>
          <w:rtl/>
        </w:rPr>
        <w:tab/>
        <w:t xml:space="preserve">الرقم </w:t>
      </w:r>
      <w:r w:rsidRPr="00417EAD">
        <w:rPr>
          <w:lang w:bidi="ar-EG"/>
        </w:rPr>
        <w:t>48</w:t>
      </w:r>
      <w:r w:rsidRPr="00417EAD">
        <w:rPr>
          <w:rtl/>
        </w:rPr>
        <w:t xml:space="preserve"> من المادة </w:t>
      </w:r>
      <w:r w:rsidRPr="00417EAD">
        <w:rPr>
          <w:lang w:bidi="ar-EG"/>
        </w:rPr>
        <w:t>3</w:t>
      </w:r>
      <w:r w:rsidRPr="00417EAD">
        <w:rPr>
          <w:rtl/>
        </w:rPr>
        <w:t xml:space="preserve"> من اتفاقية الاتحاد، بشأن المؤتمرات والجمعيات الأخرى؛</w:t>
      </w:r>
    </w:p>
    <w:p w14:paraId="253D97AD" w14:textId="77777777" w:rsidR="00BD391C" w:rsidRPr="00417EAD" w:rsidRDefault="00BD391C" w:rsidP="00BD391C">
      <w:pPr>
        <w:rPr>
          <w:spacing w:val="-2"/>
          <w:rtl/>
        </w:rPr>
      </w:pPr>
      <w:r w:rsidRPr="00417EAD">
        <w:rPr>
          <w:i/>
          <w:iCs/>
          <w:spacing w:val="-2"/>
          <w:rtl/>
        </w:rPr>
        <w:t>ج)</w:t>
      </w:r>
      <w:r w:rsidRPr="00417EAD">
        <w:rPr>
          <w:spacing w:val="-2"/>
          <w:rtl/>
        </w:rPr>
        <w:tab/>
        <w:t xml:space="preserve">القرار </w:t>
      </w:r>
      <w:r w:rsidRPr="00417EAD">
        <w:rPr>
          <w:spacing w:val="-2"/>
          <w:lang w:bidi="ar-EG"/>
        </w:rPr>
        <w:t>146</w:t>
      </w:r>
      <w:r w:rsidRPr="00417EAD">
        <w:rPr>
          <w:spacing w:val="-2"/>
          <w:rtl/>
        </w:rPr>
        <w:t xml:space="preserve"> (المراجَع في </w:t>
      </w:r>
      <w:r w:rsidRPr="00417EAD">
        <w:rPr>
          <w:spacing w:val="-2"/>
          <w:rtl/>
          <w:lang w:bidi="ar-EG"/>
        </w:rPr>
        <w:t xml:space="preserve">بوخارست، </w:t>
      </w:r>
      <w:r w:rsidRPr="00417EAD">
        <w:rPr>
          <w:spacing w:val="-2"/>
          <w:lang w:bidi="ar-EG"/>
        </w:rPr>
        <w:t>2022</w:t>
      </w:r>
      <w:r w:rsidRPr="00417EAD">
        <w:rPr>
          <w:spacing w:val="-2"/>
          <w:rtl/>
        </w:rPr>
        <w:t>) لمؤتمر المندوبين المفوضين، بشأن استعراض ومراجعة لوائح الاتصالات الدولية دورياً؛</w:t>
      </w:r>
    </w:p>
    <w:p w14:paraId="46F09386" w14:textId="77777777" w:rsidR="00BD391C" w:rsidRPr="00417EAD" w:rsidRDefault="00BD391C" w:rsidP="00BD391C">
      <w:pPr>
        <w:rPr>
          <w:rtl/>
        </w:rPr>
      </w:pPr>
      <w:r w:rsidRPr="00417EAD">
        <w:rPr>
          <w:i/>
          <w:iCs/>
          <w:rtl/>
          <w:lang w:bidi="ar-EG"/>
        </w:rPr>
        <w:t>د )</w:t>
      </w:r>
      <w:r w:rsidRPr="00417EAD">
        <w:rPr>
          <w:rtl/>
        </w:rPr>
        <w:tab/>
        <w:t xml:space="preserve">القرار </w:t>
      </w:r>
      <w:r w:rsidRPr="00417EAD">
        <w:rPr>
          <w:lang w:bidi="ar-EG"/>
        </w:rPr>
        <w:t>4</w:t>
      </w:r>
      <w:r w:rsidRPr="00417EAD">
        <w:rPr>
          <w:rtl/>
        </w:rPr>
        <w:t xml:space="preserve"> (دبي، </w:t>
      </w:r>
      <w:r w:rsidRPr="00417EAD">
        <w:rPr>
          <w:lang w:bidi="ar-EG"/>
        </w:rPr>
        <w:t>2012</w:t>
      </w:r>
      <w:r w:rsidRPr="00417EAD">
        <w:rPr>
          <w:rtl/>
        </w:rPr>
        <w:t xml:space="preserve">) للمؤتمر العالمي للاتصالات الدولية لعام </w:t>
      </w:r>
      <w:r w:rsidRPr="00417EAD">
        <w:rPr>
          <w:lang w:bidi="ar-EG"/>
        </w:rPr>
        <w:t>2012</w:t>
      </w:r>
      <w:r w:rsidRPr="00417EAD">
        <w:rPr>
          <w:rtl/>
        </w:rPr>
        <w:t xml:space="preserve"> </w:t>
      </w:r>
      <w:r w:rsidRPr="00417EAD">
        <w:rPr>
          <w:lang w:bidi="ar-EG"/>
        </w:rPr>
        <w:t>(WCIT</w:t>
      </w:r>
      <w:r w:rsidRPr="00417EAD">
        <w:rPr>
          <w:lang w:bidi="ar-EG"/>
        </w:rPr>
        <w:noBreakHyphen/>
        <w:t>12)</w:t>
      </w:r>
      <w:r w:rsidRPr="00417EAD">
        <w:rPr>
          <w:rtl/>
        </w:rPr>
        <w:t>، بشأن الاستعراض الدوري للوائح الاتصالات الدولية،</w:t>
      </w:r>
    </w:p>
    <w:p w14:paraId="1658670E" w14:textId="77777777" w:rsidR="00BD391C" w:rsidRPr="00417EAD" w:rsidRDefault="00BD391C" w:rsidP="00BD391C">
      <w:pPr>
        <w:pStyle w:val="Call"/>
        <w:rPr>
          <w:rtl/>
          <w:lang w:bidi="ar-EG"/>
        </w:rPr>
      </w:pPr>
      <w:r w:rsidRPr="00417EAD">
        <w:rPr>
          <w:rtl/>
          <w:lang w:bidi="ar-EG"/>
        </w:rPr>
        <w:t>وإذ يذكّر</w:t>
      </w:r>
    </w:p>
    <w:p w14:paraId="587642BA" w14:textId="77777777" w:rsidR="00BD391C" w:rsidRDefault="00BD391C" w:rsidP="00BD391C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r w:rsidRPr="00CC550A">
        <w:rPr>
          <w:rFonts w:hint="cs"/>
          <w:i/>
          <w:iCs/>
          <w:rtl/>
          <w:lang w:bidi="ar-EG"/>
        </w:rPr>
        <w:t>أ )</w:t>
      </w:r>
      <w:r>
        <w:rPr>
          <w:rtl/>
          <w:lang w:bidi="ar-EG"/>
        </w:rPr>
        <w:tab/>
      </w:r>
      <w:r w:rsidRPr="00FB47DB">
        <w:rPr>
          <w:rtl/>
          <w:lang w:bidi="ar-EG"/>
        </w:rPr>
        <w:t>ب</w:t>
      </w:r>
      <w:r w:rsidRPr="00FB47DB">
        <w:rPr>
          <w:rFonts w:hint="cs"/>
          <w:rtl/>
          <w:lang w:bidi="ar-EG"/>
        </w:rPr>
        <w:t xml:space="preserve">أن </w:t>
      </w:r>
      <w:r w:rsidRPr="00FB47DB">
        <w:rPr>
          <w:rtl/>
          <w:lang w:bidi="ar-EG"/>
        </w:rPr>
        <w:t xml:space="preserve">المجلس </w:t>
      </w:r>
      <w:r w:rsidRPr="00FB47DB">
        <w:rPr>
          <w:rFonts w:hint="cs"/>
          <w:rtl/>
          <w:lang w:bidi="ar-EG"/>
        </w:rPr>
        <w:t>قد أنشأ في دورته لعام</w:t>
      </w:r>
      <w:r w:rsidRPr="00FB47DB">
        <w:rPr>
          <w:rtl/>
          <w:lang w:bidi="ar-EG"/>
        </w:rPr>
        <w:t xml:space="preserve"> </w:t>
      </w:r>
      <w:r w:rsidRPr="00FB47DB">
        <w:rPr>
          <w:lang w:bidi="ar-EG"/>
        </w:rPr>
        <w:t>2016</w:t>
      </w:r>
      <w:r w:rsidRPr="00FB47DB">
        <w:rPr>
          <w:rtl/>
        </w:rPr>
        <w:t xml:space="preserve"> </w:t>
      </w:r>
      <w:r w:rsidRPr="00FB47DB">
        <w:rPr>
          <w:rtl/>
          <w:lang w:bidi="ar-EG"/>
        </w:rPr>
        <w:t>فريق خبراء معني</w:t>
      </w:r>
      <w:r w:rsidRPr="00FB47DB">
        <w:rPr>
          <w:rFonts w:hint="cs"/>
          <w:rtl/>
          <w:lang w:bidi="ar-EG"/>
        </w:rPr>
        <w:t>اً</w:t>
      </w:r>
      <w:r w:rsidRPr="00FB47DB">
        <w:rPr>
          <w:rtl/>
          <w:lang w:bidi="ar-EG"/>
        </w:rPr>
        <w:t xml:space="preserve"> بلوائح الاتصالات الدولية </w:t>
      </w:r>
      <w:r w:rsidRPr="00FB47DB">
        <w:rPr>
          <w:lang w:bidi="ar-EG"/>
        </w:rPr>
        <w:t>(EG-ITR)</w:t>
      </w:r>
      <w:r w:rsidRPr="00FB47DB">
        <w:rPr>
          <w:rFonts w:hint="cs"/>
          <w:rtl/>
          <w:lang w:bidi="ar-EG"/>
        </w:rPr>
        <w:t xml:space="preserve">، وأن الفريق </w:t>
      </w:r>
      <w:r w:rsidRPr="00FB47DB">
        <w:rPr>
          <w:rtl/>
          <w:lang w:bidi="ar-EG"/>
        </w:rPr>
        <w:t>أعد، وفقا</w:t>
      </w:r>
      <w:r w:rsidRPr="00FB47DB">
        <w:rPr>
          <w:rFonts w:hint="cs"/>
          <w:rtl/>
          <w:lang w:bidi="ar-EG"/>
        </w:rPr>
        <w:t>ً</w:t>
      </w:r>
      <w:r w:rsidRPr="00FB47DB">
        <w:rPr>
          <w:rtl/>
          <w:lang w:bidi="ar-EG"/>
        </w:rPr>
        <w:t xml:space="preserve"> لاختصاصاته، تقريرا</w:t>
      </w:r>
      <w:r w:rsidRPr="00FB47DB">
        <w:rPr>
          <w:rFonts w:hint="cs"/>
          <w:rtl/>
          <w:lang w:bidi="ar-EG"/>
        </w:rPr>
        <w:t>ً</w:t>
      </w:r>
      <w:r w:rsidRPr="00FB47DB">
        <w:rPr>
          <w:rtl/>
          <w:lang w:bidi="ar-EG"/>
        </w:rPr>
        <w:t xml:space="preserve"> نهائيا</w:t>
      </w:r>
      <w:r w:rsidRPr="00FB47DB">
        <w:rPr>
          <w:rFonts w:hint="cs"/>
          <w:rtl/>
          <w:lang w:bidi="ar-EG"/>
        </w:rPr>
        <w:t>ً</w:t>
      </w:r>
      <w:r w:rsidRPr="00FB47DB">
        <w:rPr>
          <w:rtl/>
          <w:lang w:bidi="ar-EG"/>
        </w:rPr>
        <w:t xml:space="preserve"> عن استعراض لوائح الاتصالات الدولية لعام </w:t>
      </w:r>
      <w:r w:rsidRPr="00FB47DB">
        <w:rPr>
          <w:lang w:bidi="ar-EG"/>
        </w:rPr>
        <w:t>2012</w:t>
      </w:r>
      <w:r w:rsidRPr="00FB47DB">
        <w:rPr>
          <w:rtl/>
          <w:lang w:bidi="ar-EG"/>
        </w:rPr>
        <w:t xml:space="preserve"> قُدم لاحقاً إلى مؤتمر المندوبين المفوضين لعام</w:t>
      </w:r>
      <w:r w:rsidRPr="00FB47DB">
        <w:rPr>
          <w:rFonts w:hint="cs"/>
          <w:rtl/>
          <w:lang w:bidi="ar-EG"/>
        </w:rPr>
        <w:t> </w:t>
      </w:r>
      <w:r w:rsidRPr="00FB47DB">
        <w:rPr>
          <w:lang w:bidi="ar-EG"/>
        </w:rPr>
        <w:t>2018</w:t>
      </w:r>
      <w:r>
        <w:rPr>
          <w:rFonts w:hint="cs"/>
          <w:rtl/>
          <w:lang w:bidi="ar-EG"/>
        </w:rPr>
        <w:t>؛</w:t>
      </w:r>
    </w:p>
    <w:p w14:paraId="4BEAADB7" w14:textId="77777777" w:rsidR="00BD391C" w:rsidRDefault="00BD391C" w:rsidP="00BD391C">
      <w:pPr>
        <w:rPr>
          <w:rtl/>
          <w:lang w:bidi="ar-EG"/>
        </w:rPr>
      </w:pPr>
      <w:r w:rsidRPr="00FA7340">
        <w:rPr>
          <w:rFonts w:hint="cs"/>
          <w:i/>
          <w:iCs/>
          <w:rtl/>
          <w:lang w:bidi="ar-EG"/>
        </w:rPr>
        <w:t>ب)</w:t>
      </w:r>
      <w:r w:rsidRPr="00FA7340">
        <w:rPr>
          <w:i/>
          <w:iCs/>
          <w:rtl/>
          <w:lang w:bidi="ar-EG"/>
        </w:rPr>
        <w:tab/>
      </w:r>
      <w:r w:rsidRPr="00FA7340">
        <w:rPr>
          <w:rtl/>
          <w:lang w:bidi="ar-EG"/>
        </w:rPr>
        <w:t>ب</w:t>
      </w:r>
      <w:r w:rsidRPr="00FA7340">
        <w:rPr>
          <w:rFonts w:hint="cs"/>
          <w:rtl/>
          <w:lang w:bidi="ar-EG"/>
        </w:rPr>
        <w:t xml:space="preserve">أن </w:t>
      </w:r>
      <w:r w:rsidRPr="00FA7340">
        <w:rPr>
          <w:rtl/>
          <w:lang w:bidi="ar-EG"/>
        </w:rPr>
        <w:t xml:space="preserve">المجلس </w:t>
      </w:r>
      <w:r w:rsidRPr="00FA7340">
        <w:rPr>
          <w:rFonts w:hint="cs"/>
          <w:rtl/>
          <w:lang w:bidi="ar-EG"/>
        </w:rPr>
        <w:t>في دورته لعام</w:t>
      </w:r>
      <w:r w:rsidRPr="00FA7340">
        <w:rPr>
          <w:rtl/>
          <w:lang w:bidi="ar-EG"/>
        </w:rPr>
        <w:t xml:space="preserve"> </w:t>
      </w:r>
      <w:r w:rsidRPr="00FA7340">
        <w:rPr>
          <w:lang w:bidi="ar-EG"/>
        </w:rPr>
        <w:t>2019</w:t>
      </w:r>
      <w:r w:rsidRPr="00FA7340">
        <w:rPr>
          <w:rtl/>
        </w:rPr>
        <w:t xml:space="preserve"> </w:t>
      </w:r>
      <w:r w:rsidRPr="00FA7340">
        <w:rPr>
          <w:rFonts w:hint="cs"/>
          <w:rtl/>
        </w:rPr>
        <w:t xml:space="preserve">أعاد تشكيل </w:t>
      </w:r>
      <w:r w:rsidRPr="00FA7340">
        <w:rPr>
          <w:rtl/>
          <w:lang w:bidi="ar-EG"/>
        </w:rPr>
        <w:t xml:space="preserve">فريق خبراء معني بلوائح الاتصالات الدولية </w:t>
      </w:r>
      <w:r w:rsidRPr="00FA7340">
        <w:rPr>
          <w:lang w:bidi="ar-EG"/>
        </w:rPr>
        <w:t>(EG-ITR)</w:t>
      </w:r>
      <w:r w:rsidRPr="00FA7340">
        <w:rPr>
          <w:rFonts w:hint="cs"/>
          <w:rtl/>
          <w:lang w:bidi="ar-EG"/>
        </w:rPr>
        <w:t xml:space="preserve">، وأن الفريق </w:t>
      </w:r>
      <w:r w:rsidRPr="00FA7340">
        <w:rPr>
          <w:rtl/>
          <w:lang w:bidi="ar-EG"/>
        </w:rPr>
        <w:t>أعد، وفقا</w:t>
      </w:r>
      <w:r w:rsidRPr="00FA7340">
        <w:rPr>
          <w:rFonts w:hint="cs"/>
          <w:rtl/>
          <w:lang w:bidi="ar-EG"/>
        </w:rPr>
        <w:t>ً</w:t>
      </w:r>
      <w:r w:rsidRPr="00FA7340">
        <w:rPr>
          <w:rtl/>
          <w:lang w:bidi="ar-EG"/>
        </w:rPr>
        <w:t xml:space="preserve"> لاختصاصاته، تقريرا</w:t>
      </w:r>
      <w:r w:rsidRPr="00FA7340">
        <w:rPr>
          <w:rFonts w:hint="cs"/>
          <w:rtl/>
          <w:lang w:bidi="ar-EG"/>
        </w:rPr>
        <w:t>ً</w:t>
      </w:r>
      <w:r w:rsidRPr="00FA7340">
        <w:rPr>
          <w:rtl/>
          <w:lang w:bidi="ar-EG"/>
        </w:rPr>
        <w:t xml:space="preserve"> نهائيا</w:t>
      </w:r>
      <w:r w:rsidRPr="00FA7340">
        <w:rPr>
          <w:rFonts w:hint="cs"/>
          <w:rtl/>
          <w:lang w:bidi="ar-EG"/>
        </w:rPr>
        <w:t>ً</w:t>
      </w:r>
      <w:r w:rsidRPr="00FA7340">
        <w:rPr>
          <w:rtl/>
          <w:lang w:bidi="ar-EG"/>
        </w:rPr>
        <w:t xml:space="preserve"> عن استعراض لوائح الاتصالات الدولية لعام </w:t>
      </w:r>
      <w:r w:rsidRPr="00FA7340">
        <w:rPr>
          <w:lang w:bidi="ar-EG"/>
        </w:rPr>
        <w:t>2012</w:t>
      </w:r>
      <w:r w:rsidRPr="00FA7340">
        <w:rPr>
          <w:rtl/>
          <w:lang w:bidi="ar-EG"/>
        </w:rPr>
        <w:t xml:space="preserve"> قُدم لاحقاً إلى مؤتمر المندوبين المفوضين لعام</w:t>
      </w:r>
      <w:r w:rsidRPr="00FA7340">
        <w:rPr>
          <w:rFonts w:hint="cs"/>
          <w:rtl/>
          <w:lang w:bidi="ar-EG"/>
        </w:rPr>
        <w:t> 2022،</w:t>
      </w:r>
    </w:p>
    <w:p w14:paraId="05171EA6" w14:textId="77777777" w:rsidR="00BD391C" w:rsidRPr="00FB47DB" w:rsidRDefault="00BD391C" w:rsidP="00BD391C">
      <w:pPr>
        <w:pStyle w:val="Call"/>
        <w:rPr>
          <w:rtl/>
        </w:rPr>
      </w:pPr>
      <w:r w:rsidRPr="00FB47DB">
        <w:rPr>
          <w:rtl/>
        </w:rPr>
        <w:t>يقرر</w:t>
      </w:r>
    </w:p>
    <w:p w14:paraId="62FF7F9F" w14:textId="196812CC" w:rsidR="00BD391C" w:rsidRPr="00FB47DB" w:rsidRDefault="00BD391C" w:rsidP="00BD391C">
      <w:r w:rsidRPr="00FB47DB">
        <w:rPr>
          <w:lang w:bidi="ar-EG"/>
        </w:rPr>
        <w:t>1</w:t>
      </w:r>
      <w:r w:rsidRPr="00FB47DB">
        <w:rPr>
          <w:rtl/>
        </w:rPr>
        <w:tab/>
      </w:r>
      <w:r w:rsidRPr="00FB47DB">
        <w:rPr>
          <w:rFonts w:hint="cs"/>
          <w:rtl/>
        </w:rPr>
        <w:t>أن</w:t>
      </w:r>
      <w:r w:rsidR="005A24C0">
        <w:rPr>
          <w:rFonts w:hint="cs"/>
          <w:rtl/>
          <w:lang w:bidi="ar-EG"/>
        </w:rPr>
        <w:t xml:space="preserve"> يعاد تشكيل</w:t>
      </w:r>
      <w:r w:rsidRPr="00FB47DB">
        <w:rPr>
          <w:rFonts w:hint="cs"/>
          <w:rtl/>
        </w:rPr>
        <w:t xml:space="preserve"> فريق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خبراء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معني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بلوائح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الاتصالات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 xml:space="preserve">الدولية </w:t>
      </w:r>
      <w:r w:rsidRPr="00FB47DB">
        <w:rPr>
          <w:lang w:bidi="ar-EG"/>
        </w:rPr>
        <w:t>(EG</w:t>
      </w:r>
      <w:r w:rsidRPr="00FB47DB">
        <w:rPr>
          <w:lang w:bidi="ar-EG"/>
        </w:rPr>
        <w:noBreakHyphen/>
        <w:t>ITR)</w:t>
      </w:r>
      <w:r w:rsidRPr="00FB47DB">
        <w:rPr>
          <w:rFonts w:hint="cs"/>
          <w:rtl/>
        </w:rPr>
        <w:t xml:space="preserve"> تكون المشاركة فيه مفتوحة </w:t>
      </w:r>
      <w:r>
        <w:rPr>
          <w:rFonts w:hint="cs"/>
          <w:rtl/>
        </w:rPr>
        <w:t xml:space="preserve">للدول </w:t>
      </w:r>
      <w:r w:rsidRPr="00FB47DB">
        <w:rPr>
          <w:rFonts w:hint="cs"/>
          <w:rtl/>
        </w:rPr>
        <w:t>الأعضاء</w:t>
      </w:r>
      <w:r>
        <w:rPr>
          <w:rFonts w:hint="cs"/>
          <w:rtl/>
        </w:rPr>
        <w:t xml:space="preserve"> في الاتحاد</w:t>
      </w:r>
      <w:r w:rsidRPr="00FB47DB">
        <w:rPr>
          <w:rFonts w:hint="cs"/>
          <w:rtl/>
        </w:rPr>
        <w:t xml:space="preserve"> وأعضاء قطاعات</w:t>
      </w:r>
      <w:r>
        <w:rPr>
          <w:rFonts w:hint="cs"/>
          <w:rtl/>
        </w:rPr>
        <w:t xml:space="preserve"> الاتحاد</w:t>
      </w:r>
      <w:r w:rsidRPr="00FB47DB">
        <w:rPr>
          <w:rFonts w:hint="cs"/>
          <w:rtl/>
        </w:rPr>
        <w:t xml:space="preserve">، </w:t>
      </w:r>
      <w:r>
        <w:rPr>
          <w:rFonts w:hint="cs"/>
          <w:rtl/>
        </w:rPr>
        <w:t xml:space="preserve">لمواصلة النظر في القضايا المتعلقة بلوائح </w:t>
      </w:r>
      <w:r w:rsidRPr="00FB47DB">
        <w:rPr>
          <w:rFonts w:hint="cs"/>
          <w:rtl/>
        </w:rPr>
        <w:t>الاتصالات الدولية</w:t>
      </w:r>
      <w:r>
        <w:rPr>
          <w:rFonts w:hint="cs"/>
          <w:rtl/>
        </w:rPr>
        <w:t>، بما في ذلك استعراضها،</w:t>
      </w:r>
      <w:r w:rsidRPr="00FB47DB">
        <w:rPr>
          <w:rFonts w:hint="cs"/>
          <w:rtl/>
        </w:rPr>
        <w:t xml:space="preserve"> وتكون له الاختصاصات المحددة في الملحق</w:t>
      </w:r>
      <w:r w:rsidRPr="00FB47DB">
        <w:rPr>
          <w:rFonts w:hint="eastAsia"/>
          <w:rtl/>
        </w:rPr>
        <w:t> </w:t>
      </w:r>
      <w:r w:rsidRPr="00FB47DB">
        <w:rPr>
          <w:lang w:bidi="ar-EG"/>
        </w:rPr>
        <w:t>1</w:t>
      </w:r>
      <w:r w:rsidRPr="00FB47DB">
        <w:rPr>
          <w:rFonts w:hint="cs"/>
          <w:rtl/>
        </w:rPr>
        <w:t xml:space="preserve"> بهذا القرار؛</w:t>
      </w:r>
    </w:p>
    <w:p w14:paraId="7ECFF53D" w14:textId="77777777" w:rsidR="00BD391C" w:rsidRPr="00FB47DB" w:rsidRDefault="00BD391C" w:rsidP="00BD391C">
      <w:pPr>
        <w:rPr>
          <w:rtl/>
        </w:rPr>
      </w:pPr>
      <w:r w:rsidRPr="00FB47DB">
        <w:rPr>
          <w:lang w:bidi="ar-EG"/>
        </w:rPr>
        <w:t>2</w:t>
      </w:r>
      <w:r w:rsidRPr="00FB47DB">
        <w:rPr>
          <w:rtl/>
        </w:rPr>
        <w:tab/>
      </w:r>
      <w:r w:rsidRPr="00FB47DB">
        <w:rPr>
          <w:rFonts w:hint="cs"/>
          <w:rtl/>
        </w:rPr>
        <w:t>أن يكون للفريق رئيس وستة نواب للرئيس كل منهم من إحدى مناطق الاتحاد، ويعينهم المجلس، مع مراعاة الكفاءات والمؤهلات وتعزيز التوازن بين الجنسين؛</w:t>
      </w:r>
    </w:p>
    <w:p w14:paraId="0B001661" w14:textId="77777777" w:rsidR="00BD391C" w:rsidRPr="00FB47DB" w:rsidRDefault="00BD391C" w:rsidP="00BD391C">
      <w:pPr>
        <w:rPr>
          <w:rtl/>
        </w:rPr>
      </w:pPr>
      <w:r w:rsidRPr="00FB47DB">
        <w:rPr>
          <w:lang w:bidi="ar-EG"/>
        </w:rPr>
        <w:t>3</w:t>
      </w:r>
      <w:r w:rsidRPr="00FB47DB">
        <w:rPr>
          <w:rtl/>
        </w:rPr>
        <w:tab/>
      </w:r>
      <w:r w:rsidRPr="00FB47DB">
        <w:rPr>
          <w:rFonts w:hint="cs"/>
          <w:rtl/>
        </w:rPr>
        <w:t xml:space="preserve">أن يعدّ الفريق تقريراً مرحلياً عن عمله يقدَّم إلى المجلس في </w:t>
      </w:r>
      <w:r w:rsidRPr="00FB47DB">
        <w:rPr>
          <w:rFonts w:hint="cs"/>
          <w:rtl/>
          <w:lang w:bidi="ar-EG"/>
        </w:rPr>
        <w:t>دوراته السنوية</w:t>
      </w:r>
      <w:r w:rsidRPr="00FB47DB">
        <w:rPr>
          <w:rtl/>
        </w:rPr>
        <w:t>؛</w:t>
      </w:r>
    </w:p>
    <w:p w14:paraId="1D674C66" w14:textId="77777777" w:rsidR="00BD391C" w:rsidRPr="00FB47DB" w:rsidRDefault="00BD391C" w:rsidP="00BD391C">
      <w:pPr>
        <w:rPr>
          <w:rtl/>
          <w:lang w:bidi="ar-EG"/>
        </w:rPr>
      </w:pPr>
      <w:r w:rsidRPr="00FB47DB">
        <w:rPr>
          <w:lang w:bidi="ar-EG"/>
        </w:rPr>
        <w:t>4</w:t>
      </w:r>
      <w:r w:rsidRPr="00FB47DB">
        <w:rPr>
          <w:rtl/>
        </w:rPr>
        <w:tab/>
      </w:r>
      <w:r w:rsidRPr="00FB47DB">
        <w:rPr>
          <w:rFonts w:hint="cs"/>
          <w:rtl/>
        </w:rPr>
        <w:t xml:space="preserve">أن يعدّ الفريق تقريراً نهائياً يقدَّم إلى المجلس في دورته لعام </w:t>
      </w:r>
      <w:r>
        <w:t>2026</w:t>
      </w:r>
      <w:r w:rsidRPr="00FB47DB">
        <w:rPr>
          <w:rFonts w:hint="cs"/>
          <w:rtl/>
        </w:rPr>
        <w:t xml:space="preserve"> من أجل تقديم التقرير إلى مؤتمر المندوبين المفوضين لعام</w:t>
      </w:r>
      <w:r w:rsidRPr="00FB47DB">
        <w:rPr>
          <w:rFonts w:hint="eastAsia"/>
          <w:rtl/>
        </w:rPr>
        <w:t> </w:t>
      </w:r>
      <w:r>
        <w:t>2026</w:t>
      </w:r>
      <w:r w:rsidRPr="00FB47DB">
        <w:rPr>
          <w:rFonts w:hint="cs"/>
          <w:rtl/>
          <w:lang w:bidi="ar-EG"/>
        </w:rPr>
        <w:t xml:space="preserve"> </w:t>
      </w:r>
      <w:r w:rsidRPr="00FB47DB">
        <w:rPr>
          <w:rFonts w:hint="cs"/>
          <w:rtl/>
        </w:rPr>
        <w:t>مشفوعاً بتعليقات المجلس؛</w:t>
      </w:r>
    </w:p>
    <w:p w14:paraId="1EEAB1A2" w14:textId="77777777" w:rsidR="00BD391C" w:rsidRPr="00FB47DB" w:rsidRDefault="00BD391C" w:rsidP="00BD391C">
      <w:pPr>
        <w:rPr>
          <w:rtl/>
        </w:rPr>
      </w:pPr>
      <w:r w:rsidRPr="00FB47DB">
        <w:rPr>
          <w:lang w:bidi="ar-EG"/>
        </w:rPr>
        <w:t>5</w:t>
      </w:r>
      <w:r w:rsidRPr="00FB47DB">
        <w:rPr>
          <w:rtl/>
        </w:rPr>
        <w:tab/>
      </w:r>
      <w:r w:rsidRPr="00FB47DB">
        <w:rPr>
          <w:rFonts w:hint="cs"/>
          <w:rtl/>
        </w:rPr>
        <w:t>أن تطبَّق على الفريق القواعد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العامة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لمؤتمرات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الاتحاد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وجمعياته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واجتماعاته والنظام الداخلي للمجلس فيما</w:t>
      </w:r>
      <w:r w:rsidRPr="00FB47DB">
        <w:rPr>
          <w:rFonts w:hint="eastAsia"/>
          <w:rtl/>
        </w:rPr>
        <w:t> </w:t>
      </w:r>
      <w:r w:rsidRPr="00FB47DB">
        <w:rPr>
          <w:rFonts w:hint="cs"/>
          <w:rtl/>
        </w:rPr>
        <w:t>يتعلق بأفرقة العمل التابعة للمجلس؛</w:t>
      </w:r>
    </w:p>
    <w:p w14:paraId="2CAD5FC1" w14:textId="77777777" w:rsidR="00BD391C" w:rsidRPr="00FB47DB" w:rsidRDefault="00BD391C" w:rsidP="00BD391C">
      <w:pPr>
        <w:rPr>
          <w:rtl/>
        </w:rPr>
      </w:pPr>
      <w:r w:rsidRPr="00140299">
        <w:rPr>
          <w:lang w:bidi="ar-EG"/>
        </w:rPr>
        <w:lastRenderedPageBreak/>
        <w:t>6</w:t>
      </w:r>
      <w:r w:rsidRPr="00140299">
        <w:rPr>
          <w:rtl/>
        </w:rPr>
        <w:tab/>
      </w:r>
      <w:r w:rsidRPr="00140299">
        <w:rPr>
          <w:rFonts w:hint="cs"/>
          <w:rtl/>
        </w:rPr>
        <w:t>أن تتاح، عند الاقتضاء،</w:t>
      </w:r>
      <w:r w:rsidRPr="00140299">
        <w:rPr>
          <w:rFonts w:hint="cs"/>
          <w:rtl/>
          <w:lang w:bidi="ar-EG"/>
        </w:rPr>
        <w:t xml:space="preserve"> الترجمة الشفوية بلغات الاتحاد الرسمية الست </w:t>
      </w:r>
      <w:r w:rsidRPr="00140299">
        <w:rPr>
          <w:rFonts w:hint="cs"/>
          <w:rtl/>
        </w:rPr>
        <w:t>والعرض النصي والنسخ اللفظي</w:t>
      </w:r>
      <w:r w:rsidRPr="00140299">
        <w:rPr>
          <w:rtl/>
        </w:rPr>
        <w:t>؛</w:t>
      </w:r>
    </w:p>
    <w:p w14:paraId="123F4908" w14:textId="77777777" w:rsidR="00BD391C" w:rsidRPr="00760AA8" w:rsidRDefault="00BD391C" w:rsidP="00BD391C">
      <w:pPr>
        <w:rPr>
          <w:rtl/>
        </w:rPr>
      </w:pPr>
      <w:r w:rsidRPr="00760AA8">
        <w:rPr>
          <w:lang w:bidi="ar-EG"/>
        </w:rPr>
        <w:t>7</w:t>
      </w:r>
      <w:r w:rsidRPr="00760AA8">
        <w:rPr>
          <w:rtl/>
        </w:rPr>
        <w:tab/>
      </w:r>
      <w:r w:rsidRPr="00760AA8">
        <w:rPr>
          <w:rFonts w:hint="cs"/>
          <w:rtl/>
        </w:rPr>
        <w:t>أن تتاح للجمهور جميع الوثائق الصادرة عن اجتماعات الفريق، وفقاً لسياسة النفاذ إلى وثائق الاتحاد، وكذلك جميع الوثائق المقدّمة رهناً بقرار يتخذه مقدم الوثيقة؛</w:t>
      </w:r>
    </w:p>
    <w:p w14:paraId="20E16A2F" w14:textId="77777777" w:rsidR="00BD391C" w:rsidRPr="00FB47DB" w:rsidRDefault="00BD391C" w:rsidP="00BD391C">
      <w:pPr>
        <w:rPr>
          <w:rtl/>
        </w:rPr>
      </w:pPr>
      <w:r w:rsidRPr="00FB47DB">
        <w:rPr>
          <w:lang w:bidi="ar-EG"/>
        </w:rPr>
        <w:t>8</w:t>
      </w:r>
      <w:r w:rsidRPr="00FB47DB">
        <w:rPr>
          <w:rtl/>
        </w:rPr>
        <w:tab/>
      </w:r>
      <w:r w:rsidRPr="00FB47DB">
        <w:rPr>
          <w:rFonts w:hint="cs"/>
          <w:rtl/>
        </w:rPr>
        <w:t xml:space="preserve">أن </w:t>
      </w:r>
      <w:r>
        <w:rPr>
          <w:rFonts w:hint="cs"/>
          <w:rtl/>
        </w:rPr>
        <w:t>يجتمع</w:t>
      </w:r>
      <w:r w:rsidRPr="00FB47DB">
        <w:rPr>
          <w:rFonts w:hint="cs"/>
          <w:rtl/>
        </w:rPr>
        <w:t xml:space="preserve"> الفريق في إطار مجموعة اجتماعات أفرقة العمل التابعة للمجلس</w:t>
      </w:r>
      <w:r>
        <w:rPr>
          <w:rFonts w:hint="cs"/>
          <w:rtl/>
        </w:rPr>
        <w:t xml:space="preserve"> ومن الأفضل أن تكون اجتماعاته حضورية</w:t>
      </w:r>
      <w:r w:rsidRPr="00FB47DB">
        <w:rPr>
          <w:rFonts w:hint="cs"/>
          <w:rtl/>
        </w:rPr>
        <w:t>،</w:t>
      </w:r>
    </w:p>
    <w:p w14:paraId="02B36259" w14:textId="77777777" w:rsidR="00BD391C" w:rsidRPr="00FB47DB" w:rsidRDefault="00BD391C" w:rsidP="00BD391C">
      <w:pPr>
        <w:pStyle w:val="Call"/>
        <w:rPr>
          <w:rtl/>
        </w:rPr>
      </w:pPr>
      <w:r w:rsidRPr="00FB47DB">
        <w:rPr>
          <w:rtl/>
        </w:rPr>
        <w:t>يكلف الأمين العام</w:t>
      </w:r>
    </w:p>
    <w:p w14:paraId="36D09892" w14:textId="77777777" w:rsidR="00BD391C" w:rsidRPr="00FB47DB" w:rsidRDefault="00BD391C" w:rsidP="00BD391C">
      <w:pPr>
        <w:rPr>
          <w:lang w:val="fr-CH" w:bidi="ar-EG"/>
        </w:rPr>
      </w:pPr>
      <w:r w:rsidRPr="00FB47DB">
        <w:rPr>
          <w:rFonts w:hint="cs"/>
          <w:rtl/>
        </w:rPr>
        <w:t>باتخاذ الترتيبات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اللازمة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لتنفيذ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هذا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القرار،</w:t>
      </w:r>
    </w:p>
    <w:p w14:paraId="7B79E145" w14:textId="77777777" w:rsidR="00BD391C" w:rsidRPr="00FB47DB" w:rsidRDefault="00BD391C" w:rsidP="00BD391C">
      <w:pPr>
        <w:pStyle w:val="Call"/>
        <w:rPr>
          <w:rtl/>
        </w:rPr>
      </w:pPr>
      <w:r w:rsidRPr="00FB47DB">
        <w:rPr>
          <w:rtl/>
        </w:rPr>
        <w:t>يكلف مديري المكاتب</w:t>
      </w:r>
    </w:p>
    <w:p w14:paraId="0DC408CF" w14:textId="77777777" w:rsidR="00BD391C" w:rsidRPr="00FB47DB" w:rsidRDefault="00BD391C" w:rsidP="00BD391C">
      <w:pPr>
        <w:rPr>
          <w:rtl/>
          <w:lang w:bidi="ar-SY"/>
        </w:rPr>
      </w:pPr>
      <w:r w:rsidRPr="002D7C32">
        <w:rPr>
          <w:lang w:val="fr-CH" w:bidi="ar-EG"/>
        </w:rPr>
        <w:t>1</w:t>
      </w:r>
      <w:r w:rsidRPr="002D7C32">
        <w:rPr>
          <w:lang w:val="fr-CH" w:bidi="ar-EG"/>
        </w:rPr>
        <w:tab/>
      </w:r>
      <w:r w:rsidRPr="00FB47DB">
        <w:rPr>
          <w:rFonts w:hint="cs"/>
          <w:rtl/>
          <w:lang w:bidi="ar-SY"/>
        </w:rPr>
        <w:t>بالمساهمة،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كل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في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مجال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اختصاصه،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وبمشورة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من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الفريق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الاستشاري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ذي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الصلة،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في</w:t>
      </w:r>
      <w:r w:rsidRPr="00FB47D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أنشطة</w:t>
      </w:r>
      <w:r w:rsidRPr="00FB47DB">
        <w:rPr>
          <w:rFonts w:hint="cs"/>
          <w:rtl/>
          <w:lang w:bidi="ar-EG"/>
        </w:rPr>
        <w:t xml:space="preserve"> فريق</w:t>
      </w:r>
      <w:r>
        <w:rPr>
          <w:rFonts w:hint="cs"/>
          <w:rtl/>
          <w:lang w:bidi="ar-EG"/>
        </w:rPr>
        <w:t xml:space="preserve"> الخبراء المعني بلوائح الاتصالات الدولية</w:t>
      </w:r>
      <w:r w:rsidRPr="00FB47DB">
        <w:rPr>
          <w:rFonts w:hint="cs"/>
          <w:rtl/>
          <w:lang w:bidi="ar-EG"/>
        </w:rPr>
        <w:t xml:space="preserve">، </w:t>
      </w:r>
      <w:r w:rsidRPr="00FB47DB">
        <w:rPr>
          <w:rFonts w:hint="cs"/>
          <w:rtl/>
          <w:lang w:bidi="ar-SY"/>
        </w:rPr>
        <w:t>علماً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بأن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معظم الأعمال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المتعلقة بلوائح الاتصالات الدولية تجري في قطاع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تقييس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الاتصالات في الاتحاد؛</w:t>
      </w:r>
    </w:p>
    <w:p w14:paraId="3492A0AD" w14:textId="77777777" w:rsidR="00BD391C" w:rsidRPr="00FB47DB" w:rsidRDefault="00BD391C" w:rsidP="00BD391C">
      <w:pPr>
        <w:rPr>
          <w:rtl/>
        </w:rPr>
      </w:pPr>
      <w:r w:rsidRPr="00FB47DB">
        <w:rPr>
          <w:lang w:bidi="ar-EG"/>
        </w:rPr>
        <w:t>2</w:t>
      </w:r>
      <w:r w:rsidRPr="00FB47DB">
        <w:rPr>
          <w:rtl/>
        </w:rPr>
        <w:tab/>
      </w:r>
      <w:r w:rsidRPr="00FB47DB">
        <w:rPr>
          <w:rFonts w:hint="cs"/>
          <w:rtl/>
        </w:rPr>
        <w:t>بتقديم نتائج عملهم إلى الفريق؛</w:t>
      </w:r>
    </w:p>
    <w:p w14:paraId="782ADE84" w14:textId="77777777" w:rsidR="00BD391C" w:rsidRPr="00FB47DB" w:rsidRDefault="00BD391C" w:rsidP="00BD391C">
      <w:pPr>
        <w:rPr>
          <w:rtl/>
        </w:rPr>
      </w:pPr>
      <w:r w:rsidRPr="00FB47DB">
        <w:rPr>
          <w:lang w:bidi="ar-EG"/>
        </w:rPr>
        <w:t>3</w:t>
      </w:r>
      <w:r w:rsidRPr="00FB47DB">
        <w:rPr>
          <w:rtl/>
        </w:rPr>
        <w:tab/>
      </w:r>
      <w:r w:rsidRPr="00FB47DB">
        <w:rPr>
          <w:rFonts w:hint="cs"/>
          <w:rtl/>
        </w:rPr>
        <w:t>بالنظر في تقديم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منح،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حسب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الموارد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المتاحة،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إلى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البلدان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النامية</w:t>
      </w:r>
      <w:r>
        <w:rPr>
          <w:rStyle w:val="FootnoteReference"/>
          <w:rtl/>
        </w:rPr>
        <w:footnoteReference w:id="1"/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وأقل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البلدان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نمواً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وفقاً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للقائمة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التي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وضعتها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الأمم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المتحدة،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من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أجل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توسيع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المشاركة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في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عمل فريق</w:t>
      </w:r>
      <w:r>
        <w:rPr>
          <w:rFonts w:hint="cs"/>
          <w:rtl/>
        </w:rPr>
        <w:t xml:space="preserve"> الخبراء</w:t>
      </w:r>
      <w:r w:rsidRPr="00FB47DB">
        <w:rPr>
          <w:rFonts w:hint="cs"/>
          <w:rtl/>
        </w:rPr>
        <w:t>،</w:t>
      </w:r>
    </w:p>
    <w:p w14:paraId="1FA76DB5" w14:textId="77777777" w:rsidR="00BD391C" w:rsidRPr="00FB47DB" w:rsidRDefault="00BD391C" w:rsidP="00BD391C">
      <w:pPr>
        <w:pStyle w:val="Call"/>
        <w:rPr>
          <w:rtl/>
        </w:rPr>
      </w:pPr>
      <w:r w:rsidRPr="00FB47DB">
        <w:rPr>
          <w:rFonts w:hint="cs"/>
          <w:rtl/>
        </w:rPr>
        <w:t>يدعو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الدول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الأعضاء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وأعضاء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القطاعات</w:t>
      </w:r>
    </w:p>
    <w:p w14:paraId="7528870D" w14:textId="77777777" w:rsidR="00BD391C" w:rsidRPr="00FB47DB" w:rsidRDefault="00BD391C" w:rsidP="00BD391C">
      <w:pPr>
        <w:rPr>
          <w:rtl/>
          <w:lang w:bidi="ar-SY"/>
        </w:rPr>
      </w:pPr>
      <w:r w:rsidRPr="00FB47DB">
        <w:rPr>
          <w:rFonts w:hint="cs"/>
          <w:rtl/>
          <w:lang w:bidi="ar-SY"/>
        </w:rPr>
        <w:t xml:space="preserve">إلى المشاركة والمساهمة في </w:t>
      </w:r>
      <w:r>
        <w:rPr>
          <w:rFonts w:hint="cs"/>
          <w:rtl/>
          <w:lang w:bidi="ar-SY"/>
        </w:rPr>
        <w:t>أنشطة</w:t>
      </w:r>
      <w:r w:rsidRPr="00FB47DB">
        <w:rPr>
          <w:rFonts w:hint="cs"/>
          <w:rtl/>
          <w:lang w:bidi="ar-SY"/>
        </w:rPr>
        <w:t xml:space="preserve"> </w:t>
      </w:r>
      <w:r w:rsidRPr="00FB47DB">
        <w:rPr>
          <w:rFonts w:hint="cs"/>
          <w:rtl/>
        </w:rPr>
        <w:t>فريق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الخبراء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المعني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بلوائح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الاتصالات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الدولية</w:t>
      </w:r>
      <w:r w:rsidRPr="00FB47DB">
        <w:rPr>
          <w:rFonts w:hint="cs"/>
          <w:rtl/>
          <w:lang w:bidi="ar-SY"/>
        </w:rPr>
        <w:t>.</w:t>
      </w:r>
    </w:p>
    <w:p w14:paraId="2ED1F6CF" w14:textId="77777777" w:rsidR="00BD391C" w:rsidRPr="005A24C0" w:rsidRDefault="00BD391C" w:rsidP="00BD391C">
      <w:pPr>
        <w:spacing w:before="1200"/>
        <w:rPr>
          <w:i/>
          <w:iCs/>
          <w:rtl/>
          <w:lang w:val="fr-CH" w:bidi="ar-EG"/>
        </w:rPr>
      </w:pPr>
      <w:r w:rsidRPr="005A24C0">
        <w:rPr>
          <w:rFonts w:hint="cs"/>
          <w:i/>
          <w:iCs/>
          <w:rtl/>
          <w:lang w:bidi="ar-SY"/>
        </w:rPr>
        <w:t xml:space="preserve">الملحقات: </w:t>
      </w:r>
      <w:r w:rsidRPr="005A24C0">
        <w:rPr>
          <w:b/>
          <w:bCs/>
          <w:i/>
          <w:iCs/>
          <w:lang w:bidi="ar-SY"/>
        </w:rPr>
        <w:t>1</w:t>
      </w:r>
    </w:p>
    <w:p w14:paraId="47F62B0E" w14:textId="77777777" w:rsidR="00BD391C" w:rsidRPr="00FB47DB" w:rsidRDefault="00BD391C" w:rsidP="00BD391C">
      <w:pPr>
        <w:rPr>
          <w:rtl/>
        </w:rPr>
      </w:pPr>
      <w:r w:rsidRPr="00FB47DB">
        <w:rPr>
          <w:rtl/>
        </w:rPr>
        <w:br w:type="page"/>
      </w:r>
    </w:p>
    <w:p w14:paraId="49DE9958" w14:textId="77777777" w:rsidR="00BD391C" w:rsidRPr="00FB47DB" w:rsidRDefault="00BD391C" w:rsidP="00BD391C">
      <w:pPr>
        <w:pStyle w:val="AnnexNo"/>
        <w:rPr>
          <w:rtl/>
          <w:lang w:bidi="ar-EG"/>
        </w:rPr>
      </w:pPr>
      <w:r w:rsidRPr="00FB47DB">
        <w:rPr>
          <w:rFonts w:hint="cs"/>
          <w:rtl/>
        </w:rPr>
        <w:lastRenderedPageBreak/>
        <w:t>الملحق</w:t>
      </w:r>
    </w:p>
    <w:p w14:paraId="7BAD95F7" w14:textId="77777777" w:rsidR="00BD391C" w:rsidRPr="00FB47DB" w:rsidRDefault="00BD391C" w:rsidP="00BD391C">
      <w:pPr>
        <w:pStyle w:val="Annextitle"/>
        <w:rPr>
          <w:rtl/>
        </w:rPr>
      </w:pPr>
      <w:r w:rsidRPr="00FB47DB">
        <w:rPr>
          <w:rFonts w:hint="cs"/>
          <w:rtl/>
        </w:rPr>
        <w:t>اختصاصات فريق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الخبراء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المعني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بلوائح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الاتصالات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الدولية </w:t>
      </w:r>
      <w:r w:rsidRPr="00FB47DB">
        <w:rPr>
          <w:lang w:bidi="ar-EG"/>
        </w:rPr>
        <w:t>(EG-ITR)</w:t>
      </w:r>
    </w:p>
    <w:p w14:paraId="4D5F0C22" w14:textId="77777777" w:rsidR="00BD391C" w:rsidRPr="00FB47DB" w:rsidRDefault="00BD391C" w:rsidP="00BD391C">
      <w:pPr>
        <w:rPr>
          <w:rtl/>
          <w:lang w:bidi="ar-EG"/>
        </w:rPr>
      </w:pPr>
      <w:r w:rsidRPr="00E12FF2">
        <w:rPr>
          <w:lang w:bidi="ar-EG"/>
        </w:rPr>
        <w:t>1</w:t>
      </w:r>
      <w:r w:rsidRPr="00E12FF2">
        <w:rPr>
          <w:lang w:bidi="ar-EG"/>
        </w:rPr>
        <w:tab/>
      </w:r>
      <w:r w:rsidRPr="00E12FF2">
        <w:rPr>
          <w:rFonts w:hint="cs"/>
          <w:rtl/>
          <w:lang w:bidi="ar-EG"/>
        </w:rPr>
        <w:t>مواصلة</w:t>
      </w:r>
      <w:r w:rsidRPr="00E12FF2">
        <w:rPr>
          <w:rFonts w:hint="cs"/>
          <w:rtl/>
        </w:rPr>
        <w:t xml:space="preserve"> استعراض لوائح الاتصالات الدولية</w:t>
      </w:r>
      <w:r w:rsidRPr="00E12FF2">
        <w:rPr>
          <w:rtl/>
          <w:lang w:bidi="ar-SY"/>
        </w:rPr>
        <w:t>، بناءً على المساهمات المقدمة من الدول الأعضاء وأعضاء القطاعات والمدخلات المقدمة من مديري المكاتب، إذا</w:t>
      </w:r>
      <w:r w:rsidRPr="00E12FF2">
        <w:rPr>
          <w:rFonts w:hint="cs"/>
          <w:rtl/>
          <w:lang w:bidi="ar-SY"/>
        </w:rPr>
        <w:t> </w:t>
      </w:r>
      <w:r w:rsidRPr="00E12FF2">
        <w:rPr>
          <w:rtl/>
          <w:lang w:bidi="ar-SY"/>
        </w:rPr>
        <w:t>استدعى الأمر.</w:t>
      </w:r>
    </w:p>
    <w:p w14:paraId="5261414D" w14:textId="77777777" w:rsidR="00BD391C" w:rsidRDefault="00BD391C" w:rsidP="00BD391C">
      <w:pPr>
        <w:rPr>
          <w:rtl/>
          <w:lang w:bidi="ar-SY"/>
        </w:rPr>
      </w:pPr>
      <w:r w:rsidRPr="00E12FF2">
        <w:rPr>
          <w:lang w:bidi="ar-SY"/>
        </w:rPr>
        <w:t>2</w:t>
      </w:r>
      <w:r w:rsidRPr="00E12FF2">
        <w:rPr>
          <w:lang w:bidi="ar-SY"/>
        </w:rPr>
        <w:tab/>
      </w:r>
      <w:r>
        <w:rPr>
          <w:rFonts w:hint="cs"/>
          <w:rtl/>
          <w:lang w:bidi="ar-SY"/>
        </w:rPr>
        <w:t xml:space="preserve">مع </w:t>
      </w:r>
      <w:r w:rsidRPr="00E12FF2">
        <w:rPr>
          <w:rFonts w:hint="cs"/>
          <w:rtl/>
          <w:lang w:bidi="ar-SY"/>
        </w:rPr>
        <w:t>مراعاة عمل فريقي الخبراء السابقَي</w:t>
      </w:r>
      <w:r>
        <w:rPr>
          <w:rFonts w:hint="cs"/>
          <w:rtl/>
          <w:lang w:bidi="ar-SY"/>
        </w:rPr>
        <w:t>ن، ي</w:t>
      </w:r>
      <w:r w:rsidRPr="00E12FF2">
        <w:rPr>
          <w:rFonts w:hint="cs"/>
          <w:rtl/>
          <w:lang w:bidi="ar-SY"/>
        </w:rPr>
        <w:t xml:space="preserve">مكن أن يشمل الاستعراض النظر </w:t>
      </w:r>
      <w:r>
        <w:rPr>
          <w:rFonts w:hint="cs"/>
          <w:rtl/>
          <w:lang w:bidi="ar-SY"/>
        </w:rPr>
        <w:t>في أمور منها:</w:t>
      </w:r>
    </w:p>
    <w:p w14:paraId="781315B7" w14:textId="77777777" w:rsidR="00BD391C" w:rsidRPr="00FB47DB" w:rsidRDefault="00BD391C" w:rsidP="00BD391C">
      <w:pPr>
        <w:pStyle w:val="enumlev2"/>
        <w:rPr>
          <w:rtl/>
          <w:lang w:bidi="ar-EG"/>
        </w:rPr>
      </w:pPr>
      <w:r>
        <w:rPr>
          <w:rFonts w:hint="cs"/>
          <w:rtl/>
          <w:lang w:bidi="ar-SY"/>
        </w:rPr>
        <w:t>أ )</w:t>
      </w:r>
      <w:r>
        <w:rPr>
          <w:rtl/>
          <w:lang w:bidi="ar-SY"/>
        </w:rPr>
        <w:tab/>
      </w:r>
      <w:r w:rsidRPr="0014766A">
        <w:rPr>
          <w:rtl/>
          <w:lang w:bidi="ar-SY"/>
        </w:rPr>
        <w:t>الاتجاهات الجديدة في مجال الاتصالات/تكنولوجيا المعلومات والاتصالات، والقضايا الناشئة</w:t>
      </w:r>
      <w:r w:rsidRPr="0014766A">
        <w:rPr>
          <w:rFonts w:hint="cs"/>
          <w:rtl/>
          <w:lang w:bidi="ar-SY"/>
        </w:rPr>
        <w:t xml:space="preserve"> في بيئة الاتصالات/تكنولوجيا</w:t>
      </w:r>
      <w:r w:rsidRPr="00FB47DB">
        <w:rPr>
          <w:rFonts w:hint="cs"/>
          <w:rtl/>
          <w:lang w:bidi="ar-SY"/>
        </w:rPr>
        <w:t xml:space="preserve"> المعلومات والاتصالات الدولية</w:t>
      </w:r>
      <w:r>
        <w:rPr>
          <w:rFonts w:hint="cs"/>
          <w:rtl/>
          <w:lang w:bidi="ar-SY"/>
        </w:rPr>
        <w:t xml:space="preserve"> التي قد تؤثر على لوائح الاتصالات الدولية،</w:t>
      </w:r>
    </w:p>
    <w:p w14:paraId="0F34F928" w14:textId="77777777" w:rsidR="00BD391C" w:rsidRPr="00140299" w:rsidRDefault="00BD391C" w:rsidP="00BD391C">
      <w:pPr>
        <w:pStyle w:val="enumlev2"/>
      </w:pPr>
      <w:r>
        <w:rPr>
          <w:rFonts w:hint="cs"/>
          <w:rtl/>
        </w:rPr>
        <w:t>ب</w:t>
      </w:r>
      <w:r w:rsidRPr="00140299">
        <w:rPr>
          <w:rtl/>
        </w:rPr>
        <w:t>)</w:t>
      </w:r>
      <w:r w:rsidRPr="00140299">
        <w:rPr>
          <w:rtl/>
        </w:rPr>
        <w:tab/>
      </w:r>
      <w:r w:rsidRPr="00140299">
        <w:rPr>
          <w:rFonts w:hint="cs"/>
          <w:rtl/>
        </w:rPr>
        <w:t xml:space="preserve">بيانات تجريبية بشأن الاستعمال الحالي للوائح الاتصالات الدولية من جانب </w:t>
      </w:r>
      <w:r>
        <w:rPr>
          <w:rFonts w:hint="cs"/>
          <w:rtl/>
        </w:rPr>
        <w:t>وكالات التشغيل</w:t>
      </w:r>
      <w:r w:rsidRPr="00140299">
        <w:rPr>
          <w:rFonts w:hint="cs"/>
          <w:rtl/>
        </w:rPr>
        <w:t xml:space="preserve"> و/أو </w:t>
      </w:r>
      <w:r>
        <w:rPr>
          <w:rFonts w:hint="cs"/>
          <w:rtl/>
        </w:rPr>
        <w:t>ال</w:t>
      </w:r>
      <w:r w:rsidRPr="00140299">
        <w:rPr>
          <w:rFonts w:hint="cs"/>
          <w:rtl/>
        </w:rPr>
        <w:t>إدارات</w:t>
      </w:r>
      <w:r>
        <w:rPr>
          <w:rFonts w:hint="cs"/>
          <w:rtl/>
        </w:rPr>
        <w:t>، و</w:t>
      </w:r>
      <w:r w:rsidRPr="00140299">
        <w:rPr>
          <w:rFonts w:hint="cs"/>
          <w:rtl/>
        </w:rPr>
        <w:t>نسبة خدمات الاتصالات العالمية التي تعتمد حالياً على لوائح الاتصالات الدولية</w:t>
      </w:r>
      <w:r>
        <w:rPr>
          <w:rFonts w:hint="cs"/>
          <w:rtl/>
        </w:rPr>
        <w:t>؛</w:t>
      </w:r>
    </w:p>
    <w:p w14:paraId="7E4727C1" w14:textId="77777777" w:rsidR="00BD391C" w:rsidRPr="00140299" w:rsidRDefault="00BD391C" w:rsidP="00BD391C">
      <w:pPr>
        <w:pStyle w:val="enumlev2"/>
        <w:rPr>
          <w:rtl/>
        </w:rPr>
      </w:pPr>
      <w:r w:rsidRPr="00140299">
        <w:rPr>
          <w:rFonts w:hint="cs"/>
          <w:rtl/>
        </w:rPr>
        <w:t>ج</w:t>
      </w:r>
      <w:r w:rsidRPr="00140299">
        <w:rPr>
          <w:rtl/>
        </w:rPr>
        <w:t>)</w:t>
      </w:r>
      <w:r w:rsidRPr="00140299">
        <w:rPr>
          <w:rtl/>
        </w:rPr>
        <w:tab/>
        <w:t>مدى ملاءمة</w:t>
      </w:r>
      <w:r>
        <w:rPr>
          <w:rFonts w:hint="cs"/>
          <w:rtl/>
        </w:rPr>
        <w:t xml:space="preserve"> لوائح الاتصالات الدولية التي "تتألف من </w:t>
      </w:r>
      <w:r w:rsidRPr="00140299">
        <w:rPr>
          <w:rtl/>
        </w:rPr>
        <w:t>مبادئ توجيهية رفيعة المستوى</w:t>
      </w:r>
      <w:r>
        <w:rPr>
          <w:rFonts w:hint="cs"/>
          <w:rtl/>
        </w:rPr>
        <w:t>"</w:t>
      </w:r>
      <w:r w:rsidRPr="00140299">
        <w:rPr>
          <w:rtl/>
        </w:rPr>
        <w:t xml:space="preserve"> في البيئة الحالية للاتصالات/تكنولوجيا المعلومات والاتصالات</w:t>
      </w:r>
      <w:r>
        <w:rPr>
          <w:rFonts w:hint="cs"/>
          <w:rtl/>
        </w:rPr>
        <w:t>.</w:t>
      </w:r>
    </w:p>
    <w:p w14:paraId="0ACD081C" w14:textId="77777777" w:rsidR="00BD391C" w:rsidRDefault="00BD391C" w:rsidP="00BD391C">
      <w:pPr>
        <w:rPr>
          <w:rtl/>
        </w:rPr>
      </w:pPr>
      <w:r>
        <w:rPr>
          <w:lang w:bidi="ar-EG"/>
        </w:rPr>
        <w:t>3</w:t>
      </w:r>
      <w:r w:rsidRPr="00FB47DB">
        <w:rPr>
          <w:lang w:bidi="ar-EG"/>
        </w:rPr>
        <w:tab/>
      </w:r>
      <w:r w:rsidRPr="00FB47DB">
        <w:rPr>
          <w:rFonts w:hint="cs"/>
          <w:rtl/>
        </w:rPr>
        <w:t>يعرض فريق</w:t>
      </w:r>
      <w:r>
        <w:rPr>
          <w:rFonts w:hint="cs"/>
          <w:rtl/>
        </w:rPr>
        <w:t xml:space="preserve"> الخبراء</w:t>
      </w:r>
      <w:r w:rsidRPr="00FB47DB">
        <w:rPr>
          <w:rFonts w:hint="cs"/>
          <w:rtl/>
        </w:rPr>
        <w:t xml:space="preserve"> تقريراً مرحلياً يعبر عن جميع الآراء بشأن استعراض لوائح الاتصالات الدولية على المجلس في</w:t>
      </w:r>
      <w:r>
        <w:rPr>
          <w:rFonts w:hint="eastAsia"/>
          <w:rtl/>
        </w:rPr>
        <w:t> </w:t>
      </w:r>
      <w:r>
        <w:rPr>
          <w:rFonts w:hint="cs"/>
          <w:rtl/>
        </w:rPr>
        <w:t>دورتيه</w:t>
      </w:r>
      <w:r w:rsidRPr="00FB47DB">
        <w:rPr>
          <w:rFonts w:hint="cs"/>
          <w:rtl/>
        </w:rPr>
        <w:t xml:space="preserve"> </w:t>
      </w:r>
      <w:r w:rsidRPr="00140299">
        <w:rPr>
          <w:rFonts w:hint="cs"/>
          <w:rtl/>
          <w:lang w:bidi="ar-EG"/>
        </w:rPr>
        <w:t>لعام</w:t>
      </w:r>
      <w:r w:rsidRPr="00140299">
        <w:rPr>
          <w:rFonts w:hint="eastAsia"/>
          <w:rtl/>
          <w:lang w:bidi="ar-EG"/>
        </w:rPr>
        <w:t> </w:t>
      </w:r>
      <w:r w:rsidRPr="00140299">
        <w:rPr>
          <w:lang w:bidi="ar-EG"/>
        </w:rPr>
        <w:t>2024</w:t>
      </w:r>
      <w:r>
        <w:rPr>
          <w:rFonts w:hint="cs"/>
          <w:rtl/>
          <w:lang w:bidi="ar-EG"/>
        </w:rPr>
        <w:t xml:space="preserve"> وعام</w:t>
      </w:r>
      <w:r w:rsidRPr="00FB47DB">
        <w:rPr>
          <w:rFonts w:hint="cs"/>
          <w:rtl/>
          <w:lang w:bidi="ar-EG"/>
        </w:rPr>
        <w:t xml:space="preserve"> </w:t>
      </w:r>
      <w:r>
        <w:rPr>
          <w:lang w:bidi="ar-EG"/>
        </w:rPr>
        <w:t>2025</w:t>
      </w:r>
      <w:r>
        <w:rPr>
          <w:rFonts w:hint="cs"/>
          <w:rtl/>
          <w:lang w:bidi="ar-EG"/>
        </w:rPr>
        <w:t>،</w:t>
      </w:r>
      <w:r w:rsidRPr="00FB47DB">
        <w:rPr>
          <w:rFonts w:hint="cs"/>
          <w:rtl/>
        </w:rPr>
        <w:t xml:space="preserve"> وتقريراً نهائياً على المجلس في</w:t>
      </w:r>
      <w:r w:rsidRPr="00FB47DB">
        <w:rPr>
          <w:rFonts w:hint="eastAsia"/>
          <w:rtl/>
        </w:rPr>
        <w:t> </w:t>
      </w:r>
      <w:r w:rsidRPr="00FB47DB">
        <w:rPr>
          <w:rFonts w:hint="cs"/>
          <w:rtl/>
        </w:rPr>
        <w:t>دورته لعام</w:t>
      </w:r>
      <w:r w:rsidRPr="00FB47DB">
        <w:rPr>
          <w:rFonts w:hint="eastAsia"/>
          <w:rtl/>
        </w:rPr>
        <w:t> </w:t>
      </w:r>
      <w:r>
        <w:t>2026</w:t>
      </w:r>
      <w:r w:rsidRPr="00FB47DB">
        <w:rPr>
          <w:rFonts w:hint="cs"/>
          <w:rtl/>
          <w:lang w:bidi="ar-EG"/>
        </w:rPr>
        <w:t xml:space="preserve"> </w:t>
      </w:r>
      <w:r w:rsidRPr="00FB47DB">
        <w:rPr>
          <w:rFonts w:hint="cs"/>
          <w:rtl/>
        </w:rPr>
        <w:t>لبحثه وتقديمه إلى مؤتمر المندوبين المفوضين لعام</w:t>
      </w:r>
      <w:r w:rsidRPr="00FB47DB">
        <w:rPr>
          <w:rFonts w:hint="eastAsia"/>
          <w:rtl/>
        </w:rPr>
        <w:t> </w:t>
      </w:r>
      <w:r>
        <w:t>2026</w:t>
      </w:r>
      <w:r w:rsidRPr="00FB47DB">
        <w:rPr>
          <w:rFonts w:hint="cs"/>
          <w:rtl/>
          <w:lang w:bidi="ar-EG"/>
        </w:rPr>
        <w:t xml:space="preserve"> </w:t>
      </w:r>
      <w:r w:rsidRPr="00FB47DB">
        <w:rPr>
          <w:rFonts w:hint="cs"/>
          <w:rtl/>
        </w:rPr>
        <w:t>مشفوعاً بتعليقات المجلس.</w:t>
      </w:r>
    </w:p>
    <w:p w14:paraId="073B2122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C544" w14:textId="77777777" w:rsidR="00BD391C" w:rsidRDefault="00BD391C" w:rsidP="006C3242">
      <w:pPr>
        <w:spacing w:before="0" w:line="240" w:lineRule="auto"/>
      </w:pPr>
      <w:r>
        <w:separator/>
      </w:r>
    </w:p>
  </w:endnote>
  <w:endnote w:type="continuationSeparator" w:id="0">
    <w:p w14:paraId="47873591" w14:textId="77777777" w:rsidR="00BD391C" w:rsidRDefault="00BD391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B28F" w14:textId="77777777" w:rsidR="002D7C32" w:rsidRDefault="002D7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3222BFF2" w14:textId="77777777" w:rsidTr="00357086">
      <w:trPr>
        <w:jc w:val="center"/>
      </w:trPr>
      <w:tc>
        <w:tcPr>
          <w:tcW w:w="868" w:type="pct"/>
          <w:vAlign w:val="center"/>
        </w:tcPr>
        <w:p w14:paraId="20258CCA" w14:textId="1D5350D3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6E4A8E" w:rsidRPr="006E4A8E">
            <w:rPr>
              <w:rFonts w:ascii="Calibri" w:hAnsi="Calibri" w:cs="Arial"/>
              <w:sz w:val="18"/>
              <w:szCs w:val="14"/>
            </w:rPr>
            <w:t>526843</w:t>
          </w:r>
        </w:p>
      </w:tc>
      <w:tc>
        <w:tcPr>
          <w:tcW w:w="3912" w:type="pct"/>
        </w:tcPr>
        <w:p w14:paraId="5B96E7D0" w14:textId="485BAE56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6E4A8E">
            <w:rPr>
              <w:rFonts w:ascii="Calibri" w:hAnsi="Calibri" w:cs="Arial"/>
              <w:bCs/>
              <w:color w:val="7F7F7F"/>
              <w:sz w:val="18"/>
            </w:rPr>
            <w:t>121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7480CE0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A2A8732" w14:textId="56822A8E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3C5D600F" w14:textId="77777777" w:rsidTr="00F50E3F">
      <w:trPr>
        <w:jc w:val="center"/>
      </w:trPr>
      <w:tc>
        <w:tcPr>
          <w:tcW w:w="868" w:type="pct"/>
          <w:vAlign w:val="center"/>
        </w:tcPr>
        <w:p w14:paraId="417D6D00" w14:textId="77777777" w:rsidR="007B0AA0" w:rsidRPr="007B0AA0" w:rsidRDefault="00C92499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03CB74A4" w14:textId="7766DE3E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6E4A8E">
            <w:rPr>
              <w:rFonts w:ascii="Calibri" w:hAnsi="Calibri" w:cs="Arial"/>
              <w:bCs/>
              <w:color w:val="7F7F7F"/>
              <w:sz w:val="18"/>
            </w:rPr>
            <w:t>121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F4670AD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53AF6AA" w14:textId="752639BE" w:rsidR="0006468A" w:rsidRPr="006E4A8E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D7E4" w14:textId="77777777" w:rsidR="00BD391C" w:rsidRDefault="00BD391C" w:rsidP="006C3242">
      <w:pPr>
        <w:spacing w:before="0" w:line="240" w:lineRule="auto"/>
      </w:pPr>
      <w:r>
        <w:separator/>
      </w:r>
    </w:p>
  </w:footnote>
  <w:footnote w:type="continuationSeparator" w:id="0">
    <w:p w14:paraId="0FADE35B" w14:textId="77777777" w:rsidR="00BD391C" w:rsidRDefault="00BD391C" w:rsidP="006C3242">
      <w:pPr>
        <w:spacing w:before="0" w:line="240" w:lineRule="auto"/>
      </w:pPr>
      <w:r>
        <w:continuationSeparator/>
      </w:r>
    </w:p>
  </w:footnote>
  <w:footnote w:id="1">
    <w:p w14:paraId="76BCCA59" w14:textId="77777777" w:rsidR="00BD391C" w:rsidRPr="00BD391C" w:rsidRDefault="00BD391C" w:rsidP="00BD391C">
      <w:pPr>
        <w:pStyle w:val="FootnoteText"/>
        <w:tabs>
          <w:tab w:val="clear" w:pos="794"/>
          <w:tab w:val="left" w:pos="425"/>
        </w:tabs>
        <w:rPr>
          <w:sz w:val="18"/>
          <w:szCs w:val="18"/>
          <w:lang w:bidi="ar-SY"/>
        </w:rPr>
      </w:pPr>
      <w:r w:rsidRPr="00BD391C">
        <w:rPr>
          <w:rStyle w:val="FootnoteReference"/>
        </w:rPr>
        <w:footnoteRef/>
      </w:r>
      <w:r w:rsidRPr="00BD391C">
        <w:rPr>
          <w:sz w:val="18"/>
          <w:szCs w:val="18"/>
          <w:rtl/>
          <w:lang w:bidi="ar-SY"/>
        </w:rPr>
        <w:tab/>
      </w:r>
      <w:r w:rsidRPr="00BD391C">
        <w:rPr>
          <w:color w:val="000000"/>
          <w:sz w:val="18"/>
          <w:szCs w:val="18"/>
          <w:shd w:val="clear" w:color="auto" w:fill="FFFFFF"/>
          <w:rtl/>
        </w:rPr>
        <w:t>تشمل أقلّ البلدان نمواً والدول الجزرية الصغيرة النامية والبلدان النامية غير الساحلية والبلدان التي تمرُّ اقتصاداتها بمرحلة انتقالية</w:t>
      </w:r>
      <w:r w:rsidRPr="00BD391C">
        <w:rPr>
          <w:color w:val="000000"/>
          <w:sz w:val="18"/>
          <w:szCs w:val="18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0FF0" w14:textId="77777777" w:rsidR="002D7C32" w:rsidRDefault="002D7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32C0" w14:textId="77777777" w:rsidR="002D7C32" w:rsidRDefault="002D7C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B403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4F2F2" wp14:editId="56092832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0C5089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3857F0CA" wp14:editId="20BD3B12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1C"/>
    <w:rsid w:val="0006468A"/>
    <w:rsid w:val="00090574"/>
    <w:rsid w:val="000933EF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D7C32"/>
    <w:rsid w:val="002E6541"/>
    <w:rsid w:val="00307207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8491B"/>
    <w:rsid w:val="00592EA5"/>
    <w:rsid w:val="00594CA9"/>
    <w:rsid w:val="005A24C0"/>
    <w:rsid w:val="005A3170"/>
    <w:rsid w:val="00677396"/>
    <w:rsid w:val="0069200F"/>
    <w:rsid w:val="006A65CB"/>
    <w:rsid w:val="006C3242"/>
    <w:rsid w:val="006C7CC0"/>
    <w:rsid w:val="006E4A8E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7F84"/>
    <w:rsid w:val="00906F4E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269D3"/>
    <w:rsid w:val="00B64B47"/>
    <w:rsid w:val="00B95654"/>
    <w:rsid w:val="00BD391C"/>
    <w:rsid w:val="00C002DE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5009"/>
    <w:rsid w:val="00D77D0F"/>
    <w:rsid w:val="00DA1CF0"/>
    <w:rsid w:val="00DC1E02"/>
    <w:rsid w:val="00DC24B4"/>
    <w:rsid w:val="00DC5FB0"/>
    <w:rsid w:val="00DF16DC"/>
    <w:rsid w:val="00E1217F"/>
    <w:rsid w:val="00E45211"/>
    <w:rsid w:val="00E473C5"/>
    <w:rsid w:val="00E61BE8"/>
    <w:rsid w:val="00E92863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A7340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E910B"/>
  <w15:chartTrackingRefBased/>
  <w15:docId w15:val="{0F16B8C5-50F4-422A-9847-CAD6528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locked/>
    <w:rsid w:val="00BD391C"/>
    <w:rPr>
      <w:rFonts w:ascii="Dubai" w:hAnsi="Dubai" w:cs="Dubai"/>
      <w:i/>
      <w:iCs/>
    </w:rPr>
  </w:style>
  <w:style w:type="character" w:customStyle="1" w:styleId="RestitleChar">
    <w:name w:val="Res_title Char"/>
    <w:basedOn w:val="DefaultParagraphFont"/>
    <w:link w:val="Restitle"/>
    <w:rsid w:val="00BD391C"/>
    <w:rPr>
      <w:rFonts w:ascii="Dubai" w:hAnsi="Dubai" w:cs="Dubai"/>
      <w:b/>
      <w:bCs/>
      <w:sz w:val="28"/>
      <w:szCs w:val="28"/>
      <w:lang w:bidi="ar-SY"/>
    </w:rPr>
  </w:style>
  <w:style w:type="character" w:customStyle="1" w:styleId="ResNoChar">
    <w:name w:val="Res_No Char"/>
    <w:basedOn w:val="DefaultParagraphFont"/>
    <w:link w:val="ResNo"/>
    <w:locked/>
    <w:rsid w:val="00BD391C"/>
    <w:rPr>
      <w:rFonts w:ascii="Dubai" w:hAnsi="Dubai" w:cs="Dubai"/>
      <w:sz w:val="26"/>
      <w:szCs w:val="26"/>
    </w:rPr>
  </w:style>
  <w:style w:type="character" w:customStyle="1" w:styleId="NormalaftertitleChar">
    <w:name w:val="Normal after title Char"/>
    <w:basedOn w:val="DefaultParagraphFont"/>
    <w:link w:val="Normalaftertitle"/>
    <w:rsid w:val="00BD391C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1379 (Modified 2023) - Expert Group on the International Telecommunication Regulations (EG-ITRs)</dc:title>
  <dc:subject>Council 2023</dc:subject>
  <dc:creator>Arabic-IR</dc:creator>
  <cp:keywords>C2023, C23, Council-23</cp:keywords>
  <dc:description/>
  <cp:lastModifiedBy>Xue, Kun</cp:lastModifiedBy>
  <cp:revision>4</cp:revision>
  <dcterms:created xsi:type="dcterms:W3CDTF">2023-09-14T07:16:00Z</dcterms:created>
  <dcterms:modified xsi:type="dcterms:W3CDTF">2023-09-14T07:17:00Z</dcterms:modified>
  <cp:category>Conference document</cp:category>
</cp:coreProperties>
</file>