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Look w:val="0000" w:firstRow="0" w:lastRow="0" w:firstColumn="0" w:lastColumn="0" w:noHBand="0" w:noVBand="0"/>
      </w:tblPr>
      <w:tblGrid>
        <w:gridCol w:w="3969"/>
        <w:gridCol w:w="5245"/>
      </w:tblGrid>
      <w:tr w:rsidR="00796BD3" w:rsidRPr="00085F83" w14:paraId="0700F6D9" w14:textId="77777777" w:rsidTr="0099131E">
        <w:trPr>
          <w:cantSplit/>
          <w:trHeight w:val="23"/>
        </w:trPr>
        <w:tc>
          <w:tcPr>
            <w:tcW w:w="3969" w:type="dxa"/>
            <w:vMerge w:val="restart"/>
            <w:tcMar>
              <w:left w:w="0" w:type="dxa"/>
            </w:tcMar>
          </w:tcPr>
          <w:p w14:paraId="02B48904" w14:textId="5896D426" w:rsidR="00796BD3" w:rsidRPr="00085F83" w:rsidRDefault="00796BD3" w:rsidP="0099131E">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p>
        </w:tc>
        <w:tc>
          <w:tcPr>
            <w:tcW w:w="5245" w:type="dxa"/>
          </w:tcPr>
          <w:p w14:paraId="62F909FC" w14:textId="67F81750" w:rsidR="00796BD3" w:rsidRPr="00085F83" w:rsidRDefault="0033025A" w:rsidP="0099131E">
            <w:pPr>
              <w:tabs>
                <w:tab w:val="left" w:pos="851"/>
              </w:tabs>
              <w:spacing w:before="0" w:line="240" w:lineRule="atLeast"/>
              <w:jc w:val="right"/>
              <w:rPr>
                <w:b/>
                <w:lang w:val="ru-RU"/>
              </w:rPr>
            </w:pPr>
            <w:r w:rsidRPr="00085F83">
              <w:rPr>
                <w:b/>
                <w:lang w:val="ru-RU"/>
              </w:rPr>
              <w:t xml:space="preserve">Документ </w:t>
            </w:r>
            <w:r w:rsidR="00796BD3" w:rsidRPr="00085F83">
              <w:rPr>
                <w:b/>
                <w:lang w:val="ru-RU"/>
              </w:rPr>
              <w:t>C23/</w:t>
            </w:r>
            <w:r w:rsidR="00717FAC" w:rsidRPr="00085F83">
              <w:rPr>
                <w:b/>
                <w:lang w:val="ru-RU"/>
              </w:rPr>
              <w:t>120</w:t>
            </w:r>
            <w:r w:rsidR="00796BD3" w:rsidRPr="00085F83">
              <w:rPr>
                <w:b/>
                <w:lang w:val="ru-RU"/>
              </w:rPr>
              <w:t>-R</w:t>
            </w:r>
          </w:p>
        </w:tc>
      </w:tr>
      <w:tr w:rsidR="00796BD3" w:rsidRPr="00085F83" w14:paraId="287A8353" w14:textId="77777777" w:rsidTr="0099131E">
        <w:trPr>
          <w:cantSplit/>
        </w:trPr>
        <w:tc>
          <w:tcPr>
            <w:tcW w:w="3969" w:type="dxa"/>
            <w:vMerge/>
          </w:tcPr>
          <w:p w14:paraId="4B0A9555" w14:textId="77777777" w:rsidR="00796BD3" w:rsidRPr="00085F83" w:rsidRDefault="00796BD3" w:rsidP="0099131E">
            <w:pPr>
              <w:tabs>
                <w:tab w:val="left" w:pos="851"/>
              </w:tabs>
              <w:spacing w:line="240" w:lineRule="atLeast"/>
              <w:rPr>
                <w:b/>
                <w:lang w:val="ru-RU"/>
              </w:rPr>
            </w:pPr>
            <w:bookmarkStart w:id="3" w:name="ddate" w:colFirst="1" w:colLast="1"/>
            <w:bookmarkEnd w:id="0"/>
            <w:bookmarkEnd w:id="1"/>
          </w:p>
        </w:tc>
        <w:tc>
          <w:tcPr>
            <w:tcW w:w="5245" w:type="dxa"/>
          </w:tcPr>
          <w:p w14:paraId="700FC80D" w14:textId="56FB9378" w:rsidR="00796BD3" w:rsidRPr="00085F83" w:rsidRDefault="00717FAC" w:rsidP="0099131E">
            <w:pPr>
              <w:tabs>
                <w:tab w:val="left" w:pos="851"/>
              </w:tabs>
              <w:spacing w:before="0"/>
              <w:jc w:val="right"/>
              <w:rPr>
                <w:b/>
                <w:lang w:val="ru-RU"/>
              </w:rPr>
            </w:pPr>
            <w:r w:rsidRPr="00085F83">
              <w:rPr>
                <w:b/>
                <w:bCs/>
                <w:szCs w:val="22"/>
                <w:lang w:val="ru-RU"/>
              </w:rPr>
              <w:t>3 августа</w:t>
            </w:r>
            <w:r w:rsidR="00707A7F" w:rsidRPr="00085F83">
              <w:rPr>
                <w:b/>
                <w:lang w:val="ru-RU"/>
              </w:rPr>
              <w:t xml:space="preserve"> </w:t>
            </w:r>
            <w:r w:rsidR="00796BD3" w:rsidRPr="00085F83">
              <w:rPr>
                <w:b/>
                <w:lang w:val="ru-RU"/>
              </w:rPr>
              <w:t>2023</w:t>
            </w:r>
            <w:r w:rsidR="00782C0A" w:rsidRPr="00085F83">
              <w:rPr>
                <w:b/>
                <w:lang w:val="ru-RU"/>
              </w:rPr>
              <w:t xml:space="preserve"> года</w:t>
            </w:r>
          </w:p>
        </w:tc>
      </w:tr>
      <w:tr w:rsidR="00796BD3" w:rsidRPr="00085F83" w14:paraId="280BBA82" w14:textId="77777777" w:rsidTr="0099131E">
        <w:trPr>
          <w:cantSplit/>
          <w:trHeight w:val="23"/>
        </w:trPr>
        <w:tc>
          <w:tcPr>
            <w:tcW w:w="3969" w:type="dxa"/>
            <w:vMerge/>
          </w:tcPr>
          <w:p w14:paraId="7F0CD081" w14:textId="77777777" w:rsidR="00796BD3" w:rsidRPr="00085F83" w:rsidRDefault="00796BD3" w:rsidP="0099131E">
            <w:pPr>
              <w:tabs>
                <w:tab w:val="left" w:pos="851"/>
              </w:tabs>
              <w:spacing w:line="240" w:lineRule="atLeast"/>
              <w:rPr>
                <w:b/>
                <w:lang w:val="ru-RU"/>
              </w:rPr>
            </w:pPr>
            <w:bookmarkStart w:id="4" w:name="dorlang" w:colFirst="1" w:colLast="1"/>
            <w:bookmarkEnd w:id="3"/>
          </w:p>
        </w:tc>
        <w:tc>
          <w:tcPr>
            <w:tcW w:w="5245" w:type="dxa"/>
          </w:tcPr>
          <w:p w14:paraId="29A7DE66" w14:textId="6129F353" w:rsidR="00796BD3" w:rsidRPr="00085F83" w:rsidRDefault="0033025A" w:rsidP="0099131E">
            <w:pPr>
              <w:tabs>
                <w:tab w:val="left" w:pos="851"/>
              </w:tabs>
              <w:spacing w:before="0" w:line="240" w:lineRule="atLeast"/>
              <w:jc w:val="right"/>
              <w:rPr>
                <w:b/>
                <w:lang w:val="ru-RU"/>
              </w:rPr>
            </w:pPr>
            <w:r w:rsidRPr="00085F83">
              <w:rPr>
                <w:b/>
                <w:lang w:val="ru-RU"/>
              </w:rPr>
              <w:t xml:space="preserve">Оригинал: </w:t>
            </w:r>
            <w:r w:rsidR="000D31C3" w:rsidRPr="00085F83">
              <w:rPr>
                <w:b/>
                <w:lang w:val="ru-RU"/>
              </w:rPr>
              <w:t>английский</w:t>
            </w:r>
          </w:p>
        </w:tc>
      </w:tr>
      <w:tr w:rsidR="00796BD3" w:rsidRPr="00085F83" w14:paraId="2ADDE925" w14:textId="77777777" w:rsidTr="0099131E">
        <w:trPr>
          <w:cantSplit/>
          <w:trHeight w:val="23"/>
        </w:trPr>
        <w:tc>
          <w:tcPr>
            <w:tcW w:w="3969" w:type="dxa"/>
          </w:tcPr>
          <w:p w14:paraId="64FEE3B1" w14:textId="77777777" w:rsidR="00796BD3" w:rsidRPr="00085F83" w:rsidRDefault="00796BD3" w:rsidP="0099131E">
            <w:pPr>
              <w:tabs>
                <w:tab w:val="left" w:pos="851"/>
              </w:tabs>
              <w:spacing w:line="240" w:lineRule="atLeast"/>
              <w:rPr>
                <w:b/>
                <w:lang w:val="ru-RU"/>
              </w:rPr>
            </w:pPr>
          </w:p>
        </w:tc>
        <w:tc>
          <w:tcPr>
            <w:tcW w:w="5245" w:type="dxa"/>
          </w:tcPr>
          <w:p w14:paraId="2171EEAB" w14:textId="77777777" w:rsidR="00796BD3" w:rsidRPr="00085F83" w:rsidRDefault="00796BD3" w:rsidP="0099131E">
            <w:pPr>
              <w:tabs>
                <w:tab w:val="left" w:pos="851"/>
              </w:tabs>
              <w:spacing w:before="0" w:line="240" w:lineRule="atLeast"/>
              <w:jc w:val="right"/>
              <w:rPr>
                <w:b/>
                <w:lang w:val="ru-RU"/>
              </w:rPr>
            </w:pPr>
          </w:p>
        </w:tc>
      </w:tr>
      <w:tr w:rsidR="00796BD3" w:rsidRPr="00085F83" w14:paraId="7BC0EEF8" w14:textId="77777777" w:rsidTr="00DF2D73">
        <w:trPr>
          <w:cantSplit/>
        </w:trPr>
        <w:tc>
          <w:tcPr>
            <w:tcW w:w="9214" w:type="dxa"/>
            <w:gridSpan w:val="2"/>
            <w:tcMar>
              <w:left w:w="0" w:type="dxa"/>
            </w:tcMar>
          </w:tcPr>
          <w:p w14:paraId="1E45EDCF" w14:textId="6D20ECC9" w:rsidR="00796BD3" w:rsidRPr="00085F83" w:rsidRDefault="00796BD3" w:rsidP="0099131E">
            <w:pPr>
              <w:pStyle w:val="Source"/>
              <w:jc w:val="left"/>
              <w:rPr>
                <w:sz w:val="32"/>
                <w:szCs w:val="32"/>
                <w:lang w:val="ru-RU"/>
              </w:rPr>
            </w:pPr>
            <w:bookmarkStart w:id="5" w:name="dsource" w:colFirst="0" w:colLast="0"/>
            <w:bookmarkEnd w:id="4"/>
          </w:p>
        </w:tc>
      </w:tr>
    </w:tbl>
    <w:bookmarkEnd w:id="5"/>
    <w:bookmarkEnd w:id="2"/>
    <w:p w14:paraId="632010AD" w14:textId="78768DE6" w:rsidR="00DF2D73" w:rsidRPr="00085F83" w:rsidRDefault="00DF2D73" w:rsidP="00DF2D73">
      <w:pPr>
        <w:pStyle w:val="ResNo"/>
        <w:rPr>
          <w:lang w:val="ru-RU"/>
        </w:rPr>
      </w:pPr>
      <w:r w:rsidRPr="00085F83">
        <w:rPr>
          <w:lang w:val="ru-RU"/>
        </w:rPr>
        <w:t xml:space="preserve">резолюция 1334 (измененная, 2023 </w:t>
      </w:r>
      <w:r w:rsidR="002551AB" w:rsidRPr="00085F83">
        <w:rPr>
          <w:caps w:val="0"/>
          <w:lang w:val="ru-RU"/>
        </w:rPr>
        <w:t>г</w:t>
      </w:r>
      <w:r w:rsidRPr="00085F83">
        <w:rPr>
          <w:lang w:val="ru-RU"/>
        </w:rPr>
        <w:t>.)</w:t>
      </w:r>
    </w:p>
    <w:p w14:paraId="241779C2" w14:textId="4AC512EE" w:rsidR="00717FAC" w:rsidRPr="00085F83" w:rsidRDefault="00717FAC" w:rsidP="00085F83">
      <w:pPr>
        <w:jc w:val="center"/>
        <w:rPr>
          <w:b/>
          <w:lang w:val="ru-RU"/>
        </w:rPr>
      </w:pPr>
      <w:r w:rsidRPr="00085F83">
        <w:rPr>
          <w:lang w:val="ru-RU"/>
        </w:rPr>
        <w:t>(</w:t>
      </w:r>
      <w:r w:rsidR="005B0C27" w:rsidRPr="00085F83">
        <w:rPr>
          <w:lang w:val="ru-RU"/>
        </w:rPr>
        <w:t>принята на шестом пленарном заседании</w:t>
      </w:r>
      <w:r w:rsidRPr="00085F83">
        <w:rPr>
          <w:lang w:val="ru-RU"/>
        </w:rPr>
        <w:t>)</w:t>
      </w:r>
    </w:p>
    <w:p w14:paraId="602CB39B" w14:textId="77777777" w:rsidR="00DF2D73" w:rsidRPr="00085F83" w:rsidRDefault="00DF2D73" w:rsidP="00DF2D73">
      <w:pPr>
        <w:pStyle w:val="Restitle"/>
        <w:rPr>
          <w:lang w:val="ru-RU"/>
        </w:rPr>
      </w:pPr>
      <w:bookmarkStart w:id="6" w:name="_Toc126473828"/>
      <w:bookmarkStart w:id="7" w:name="_Toc126493798"/>
      <w:bookmarkStart w:id="8" w:name="_Toc126505972"/>
      <w:bookmarkStart w:id="9" w:name="_Toc126554904"/>
      <w:bookmarkStart w:id="10" w:name="_Toc126555132"/>
      <w:bookmarkStart w:id="11" w:name="_Toc126994888"/>
      <w:bookmarkStart w:id="12" w:name="_Toc405388095"/>
      <w:r w:rsidRPr="00085F83">
        <w:rPr>
          <w:lang w:val="ru-RU"/>
        </w:rPr>
        <w:t xml:space="preserve">Роль МСЭ в общем обзоре выполнения решений </w:t>
      </w:r>
      <w:bookmarkEnd w:id="6"/>
      <w:bookmarkEnd w:id="7"/>
      <w:bookmarkEnd w:id="8"/>
      <w:bookmarkEnd w:id="9"/>
      <w:bookmarkEnd w:id="10"/>
      <w:bookmarkEnd w:id="11"/>
      <w:r w:rsidRPr="00085F83">
        <w:rPr>
          <w:lang w:val="ru-RU"/>
        </w:rPr>
        <w:t xml:space="preserve">Всемирной встречи </w:t>
      </w:r>
      <w:r w:rsidRPr="00085F83">
        <w:rPr>
          <w:lang w:val="ru-RU"/>
        </w:rPr>
        <w:br/>
        <w:t>на высшем уровне по вопросам информационного общества</w:t>
      </w:r>
      <w:bookmarkEnd w:id="12"/>
    </w:p>
    <w:p w14:paraId="2DF33DB1" w14:textId="45A15330" w:rsidR="00DF2D73" w:rsidRPr="00085F83" w:rsidRDefault="00DF2D73" w:rsidP="00DF2D73">
      <w:pPr>
        <w:pStyle w:val="Normalaftertitle"/>
        <w:rPr>
          <w:lang w:val="ru-RU"/>
        </w:rPr>
      </w:pPr>
      <w:r w:rsidRPr="00085F83">
        <w:rPr>
          <w:lang w:val="ru-RU"/>
        </w:rPr>
        <w:t>Совет</w:t>
      </w:r>
      <w:r w:rsidR="00717FAC" w:rsidRPr="00085F83">
        <w:rPr>
          <w:lang w:val="ru-RU"/>
        </w:rPr>
        <w:t xml:space="preserve"> МСЭ</w:t>
      </w:r>
      <w:r w:rsidRPr="00085F83">
        <w:rPr>
          <w:lang w:val="ru-RU"/>
        </w:rPr>
        <w:t>,</w:t>
      </w:r>
    </w:p>
    <w:p w14:paraId="679276DB" w14:textId="77777777" w:rsidR="00DF2D73" w:rsidRPr="00085F83" w:rsidRDefault="00DF2D73" w:rsidP="00DF2D73">
      <w:pPr>
        <w:pStyle w:val="Call"/>
        <w:rPr>
          <w:lang w:val="ru-RU"/>
        </w:rPr>
      </w:pPr>
      <w:r w:rsidRPr="00085F83">
        <w:rPr>
          <w:lang w:val="ru-RU"/>
        </w:rPr>
        <w:t>напоминая</w:t>
      </w:r>
    </w:p>
    <w:p w14:paraId="78E69B4D" w14:textId="745F340A" w:rsidR="00DF2D73" w:rsidRPr="00085F83" w:rsidRDefault="00DF2D73" w:rsidP="00DF2D73">
      <w:pPr>
        <w:rPr>
          <w:lang w:val="ru-RU" w:eastAsia="ru-RU"/>
        </w:rPr>
      </w:pPr>
      <w:r w:rsidRPr="00085F83">
        <w:rPr>
          <w:i/>
          <w:iCs/>
          <w:lang w:val="ru-RU"/>
        </w:rPr>
        <w:t>а)</w:t>
      </w:r>
      <w:r w:rsidRPr="00085F83">
        <w:rPr>
          <w:lang w:val="ru-RU"/>
        </w:rPr>
        <w:tab/>
      </w:r>
      <w:r w:rsidR="007C1A4F" w:rsidRPr="00085F83">
        <w:rPr>
          <w:lang w:val="ru-RU"/>
        </w:rPr>
        <w:t xml:space="preserve">о </w:t>
      </w:r>
      <w:r w:rsidRPr="00085F83">
        <w:rPr>
          <w:lang w:val="ru-RU"/>
        </w:rPr>
        <w:t>Резолюци</w:t>
      </w:r>
      <w:r w:rsidR="007C1A4F" w:rsidRPr="00085F83">
        <w:rPr>
          <w:lang w:val="ru-RU"/>
        </w:rPr>
        <w:t>и</w:t>
      </w:r>
      <w:r w:rsidRPr="00085F83">
        <w:rPr>
          <w:lang w:val="ru-RU"/>
        </w:rPr>
        <w:t xml:space="preserve"> 73 (Миннеаполис, 1998 г.) Полномочной конференции, цели которой были достигнуты, в </w:t>
      </w:r>
      <w:proofErr w:type="gramStart"/>
      <w:r w:rsidRPr="00085F83">
        <w:rPr>
          <w:lang w:val="ru-RU"/>
        </w:rPr>
        <w:t>том</w:t>
      </w:r>
      <w:proofErr w:type="gramEnd"/>
      <w:r w:rsidRPr="00085F83">
        <w:rPr>
          <w:lang w:val="ru-RU"/>
        </w:rPr>
        <w:t xml:space="preserve"> что касается проведения обоих этапов Всемирной встречи на высшем уровне по вопросам информационного общества (ВВУИО);</w:t>
      </w:r>
    </w:p>
    <w:p w14:paraId="41E0E0D1" w14:textId="0EBB91CA" w:rsidR="00DF2D73" w:rsidRPr="00085F83" w:rsidRDefault="00DF2D73" w:rsidP="00DF2D73">
      <w:pPr>
        <w:rPr>
          <w:lang w:val="ru-RU"/>
        </w:rPr>
      </w:pPr>
      <w:r w:rsidRPr="00085F83">
        <w:rPr>
          <w:i/>
          <w:iCs/>
          <w:lang w:val="ru-RU"/>
        </w:rPr>
        <w:t>b)</w:t>
      </w:r>
      <w:r w:rsidRPr="00085F83">
        <w:rPr>
          <w:lang w:val="ru-RU"/>
        </w:rPr>
        <w:tab/>
      </w:r>
      <w:r w:rsidR="007C1A4F" w:rsidRPr="00085F83">
        <w:rPr>
          <w:lang w:val="ru-RU"/>
        </w:rPr>
        <w:t xml:space="preserve">о </w:t>
      </w:r>
      <w:r w:rsidRPr="00085F83">
        <w:rPr>
          <w:lang w:val="ru-RU"/>
        </w:rPr>
        <w:t>Резолюци</w:t>
      </w:r>
      <w:r w:rsidR="007C1A4F" w:rsidRPr="00085F83">
        <w:rPr>
          <w:lang w:val="ru-RU"/>
        </w:rPr>
        <w:t>и</w:t>
      </w:r>
      <w:r w:rsidRPr="00085F83">
        <w:rPr>
          <w:lang w:val="ru-RU"/>
        </w:rPr>
        <w:t xml:space="preserve"> 140 (Пересм. Бухарест, 2022 г.) Полномочной конференции о роли МСЭ в выполнении решений Всемирной встречи на высшем уровне по вопросам информационного общества (ВВУИО) и Повестки дня в области устойчивого развития на период до 2030 года, а также в принятии последующих мер и обзоре их выполнения;</w:t>
      </w:r>
    </w:p>
    <w:p w14:paraId="6B1D97E7" w14:textId="0B090027" w:rsidR="00DF2D73" w:rsidRPr="00085F83" w:rsidRDefault="00DF2D73" w:rsidP="00DF2D73">
      <w:pPr>
        <w:rPr>
          <w:lang w:val="ru-RU"/>
        </w:rPr>
      </w:pPr>
      <w:r w:rsidRPr="00085F83">
        <w:rPr>
          <w:i/>
          <w:iCs/>
          <w:lang w:val="ru-RU"/>
        </w:rPr>
        <w:t>c)</w:t>
      </w:r>
      <w:r w:rsidRPr="00085F83">
        <w:rPr>
          <w:lang w:val="ru-RU"/>
        </w:rPr>
        <w:tab/>
      </w:r>
      <w:r w:rsidR="007C1A4F" w:rsidRPr="00085F83">
        <w:rPr>
          <w:lang w:val="ru-RU"/>
        </w:rPr>
        <w:t xml:space="preserve">о </w:t>
      </w:r>
      <w:r w:rsidRPr="00085F83">
        <w:rPr>
          <w:lang w:val="ru-RU"/>
        </w:rPr>
        <w:t>резолюци</w:t>
      </w:r>
      <w:r w:rsidR="007C1A4F" w:rsidRPr="00085F83">
        <w:rPr>
          <w:lang w:val="ru-RU"/>
        </w:rPr>
        <w:t>и</w:t>
      </w:r>
      <w:r w:rsidRPr="00085F83">
        <w:rPr>
          <w:lang w:val="ru-RU"/>
        </w:rPr>
        <w:t xml:space="preserve"> 70/125 ГА ООН о</w:t>
      </w:r>
      <w:r w:rsidR="007C1A4F" w:rsidRPr="00085F83">
        <w:rPr>
          <w:lang w:val="ru-RU"/>
        </w:rPr>
        <w:t>б</w:t>
      </w:r>
      <w:r w:rsidRPr="00085F83">
        <w:rPr>
          <w:lang w:val="ru-RU"/>
        </w:rPr>
        <w:t xml:space="preserve"> итоговом документ</w:t>
      </w:r>
      <w:r w:rsidR="007C1A4F" w:rsidRPr="00085F83">
        <w:rPr>
          <w:lang w:val="ru-RU"/>
        </w:rPr>
        <w:t>е</w:t>
      </w:r>
      <w:r w:rsidRPr="00085F83">
        <w:rPr>
          <w:lang w:val="ru-RU"/>
        </w:rPr>
        <w:t xml:space="preserve"> совещания высокого уровня Генеральной Ассамблеи ООН, посвященного общему обзору хода выполнения решений Всемирной встречи на высшем уровне по вопросам информационного общества;</w:t>
      </w:r>
    </w:p>
    <w:p w14:paraId="69595AEC" w14:textId="67FE18F2" w:rsidR="00DF2D73" w:rsidRPr="00085F83" w:rsidRDefault="00DF2D73" w:rsidP="00DF2D73">
      <w:pPr>
        <w:rPr>
          <w:lang w:val="ru-RU"/>
        </w:rPr>
      </w:pPr>
      <w:r w:rsidRPr="00085F83">
        <w:rPr>
          <w:i/>
          <w:iCs/>
          <w:lang w:val="ru-RU"/>
        </w:rPr>
        <w:t>d)</w:t>
      </w:r>
      <w:r w:rsidRPr="00085F83">
        <w:rPr>
          <w:i/>
          <w:iCs/>
          <w:lang w:val="ru-RU"/>
        </w:rPr>
        <w:tab/>
      </w:r>
      <w:r w:rsidR="007C1A4F" w:rsidRPr="00085F83">
        <w:rPr>
          <w:lang w:val="ru-RU"/>
        </w:rPr>
        <w:t>о р</w:t>
      </w:r>
      <w:r w:rsidRPr="00085F83">
        <w:rPr>
          <w:lang w:val="ru-RU"/>
        </w:rPr>
        <w:t>езолюци</w:t>
      </w:r>
      <w:r w:rsidR="007C1A4F" w:rsidRPr="00085F83">
        <w:rPr>
          <w:lang w:val="ru-RU"/>
        </w:rPr>
        <w:t>и</w:t>
      </w:r>
      <w:r w:rsidRPr="00085F83">
        <w:rPr>
          <w:lang w:val="ru-RU"/>
        </w:rPr>
        <w:t xml:space="preserve"> 70/1 ГА ООН о преобразовании нашего мира − Повестке дня в области устойчивого развития на период до 2030 года;</w:t>
      </w:r>
    </w:p>
    <w:p w14:paraId="2402000E" w14:textId="7BE4FFED" w:rsidR="00DF2D73" w:rsidRPr="00085F83" w:rsidRDefault="00DF2D73" w:rsidP="00DF2D73">
      <w:pPr>
        <w:rPr>
          <w:lang w:val="ru-RU"/>
        </w:rPr>
      </w:pPr>
      <w:r w:rsidRPr="00085F83">
        <w:rPr>
          <w:i/>
          <w:iCs/>
          <w:lang w:val="ru-RU"/>
        </w:rPr>
        <w:t>e)</w:t>
      </w:r>
      <w:r w:rsidRPr="00085F83">
        <w:rPr>
          <w:i/>
          <w:iCs/>
          <w:lang w:val="ru-RU"/>
        </w:rPr>
        <w:tab/>
      </w:r>
      <w:r w:rsidR="007C1A4F" w:rsidRPr="00085F83">
        <w:rPr>
          <w:lang w:val="ru-RU"/>
        </w:rPr>
        <w:t>о р</w:t>
      </w:r>
      <w:r w:rsidRPr="00085F83">
        <w:rPr>
          <w:lang w:val="ru-RU"/>
        </w:rPr>
        <w:t>езолюци</w:t>
      </w:r>
      <w:r w:rsidR="007C1A4F" w:rsidRPr="00085F83">
        <w:rPr>
          <w:lang w:val="ru-RU"/>
        </w:rPr>
        <w:t>и</w:t>
      </w:r>
      <w:r w:rsidRPr="00085F83">
        <w:rPr>
          <w:lang w:val="ru-RU"/>
        </w:rPr>
        <w:t xml:space="preserve"> 76/307 ГА ООН о порядке проведения Саммита будущего;</w:t>
      </w:r>
    </w:p>
    <w:p w14:paraId="7BC8D746" w14:textId="5F05B5CC" w:rsidR="00DF2D73" w:rsidRPr="00085F83" w:rsidRDefault="00DF2D73" w:rsidP="00DF2D73">
      <w:pPr>
        <w:rPr>
          <w:lang w:val="ru-RU"/>
        </w:rPr>
      </w:pPr>
      <w:r w:rsidRPr="00085F83">
        <w:rPr>
          <w:i/>
          <w:iCs/>
          <w:lang w:val="ru-RU"/>
        </w:rPr>
        <w:t>f)</w:t>
      </w:r>
      <w:r w:rsidRPr="00085F83">
        <w:rPr>
          <w:lang w:val="ru-RU"/>
        </w:rPr>
        <w:tab/>
      </w:r>
      <w:r w:rsidR="007C1A4F" w:rsidRPr="00085F83">
        <w:rPr>
          <w:lang w:val="ru-RU"/>
        </w:rPr>
        <w:t xml:space="preserve">о </w:t>
      </w:r>
      <w:r w:rsidRPr="00085F83">
        <w:rPr>
          <w:lang w:val="ru-RU"/>
        </w:rPr>
        <w:t>Резолюци</w:t>
      </w:r>
      <w:r w:rsidR="007C1A4F" w:rsidRPr="00085F83">
        <w:rPr>
          <w:lang w:val="ru-RU"/>
        </w:rPr>
        <w:t>и</w:t>
      </w:r>
      <w:r w:rsidRPr="00085F83">
        <w:rPr>
          <w:lang w:val="ru-RU"/>
        </w:rPr>
        <w:t> 200 (Пересм. Бухарест, 2022 г.) Полномочной конференции о повестке дня в области глобального развития электросвязи/информационно-коммуникационных технологий, включая широкополосную связь, для обеспечения устойчивого развития, "Соединим к 2030 году";</w:t>
      </w:r>
    </w:p>
    <w:p w14:paraId="62F78F7D" w14:textId="69501899" w:rsidR="00DF2D73" w:rsidRPr="00085F83" w:rsidRDefault="00DF2D73" w:rsidP="00DF2D73">
      <w:pPr>
        <w:rPr>
          <w:rFonts w:eastAsia="SimSun"/>
          <w:lang w:val="ru-RU"/>
        </w:rPr>
      </w:pPr>
      <w:r w:rsidRPr="00085F83">
        <w:rPr>
          <w:i/>
          <w:iCs/>
          <w:lang w:val="ru-RU"/>
        </w:rPr>
        <w:t>g)</w:t>
      </w:r>
      <w:r w:rsidRPr="00085F83">
        <w:rPr>
          <w:i/>
          <w:iCs/>
          <w:lang w:val="ru-RU"/>
        </w:rPr>
        <w:tab/>
      </w:r>
      <w:r w:rsidR="007C1A4F" w:rsidRPr="00085F83">
        <w:rPr>
          <w:lang w:val="ru-RU"/>
        </w:rPr>
        <w:t>о Р</w:t>
      </w:r>
      <w:r w:rsidRPr="00085F83">
        <w:rPr>
          <w:lang w:val="ru-RU"/>
        </w:rPr>
        <w:t>езолюци</w:t>
      </w:r>
      <w:r w:rsidR="007C1A4F" w:rsidRPr="00085F83">
        <w:rPr>
          <w:lang w:val="ru-RU"/>
        </w:rPr>
        <w:t>и</w:t>
      </w:r>
      <w:r w:rsidRPr="00085F83">
        <w:rPr>
          <w:lang w:val="ru-RU"/>
        </w:rPr>
        <w:t> 1332 (измененн</w:t>
      </w:r>
      <w:r w:rsidR="007C1A4F" w:rsidRPr="00085F83">
        <w:rPr>
          <w:lang w:val="ru-RU"/>
        </w:rPr>
        <w:t>ой</w:t>
      </w:r>
      <w:r w:rsidRPr="00085F83">
        <w:rPr>
          <w:lang w:val="ru-RU"/>
        </w:rPr>
        <w:t>, 2019 г.) Совета о роли МСЭ в выполнении решений ВВУИО до 2015 года и будущей деятельности после ВВУИО+10;</w:t>
      </w:r>
    </w:p>
    <w:p w14:paraId="4E48A060" w14:textId="41FFA318" w:rsidR="00DF2D73" w:rsidRPr="00085F83" w:rsidRDefault="00DF2D73" w:rsidP="00DF2D73">
      <w:pPr>
        <w:rPr>
          <w:rFonts w:eastAsia="SimSun"/>
          <w:lang w:val="ru-RU"/>
        </w:rPr>
      </w:pPr>
      <w:r w:rsidRPr="00085F83">
        <w:rPr>
          <w:i/>
          <w:iCs/>
          <w:lang w:val="ru-RU"/>
        </w:rPr>
        <w:t>h)</w:t>
      </w:r>
      <w:r w:rsidRPr="00085F83">
        <w:rPr>
          <w:lang w:val="ru-RU"/>
        </w:rPr>
        <w:tab/>
      </w:r>
      <w:r w:rsidR="007C1A4F" w:rsidRPr="00085F83">
        <w:rPr>
          <w:lang w:val="ru-RU"/>
        </w:rPr>
        <w:t xml:space="preserve">о </w:t>
      </w:r>
      <w:r w:rsidRPr="00085F83">
        <w:rPr>
          <w:lang w:val="ru-RU"/>
        </w:rPr>
        <w:t>Резолюци</w:t>
      </w:r>
      <w:r w:rsidR="007C1A4F" w:rsidRPr="00085F83">
        <w:rPr>
          <w:lang w:val="ru-RU"/>
        </w:rPr>
        <w:t>и</w:t>
      </w:r>
      <w:r w:rsidRPr="00085F83">
        <w:rPr>
          <w:lang w:val="ru-RU"/>
        </w:rPr>
        <w:t xml:space="preserve"> 1334 (измененн</w:t>
      </w:r>
      <w:r w:rsidR="007C1A4F" w:rsidRPr="00085F83">
        <w:rPr>
          <w:lang w:val="ru-RU"/>
        </w:rPr>
        <w:t>ой</w:t>
      </w:r>
      <w:r w:rsidRPr="00085F83">
        <w:rPr>
          <w:lang w:val="ru-RU"/>
        </w:rPr>
        <w:t>, 2015 г.) Совета о роли МСЭ в общем обзоре выполнения решений Всемирной встречи на высшем уровне по вопросам информационного общества,</w:t>
      </w:r>
    </w:p>
    <w:p w14:paraId="533D6747" w14:textId="77777777" w:rsidR="00DF2D73" w:rsidRPr="00085F83" w:rsidRDefault="00DF2D73" w:rsidP="00DF2D73">
      <w:pPr>
        <w:pStyle w:val="Call"/>
        <w:rPr>
          <w:lang w:val="ru-RU"/>
        </w:rPr>
      </w:pPr>
      <w:r w:rsidRPr="00085F83">
        <w:rPr>
          <w:lang w:val="ru-RU"/>
        </w:rPr>
        <w:t>напоминая далее</w:t>
      </w:r>
    </w:p>
    <w:p w14:paraId="75AFF7EA" w14:textId="63F4C61B" w:rsidR="00DF2D73" w:rsidRPr="00085F83" w:rsidRDefault="00DF2D73" w:rsidP="00DF2D73">
      <w:pPr>
        <w:rPr>
          <w:lang w:val="ru-RU"/>
        </w:rPr>
      </w:pPr>
      <w:r w:rsidRPr="00085F83">
        <w:rPr>
          <w:i/>
          <w:iCs/>
          <w:lang w:val="ru-RU"/>
        </w:rPr>
        <w:t>а)</w:t>
      </w:r>
      <w:r w:rsidRPr="00085F83">
        <w:rPr>
          <w:lang w:val="ru-RU"/>
        </w:rPr>
        <w:tab/>
      </w:r>
      <w:r w:rsidR="007C1A4F" w:rsidRPr="00085F83">
        <w:rPr>
          <w:lang w:val="ru-RU"/>
        </w:rPr>
        <w:t xml:space="preserve">о </w:t>
      </w:r>
      <w:r w:rsidRPr="00085F83">
        <w:rPr>
          <w:lang w:val="ru-RU"/>
        </w:rPr>
        <w:t>Женевск</w:t>
      </w:r>
      <w:r w:rsidR="007C1A4F" w:rsidRPr="00085F83">
        <w:rPr>
          <w:lang w:val="ru-RU"/>
        </w:rPr>
        <w:t xml:space="preserve">ой </w:t>
      </w:r>
      <w:r w:rsidRPr="00085F83">
        <w:rPr>
          <w:lang w:val="ru-RU"/>
        </w:rPr>
        <w:t>деклараци</w:t>
      </w:r>
      <w:r w:rsidR="007C1A4F" w:rsidRPr="00085F83">
        <w:rPr>
          <w:lang w:val="ru-RU"/>
        </w:rPr>
        <w:t>и</w:t>
      </w:r>
      <w:r w:rsidRPr="00085F83">
        <w:rPr>
          <w:lang w:val="ru-RU"/>
        </w:rPr>
        <w:t xml:space="preserve"> принципов и Женевск</w:t>
      </w:r>
      <w:r w:rsidR="007C1A4F" w:rsidRPr="00085F83">
        <w:rPr>
          <w:lang w:val="ru-RU"/>
        </w:rPr>
        <w:t>ом</w:t>
      </w:r>
      <w:r w:rsidRPr="00085F83">
        <w:rPr>
          <w:lang w:val="ru-RU"/>
        </w:rPr>
        <w:t xml:space="preserve"> план</w:t>
      </w:r>
      <w:r w:rsidR="007C1A4F" w:rsidRPr="00085F83">
        <w:rPr>
          <w:lang w:val="ru-RU"/>
        </w:rPr>
        <w:t>е</w:t>
      </w:r>
      <w:r w:rsidRPr="00085F83">
        <w:rPr>
          <w:lang w:val="ru-RU"/>
        </w:rPr>
        <w:t xml:space="preserve"> действий, приняты</w:t>
      </w:r>
      <w:r w:rsidR="007C1A4F" w:rsidRPr="00085F83">
        <w:rPr>
          <w:lang w:val="ru-RU"/>
        </w:rPr>
        <w:t>х</w:t>
      </w:r>
      <w:r w:rsidRPr="00085F83">
        <w:rPr>
          <w:lang w:val="ru-RU"/>
        </w:rPr>
        <w:t xml:space="preserve"> в 2003 году, а также Тунисско</w:t>
      </w:r>
      <w:r w:rsidR="007C1A4F" w:rsidRPr="00085F83">
        <w:rPr>
          <w:lang w:val="ru-RU"/>
        </w:rPr>
        <w:t>м</w:t>
      </w:r>
      <w:r w:rsidRPr="00085F83">
        <w:rPr>
          <w:lang w:val="ru-RU"/>
        </w:rPr>
        <w:t xml:space="preserve"> обязательств</w:t>
      </w:r>
      <w:r w:rsidR="007C1A4F" w:rsidRPr="00085F83">
        <w:rPr>
          <w:lang w:val="ru-RU"/>
        </w:rPr>
        <w:t>е</w:t>
      </w:r>
      <w:r w:rsidRPr="00085F83">
        <w:rPr>
          <w:lang w:val="ru-RU"/>
        </w:rPr>
        <w:t xml:space="preserve"> и Тунисск</w:t>
      </w:r>
      <w:r w:rsidR="007C1A4F" w:rsidRPr="00085F83">
        <w:rPr>
          <w:lang w:val="ru-RU"/>
        </w:rPr>
        <w:t>ой</w:t>
      </w:r>
      <w:r w:rsidRPr="00085F83">
        <w:rPr>
          <w:lang w:val="ru-RU"/>
        </w:rPr>
        <w:t xml:space="preserve"> программ</w:t>
      </w:r>
      <w:r w:rsidR="007C1A4F" w:rsidRPr="00085F83">
        <w:rPr>
          <w:lang w:val="ru-RU"/>
        </w:rPr>
        <w:t>е</w:t>
      </w:r>
      <w:r w:rsidRPr="00085F83">
        <w:rPr>
          <w:lang w:val="ru-RU"/>
        </w:rPr>
        <w:t xml:space="preserve"> для информационного </w:t>
      </w:r>
      <w:r w:rsidRPr="00085F83">
        <w:rPr>
          <w:lang w:val="ru-RU"/>
        </w:rPr>
        <w:lastRenderedPageBreak/>
        <w:t>общества, приняты</w:t>
      </w:r>
      <w:r w:rsidR="007C1A4F" w:rsidRPr="00085F83">
        <w:rPr>
          <w:lang w:val="ru-RU"/>
        </w:rPr>
        <w:t>х</w:t>
      </w:r>
      <w:r w:rsidRPr="00085F83">
        <w:rPr>
          <w:lang w:val="ru-RU"/>
        </w:rPr>
        <w:t xml:space="preserve"> в 2005 году, которые были поддержаны Генеральной Ассамблеей Организации Объединенных Наций (ГА ООН);</w:t>
      </w:r>
    </w:p>
    <w:p w14:paraId="7AC6C623" w14:textId="21107868" w:rsidR="00DF2D73" w:rsidRPr="00085F83" w:rsidRDefault="00DF2D73" w:rsidP="00DF2D73">
      <w:pPr>
        <w:rPr>
          <w:lang w:val="ru-RU"/>
        </w:rPr>
      </w:pPr>
      <w:r w:rsidRPr="00085F83">
        <w:rPr>
          <w:i/>
          <w:iCs/>
          <w:lang w:val="ru-RU"/>
        </w:rPr>
        <w:t>b)</w:t>
      </w:r>
      <w:r w:rsidRPr="00085F83">
        <w:rPr>
          <w:lang w:val="ru-RU"/>
        </w:rPr>
        <w:tab/>
        <w:t>что ГА ООН в своей резолюции 70/125 постановила провести в 2025 году совещание высокого уровня, посвященное</w:t>
      </w:r>
      <w:r w:rsidRPr="00085F83" w:rsidDel="002D4725">
        <w:rPr>
          <w:lang w:val="ru-RU"/>
        </w:rPr>
        <w:t xml:space="preserve"> </w:t>
      </w:r>
      <w:r w:rsidRPr="00085F83">
        <w:rPr>
          <w:lang w:val="ru-RU"/>
        </w:rPr>
        <w:t>общему обзору хода выполнения решений ВВУИО, что предполагает участие всех заинтересованных сторон и внесение ими своего вклада, в том числе в процесс подготовки, и проведение оценки хода осуществления решений Всемирной встречи на высшем уровне, а также выявление как областей, по-прежнему требующих повышенного внимания, так и областей, сопряженных с особыми трудностями,</w:t>
      </w:r>
    </w:p>
    <w:p w14:paraId="45F426E9" w14:textId="77777777" w:rsidR="00DF2D73" w:rsidRPr="00085F83" w:rsidRDefault="00DF2D73" w:rsidP="00DF2D73">
      <w:pPr>
        <w:pStyle w:val="Call"/>
        <w:rPr>
          <w:lang w:val="ru-RU"/>
        </w:rPr>
      </w:pPr>
      <w:r w:rsidRPr="00085F83">
        <w:rPr>
          <w:lang w:val="ru-RU"/>
        </w:rPr>
        <w:t>учитывая</w:t>
      </w:r>
    </w:p>
    <w:p w14:paraId="4285A0CC" w14:textId="77777777" w:rsidR="00DF2D73" w:rsidRPr="00085F83" w:rsidRDefault="00DF2D73" w:rsidP="00DF2D73">
      <w:pPr>
        <w:rPr>
          <w:lang w:val="ru-RU"/>
        </w:rPr>
      </w:pPr>
      <w:r w:rsidRPr="00085F83">
        <w:rPr>
          <w:i/>
          <w:iCs/>
          <w:lang w:val="ru-RU" w:eastAsia="ru-RU"/>
        </w:rPr>
        <w:t>a)</w:t>
      </w:r>
      <w:r w:rsidRPr="00085F83">
        <w:rPr>
          <w:lang w:val="ru-RU" w:eastAsia="ru-RU"/>
        </w:rPr>
        <w:tab/>
      </w:r>
      <w:r w:rsidRPr="00085F83">
        <w:rPr>
          <w:lang w:val="ru-RU"/>
        </w:rPr>
        <w:t>положения Устава и Конвенции МСЭ, касающиеся роли Союза в вопросах политики и стратегии;</w:t>
      </w:r>
    </w:p>
    <w:p w14:paraId="1B767805" w14:textId="77777777" w:rsidR="00DF2D73" w:rsidRPr="00085F83" w:rsidRDefault="00DF2D73" w:rsidP="00DF2D73">
      <w:pPr>
        <w:rPr>
          <w:lang w:val="ru-RU"/>
        </w:rPr>
      </w:pPr>
      <w:r w:rsidRPr="00085F83">
        <w:rPr>
          <w:i/>
          <w:iCs/>
          <w:lang w:val="ru-RU"/>
        </w:rPr>
        <w:t>b)</w:t>
      </w:r>
      <w:r w:rsidRPr="00085F83">
        <w:rPr>
          <w:lang w:val="ru-RU"/>
        </w:rPr>
        <w:tab/>
        <w:t>Резолюции, принятые Полномочной конференцией относительно ВВУИО и ЦУР;</w:t>
      </w:r>
    </w:p>
    <w:p w14:paraId="2AE71D5A" w14:textId="722C0C8A" w:rsidR="00DF2D73" w:rsidRPr="00085F83" w:rsidRDefault="00DF2D73" w:rsidP="00DF2D73">
      <w:pPr>
        <w:rPr>
          <w:lang w:val="ru-RU"/>
        </w:rPr>
      </w:pPr>
      <w:r w:rsidRPr="00085F83">
        <w:rPr>
          <w:i/>
          <w:iCs/>
          <w:lang w:val="ru-RU"/>
        </w:rPr>
        <w:t>c)</w:t>
      </w:r>
      <w:r w:rsidRPr="00085F83">
        <w:rPr>
          <w:lang w:val="ru-RU"/>
        </w:rPr>
        <w:tab/>
        <w:t>роль, которую МСЭ играл как инициатор и ведущая организация в осуществлении руководства ВВУИО,</w:t>
      </w:r>
      <w:r w:rsidR="00585B00" w:rsidRPr="00085F83">
        <w:rPr>
          <w:lang w:val="ru-RU"/>
        </w:rPr>
        <w:t xml:space="preserve"> </w:t>
      </w:r>
      <w:r w:rsidRPr="00085F83">
        <w:rPr>
          <w:lang w:val="ru-RU"/>
        </w:rPr>
        <w:t>и его вклад в проведение общего обзора ВВУИО+10, включая</w:t>
      </w:r>
      <w:r w:rsidR="00585B00" w:rsidRPr="00085F83">
        <w:rPr>
          <w:lang w:val="ru-RU"/>
        </w:rPr>
        <w:t xml:space="preserve"> </w:t>
      </w:r>
      <w:r w:rsidRPr="00085F83">
        <w:rPr>
          <w:lang w:val="ru-RU"/>
        </w:rPr>
        <w:t>успешную координацию Союзом мероприятия высокого уровня ВВУИО+10 (Женева, 2014 г.);</w:t>
      </w:r>
    </w:p>
    <w:p w14:paraId="7F5DCEBF" w14:textId="77777777" w:rsidR="00DF2D73" w:rsidRPr="00085F83" w:rsidRDefault="00DF2D73" w:rsidP="00DF2D73">
      <w:pPr>
        <w:rPr>
          <w:rFonts w:eastAsia="SimSun"/>
          <w:lang w:val="ru-RU"/>
        </w:rPr>
      </w:pPr>
      <w:r w:rsidRPr="00085F83">
        <w:rPr>
          <w:i/>
          <w:iCs/>
          <w:lang w:val="ru-RU"/>
        </w:rPr>
        <w:t>d)</w:t>
      </w:r>
      <w:r w:rsidRPr="00085F83">
        <w:rPr>
          <w:lang w:val="ru-RU"/>
        </w:rPr>
        <w:tab/>
        <w:t>полномочия, данные МСЭ относительно выполнения решений ВВУИО в целом</w:t>
      </w:r>
      <w:r w:rsidRPr="00085F83">
        <w:rPr>
          <w:rFonts w:eastAsia="SimSun"/>
          <w:lang w:val="ru-RU"/>
        </w:rPr>
        <w:t>,</w:t>
      </w:r>
    </w:p>
    <w:p w14:paraId="4CD17969" w14:textId="77777777" w:rsidR="00DF2D73" w:rsidRPr="00085F83" w:rsidRDefault="00DF2D73" w:rsidP="00DF2D73">
      <w:pPr>
        <w:pStyle w:val="Call"/>
        <w:rPr>
          <w:lang w:val="ru-RU"/>
        </w:rPr>
      </w:pPr>
      <w:r w:rsidRPr="00085F83">
        <w:rPr>
          <w:lang w:val="ru-RU"/>
        </w:rPr>
        <w:t>с удовлетворением отмечает</w:t>
      </w:r>
    </w:p>
    <w:p w14:paraId="1B2B8D16" w14:textId="77777777" w:rsidR="00DF2D73" w:rsidRPr="00085F83" w:rsidRDefault="00DF2D73" w:rsidP="00DF2D73">
      <w:pPr>
        <w:rPr>
          <w:lang w:val="ru-RU"/>
        </w:rPr>
      </w:pPr>
      <w:r w:rsidRPr="00085F83">
        <w:rPr>
          <w:i/>
          <w:iCs/>
          <w:lang w:val="ru-RU"/>
        </w:rPr>
        <w:t>а)</w:t>
      </w:r>
      <w:r w:rsidRPr="00085F83">
        <w:rPr>
          <w:i/>
          <w:iCs/>
          <w:lang w:val="ru-RU"/>
        </w:rPr>
        <w:tab/>
      </w:r>
      <w:r w:rsidRPr="00085F83">
        <w:rPr>
          <w:lang w:val="ru-RU"/>
        </w:rPr>
        <w:t>ведущую роль МСЭ в организации и координации проделанной работы в рамках эффективного механизма многосторонней подготовительной платформы к мероприятию высокого уровня ВВУИО+10;</w:t>
      </w:r>
    </w:p>
    <w:p w14:paraId="70D03398" w14:textId="77777777" w:rsidR="00DF2D73" w:rsidRPr="00085F83" w:rsidRDefault="00DF2D73" w:rsidP="00DF2D73">
      <w:pPr>
        <w:rPr>
          <w:lang w:val="ru-RU"/>
        </w:rPr>
      </w:pPr>
      <w:r w:rsidRPr="00085F83">
        <w:rPr>
          <w:i/>
          <w:iCs/>
          <w:lang w:val="ru-RU"/>
        </w:rPr>
        <w:t>b)</w:t>
      </w:r>
      <w:r w:rsidRPr="00085F83">
        <w:rPr>
          <w:i/>
          <w:iCs/>
          <w:lang w:val="ru-RU"/>
        </w:rPr>
        <w:tab/>
      </w:r>
      <w:r w:rsidRPr="00085F83">
        <w:rPr>
          <w:lang w:val="ru-RU"/>
        </w:rPr>
        <w:t>мероприятие высокого уровня ВВУИО+10, которое координировалось МСЭ и организацию которого обеспечивали совместно МСЭ, ЮНЕСКО, ЮНКТАД, ПРООН с привлечением других учреждений ООН, включая ФАО, МОТ, ЮНЕП, ДЭСВ ООН, ЮНОДК, ВПС, МКТ, структуру "ООН-женщины", ВМО, ВОЗ, ВПП, ВОИС и региональные комиссии ООН;</w:t>
      </w:r>
    </w:p>
    <w:p w14:paraId="7E584DAB" w14:textId="77777777" w:rsidR="00DF2D73" w:rsidRPr="00085F83" w:rsidRDefault="00DF2D73" w:rsidP="00DF2D73">
      <w:pPr>
        <w:rPr>
          <w:rFonts w:eastAsia="SimSun"/>
          <w:lang w:val="ru-RU"/>
        </w:rPr>
      </w:pPr>
      <w:r w:rsidRPr="00085F83">
        <w:rPr>
          <w:i/>
          <w:iCs/>
          <w:lang w:val="ru-RU"/>
        </w:rPr>
        <w:t>c)</w:t>
      </w:r>
      <w:r w:rsidRPr="00085F83">
        <w:rPr>
          <w:i/>
          <w:iCs/>
          <w:lang w:val="ru-RU"/>
        </w:rPr>
        <w:tab/>
      </w:r>
      <w:r w:rsidRPr="00085F83">
        <w:rPr>
          <w:lang w:val="ru-RU"/>
        </w:rPr>
        <w:t>многосторонний и всеобъемлющий характер открытых консультаций ГИО ООН по ВВУИО+10, проводимых под руководством МСЭ, который внес большой вклад в их успех</w:t>
      </w:r>
      <w:r w:rsidRPr="00085F83">
        <w:rPr>
          <w:rFonts w:eastAsia="SimSun"/>
          <w:lang w:val="ru-RU"/>
        </w:rPr>
        <w:t>;</w:t>
      </w:r>
    </w:p>
    <w:p w14:paraId="1CA89847" w14:textId="77777777" w:rsidR="00DF2D73" w:rsidRPr="00085F83" w:rsidRDefault="00DF2D73" w:rsidP="00DF2D73">
      <w:pPr>
        <w:rPr>
          <w:rFonts w:eastAsia="SimSun"/>
          <w:lang w:val="ru-RU"/>
        </w:rPr>
      </w:pPr>
      <w:r w:rsidRPr="00085F83">
        <w:rPr>
          <w:rFonts w:eastAsiaTheme="minorEastAsia"/>
          <w:i/>
          <w:iCs/>
          <w:lang w:val="ru-RU"/>
        </w:rPr>
        <w:t>d)</w:t>
      </w:r>
      <w:r w:rsidRPr="00085F83">
        <w:rPr>
          <w:rFonts w:eastAsiaTheme="minorEastAsia"/>
          <w:i/>
          <w:iCs/>
          <w:lang w:val="ru-RU"/>
        </w:rPr>
        <w:tab/>
      </w:r>
      <w:r w:rsidRPr="00085F83">
        <w:rPr>
          <w:rFonts w:eastAsiaTheme="minorEastAsia"/>
          <w:lang w:val="ru-RU"/>
        </w:rPr>
        <w:t xml:space="preserve">что </w:t>
      </w:r>
      <w:r w:rsidRPr="00085F83">
        <w:rPr>
          <w:rFonts w:eastAsia="SimSun"/>
          <w:lang w:val="ru-RU"/>
        </w:rPr>
        <w:t xml:space="preserve">Форум ВВУИО зарекомендовал себя в качестве платформы для оценки прогресса, обмена </w:t>
      </w:r>
      <w:r w:rsidRPr="00085F83">
        <w:rPr>
          <w:rFonts w:eastAsia="SimSun"/>
          <w:cs/>
          <w:lang w:val="ru-RU"/>
        </w:rPr>
        <w:t>‎</w:t>
      </w:r>
      <w:r w:rsidRPr="00085F83">
        <w:rPr>
          <w:rFonts w:eastAsia="SimSun"/>
          <w:lang w:val="ru-RU"/>
        </w:rPr>
        <w:t xml:space="preserve">опытом и содействия дальнейшему развитию на основе участия всех заинтересованных сторон ВВУИО, и при этом рассматривается вопрос о продолжении проведения такого процесса при </w:t>
      </w:r>
      <w:r w:rsidRPr="00085F83">
        <w:rPr>
          <w:rFonts w:eastAsia="SimSun"/>
          <w:cs/>
          <w:lang w:val="ru-RU"/>
        </w:rPr>
        <w:t>‎</w:t>
      </w:r>
      <w:r w:rsidRPr="00085F83">
        <w:rPr>
          <w:rFonts w:eastAsia="SimSun"/>
          <w:lang w:val="ru-RU"/>
        </w:rPr>
        <w:t>консультациях с учреждениями ООН</w:t>
      </w:r>
      <w:r w:rsidRPr="00085F83">
        <w:rPr>
          <w:rFonts w:eastAsia="SimSun"/>
          <w:i/>
          <w:iCs/>
          <w:cs/>
          <w:lang w:val="ru-RU" w:eastAsia="zh-CN"/>
        </w:rPr>
        <w:t>‎</w:t>
      </w:r>
      <w:r w:rsidRPr="00085F83">
        <w:rPr>
          <w:rFonts w:eastAsia="SimSun"/>
          <w:lang w:val="ru-RU"/>
        </w:rPr>
        <w:t>;</w:t>
      </w:r>
    </w:p>
    <w:p w14:paraId="1E0A6980" w14:textId="4493331C" w:rsidR="00DF2D73" w:rsidRPr="00085F83" w:rsidRDefault="00585B00" w:rsidP="00DF2D73">
      <w:pPr>
        <w:rPr>
          <w:lang w:val="ru-RU"/>
        </w:rPr>
      </w:pPr>
      <w:r w:rsidRPr="00085F83">
        <w:rPr>
          <w:i/>
          <w:iCs/>
          <w:lang w:val="ru-RU"/>
        </w:rPr>
        <w:t>e</w:t>
      </w:r>
      <w:r w:rsidR="00DF2D73" w:rsidRPr="00085F83">
        <w:rPr>
          <w:i/>
          <w:iCs/>
          <w:lang w:val="ru-RU"/>
        </w:rPr>
        <w:t>)</w:t>
      </w:r>
      <w:r w:rsidR="00DF2D73" w:rsidRPr="00085F83">
        <w:rPr>
          <w:lang w:val="ru-RU"/>
        </w:rPr>
        <w:tab/>
        <w:t>усилия, предпринимаемые Генеральным секретарем МСЭ для обеспечения синергии между процессами ООН, включая Всемирную встречу на высшем уровне по вопросам информационного общества (ВВУИО), Повестку дня в области устойчивого развития на период до 2030 года, а также Саммит будущего,</w:t>
      </w:r>
    </w:p>
    <w:p w14:paraId="107E0987" w14:textId="77777777" w:rsidR="00DF2D73" w:rsidRPr="00085F83" w:rsidRDefault="00DF2D73" w:rsidP="00DF2D73">
      <w:pPr>
        <w:pStyle w:val="Call"/>
        <w:rPr>
          <w:lang w:val="ru-RU"/>
        </w:rPr>
      </w:pPr>
      <w:r w:rsidRPr="00085F83">
        <w:rPr>
          <w:lang w:val="ru-RU"/>
        </w:rPr>
        <w:t>дает высокую оценку</w:t>
      </w:r>
    </w:p>
    <w:p w14:paraId="4E403218" w14:textId="21A023F1" w:rsidR="00DF2D73" w:rsidRPr="00085F83" w:rsidRDefault="00DF2D73" w:rsidP="00DF2D73">
      <w:pPr>
        <w:rPr>
          <w:lang w:val="ru-RU"/>
        </w:rPr>
      </w:pPr>
      <w:r w:rsidRPr="00085F83">
        <w:rPr>
          <w:i/>
          <w:iCs/>
          <w:lang w:val="ru-RU"/>
        </w:rPr>
        <w:t>a)</w:t>
      </w:r>
      <w:r w:rsidRPr="00085F83">
        <w:rPr>
          <w:lang w:val="ru-RU"/>
        </w:rPr>
        <w:tab/>
        <w:t>приложенным МСЭ усилиям, направленным на подготовку Форума – мероприятия высокого уровня ВВУИО+20</w:t>
      </w:r>
      <w:r w:rsidR="00585B00" w:rsidRPr="00085F83">
        <w:rPr>
          <w:lang w:val="ru-RU"/>
        </w:rPr>
        <w:t xml:space="preserve"> </w:t>
      </w:r>
      <w:r w:rsidRPr="00085F83">
        <w:rPr>
          <w:lang w:val="ru-RU"/>
        </w:rPr>
        <w:t>в качестве расширенной версии Форума ВВУИО 2024</w:t>
      </w:r>
      <w:r w:rsidR="00585B00" w:rsidRPr="00085F83">
        <w:rPr>
          <w:lang w:val="ru-RU"/>
        </w:rPr>
        <w:t> </w:t>
      </w:r>
      <w:r w:rsidRPr="00085F83">
        <w:rPr>
          <w:lang w:val="ru-RU"/>
        </w:rPr>
        <w:t>года, который планируется провести в Швейцарии;</w:t>
      </w:r>
    </w:p>
    <w:p w14:paraId="0FCEA973" w14:textId="5116AF31" w:rsidR="00DF2D73" w:rsidRPr="00085F83" w:rsidRDefault="00DF2D73" w:rsidP="00DF2D73">
      <w:pPr>
        <w:rPr>
          <w:lang w:val="ru-RU"/>
        </w:rPr>
      </w:pPr>
      <w:r w:rsidRPr="00085F83">
        <w:rPr>
          <w:i/>
          <w:iCs/>
          <w:lang w:val="ru-RU"/>
        </w:rPr>
        <w:t>b)</w:t>
      </w:r>
      <w:r w:rsidRPr="00085F83">
        <w:rPr>
          <w:lang w:val="ru-RU"/>
        </w:rPr>
        <w:tab/>
        <w:t>усилиям, предпринимаемым Генеральным секретарем МСЭ по выполнению Резолюци</w:t>
      </w:r>
      <w:r w:rsidR="00585B00" w:rsidRPr="00085F83">
        <w:rPr>
          <w:lang w:val="ru-RU"/>
        </w:rPr>
        <w:t>й </w:t>
      </w:r>
      <w:r w:rsidRPr="00085F83">
        <w:rPr>
          <w:lang w:val="ru-RU"/>
        </w:rPr>
        <w:t>1332 и</w:t>
      </w:r>
      <w:r w:rsidR="00585B00" w:rsidRPr="00085F83">
        <w:rPr>
          <w:lang w:val="ru-RU"/>
        </w:rPr>
        <w:t xml:space="preserve"> </w:t>
      </w:r>
      <w:r w:rsidRPr="00085F83">
        <w:rPr>
          <w:lang w:val="ru-RU"/>
        </w:rPr>
        <w:t>1334 Совета;</w:t>
      </w:r>
    </w:p>
    <w:p w14:paraId="06475561" w14:textId="6E4BD3C6" w:rsidR="00DF2D73" w:rsidRPr="00085F83" w:rsidRDefault="00DF2D73" w:rsidP="00DF2D73">
      <w:pPr>
        <w:rPr>
          <w:lang w:val="ru-RU"/>
        </w:rPr>
      </w:pPr>
      <w:r w:rsidRPr="00085F83">
        <w:rPr>
          <w:i/>
          <w:iCs/>
          <w:lang w:val="ru-RU"/>
        </w:rPr>
        <w:t>c)</w:t>
      </w:r>
      <w:r w:rsidRPr="00085F83">
        <w:rPr>
          <w:lang w:val="ru-RU"/>
        </w:rPr>
        <w:tab/>
        <w:t>усилиям, предпринимаемым Генеральным секретарем МСЭ по мобилизации внебюджетных ресурсов, соответствующих финансовым потребностям ВВУИО+20, призывая при этом все Государства-Члены делать взносы в Целевой фонд МСЭ для ВВУИО,</w:t>
      </w:r>
    </w:p>
    <w:p w14:paraId="79A33158" w14:textId="6E083F20" w:rsidR="00DF2D73" w:rsidRPr="00085F83" w:rsidRDefault="00DF2D73" w:rsidP="00DF2D73">
      <w:pPr>
        <w:pStyle w:val="Call"/>
        <w:rPr>
          <w:lang w:val="ru-RU"/>
        </w:rPr>
      </w:pPr>
      <w:r w:rsidRPr="00085F83">
        <w:rPr>
          <w:lang w:val="ru-RU"/>
        </w:rPr>
        <w:lastRenderedPageBreak/>
        <w:t>учитывая, что Полномочная конференция 2022</w:t>
      </w:r>
      <w:r w:rsidR="00585B00" w:rsidRPr="00085F83">
        <w:rPr>
          <w:lang w:val="ru-RU"/>
        </w:rPr>
        <w:t xml:space="preserve"> </w:t>
      </w:r>
      <w:r w:rsidRPr="00085F83">
        <w:rPr>
          <w:lang w:val="ru-RU"/>
        </w:rPr>
        <w:t>года решила</w:t>
      </w:r>
      <w:r w:rsidR="00585B00" w:rsidRPr="00085F83">
        <w:rPr>
          <w:i w:val="0"/>
          <w:iCs/>
          <w:lang w:val="ru-RU"/>
        </w:rPr>
        <w:t>,</w:t>
      </w:r>
    </w:p>
    <w:p w14:paraId="04A8E546" w14:textId="7BDE6BA9" w:rsidR="00DF2D73" w:rsidRPr="00085F83" w:rsidRDefault="00DF2D73" w:rsidP="00DF2D73">
      <w:pPr>
        <w:rPr>
          <w:lang w:val="ru-RU"/>
        </w:rPr>
      </w:pPr>
      <w:r w:rsidRPr="00085F83">
        <w:rPr>
          <w:i/>
          <w:iCs/>
          <w:lang w:val="ru-RU"/>
        </w:rPr>
        <w:t>a)</w:t>
      </w:r>
      <w:r w:rsidRPr="00085F83">
        <w:rPr>
          <w:lang w:val="ru-RU"/>
        </w:rPr>
        <w:tab/>
        <w:t>что МСЭ следует продолжать координировать свои действия с соответствующими организациями системы Организации Объединенных Наций, где это необходимо, для поддержки общего обзора хода осуществления решений ВВУИО, который проведет ГА ООН в 2025 году, и играть активную роль в процессе, предусмотренном дорожной картой ВВУИО+20 МСЭ, и процессе проведения обзора, установленном ГА ООН;</w:t>
      </w:r>
    </w:p>
    <w:p w14:paraId="5E705BE9" w14:textId="2A98F04F" w:rsidR="00DF2D73" w:rsidRPr="00085F83" w:rsidRDefault="00DF2D73" w:rsidP="00DF2D73">
      <w:pPr>
        <w:rPr>
          <w:lang w:val="ru-RU"/>
        </w:rPr>
      </w:pPr>
      <w:r w:rsidRPr="00085F83">
        <w:rPr>
          <w:i/>
          <w:iCs/>
          <w:lang w:val="ru-RU"/>
        </w:rPr>
        <w:t>b)</w:t>
      </w:r>
      <w:r w:rsidRPr="00085F83">
        <w:rPr>
          <w:lang w:val="ru-RU"/>
        </w:rPr>
        <w:tab/>
        <w:t>что Форум ВВУИО 2024 года следует обозначать как "Мероприятие высокого уровня ВВУИО+20 в Женеве" и использовать в качестве платформы для проведения обзора ВВУИО+20, с тем чтобы обеспечить обсуждение с участием многих заинтересованных сторон и осуществить анализ достижений и ключевых тенденций, проблем и возможностей со времени принятия Женевского плана действий;</w:t>
      </w:r>
    </w:p>
    <w:p w14:paraId="1782DD4D" w14:textId="7D26A4CC" w:rsidR="00DF2D73" w:rsidRPr="00085F83" w:rsidRDefault="00DF2D73" w:rsidP="00DF2D73">
      <w:pPr>
        <w:rPr>
          <w:color w:val="000000"/>
          <w:lang w:val="ru-RU"/>
        </w:rPr>
      </w:pPr>
      <w:r w:rsidRPr="00085F83">
        <w:rPr>
          <w:i/>
          <w:iCs/>
          <w:lang w:val="ru-RU"/>
        </w:rPr>
        <w:t>c)</w:t>
      </w:r>
      <w:r w:rsidRPr="00085F83">
        <w:rPr>
          <w:lang w:val="ru-RU"/>
        </w:rPr>
        <w:tab/>
        <w:t>что МСЭ следует представить в рамках общего обзора ВВУИО+20 ГА ООН заключительный отчет о роли МСЭ в выполнении решений ВВУИО в соответствии с процессом проведения обзора, установленным ГА ООН;</w:t>
      </w:r>
    </w:p>
    <w:p w14:paraId="12709CC8" w14:textId="002F8C77" w:rsidR="00DF2D73" w:rsidRPr="00085F83" w:rsidRDefault="00DF2D73" w:rsidP="00DF2D73">
      <w:pPr>
        <w:rPr>
          <w:lang w:val="ru-RU"/>
        </w:rPr>
      </w:pPr>
      <w:r w:rsidRPr="00085F83">
        <w:rPr>
          <w:i/>
          <w:iCs/>
          <w:color w:val="000000"/>
          <w:lang w:val="ru-RU"/>
        </w:rPr>
        <w:t>d)</w:t>
      </w:r>
      <w:r w:rsidRPr="00085F83">
        <w:rPr>
          <w:i/>
          <w:iCs/>
          <w:color w:val="000000"/>
          <w:lang w:val="ru-RU"/>
        </w:rPr>
        <w:tab/>
      </w:r>
      <w:r w:rsidRPr="00085F83">
        <w:rPr>
          <w:color w:val="000000"/>
          <w:lang w:val="ru-RU"/>
        </w:rPr>
        <w:t>учитывать решения ГА ООН в отношении процесса ВВУИО, включая общий обзор ВВУИО+20, и достижения ЦУР</w:t>
      </w:r>
      <w:r w:rsidR="00585B00" w:rsidRPr="00085F83">
        <w:rPr>
          <w:color w:val="000000"/>
          <w:lang w:val="ru-RU"/>
        </w:rPr>
        <w:t>,</w:t>
      </w:r>
    </w:p>
    <w:p w14:paraId="64D9DBDF" w14:textId="77777777" w:rsidR="00337404" w:rsidRPr="00085F83" w:rsidRDefault="00337404" w:rsidP="00ED3FC1">
      <w:pPr>
        <w:pStyle w:val="Call"/>
        <w:rPr>
          <w:lang w:val="ru-RU"/>
        </w:rPr>
      </w:pPr>
      <w:r w:rsidRPr="00085F83">
        <w:rPr>
          <w:lang w:val="ru-RU" w:bidi="ru-RU"/>
        </w:rPr>
        <w:t>решает поручить Генеральному секретарю</w:t>
      </w:r>
    </w:p>
    <w:p w14:paraId="14D4F0ED" w14:textId="77777777" w:rsidR="00337404" w:rsidRPr="00085F83" w:rsidRDefault="00337404" w:rsidP="00ED3FC1">
      <w:pPr>
        <w:rPr>
          <w:lang w:val="ru-RU"/>
        </w:rPr>
      </w:pPr>
      <w:r w:rsidRPr="00085F83">
        <w:rPr>
          <w:lang w:val="ru-RU" w:bidi="ru-RU"/>
        </w:rPr>
        <w:t>1</w:t>
      </w:r>
      <w:r w:rsidRPr="00085F83">
        <w:rPr>
          <w:lang w:val="ru-RU" w:bidi="ru-RU"/>
        </w:rPr>
        <w:tab/>
        <w:t xml:space="preserve">принять все возможные меры для содействия полномасштабному привлечению и участию всех организаций системы ООН, в частности тех, </w:t>
      </w:r>
      <w:proofErr w:type="gramStart"/>
      <w:r w:rsidRPr="00085F83">
        <w:rPr>
          <w:lang w:val="ru-RU" w:bidi="ru-RU"/>
        </w:rPr>
        <w:t>на которые согласно Тунисской программе</w:t>
      </w:r>
      <w:proofErr w:type="gramEnd"/>
      <w:r w:rsidRPr="00085F83">
        <w:rPr>
          <w:lang w:val="ru-RU" w:bidi="ru-RU"/>
        </w:rPr>
        <w:t xml:space="preserve"> были возложены конкретные задачи, связанные с выполнением решений ВВУИО, включая все содействующие организации по направлениям деятельности ВВУИО;</w:t>
      </w:r>
    </w:p>
    <w:p w14:paraId="482B71B0" w14:textId="6064994A" w:rsidR="00337404" w:rsidRPr="00085F83" w:rsidRDefault="00337404" w:rsidP="00325A22">
      <w:pPr>
        <w:rPr>
          <w:rFonts w:cs="Calibri"/>
          <w:b/>
          <w:lang w:val="ru-RU"/>
        </w:rPr>
      </w:pPr>
      <w:r w:rsidRPr="00085F83">
        <w:rPr>
          <w:lang w:val="ru-RU" w:bidi="ru-RU"/>
        </w:rPr>
        <w:t>2</w:t>
      </w:r>
      <w:r w:rsidRPr="00085F83">
        <w:rPr>
          <w:lang w:val="ru-RU" w:bidi="ru-RU"/>
        </w:rPr>
        <w:tab/>
        <w:t>в преддверии общего обзора на Генеральной Ассамблее ООН в 2025 году представить и продвигать решения мероприятия высокого уровня – Форума ВВУИО+20, разработанные в процессе консультаций с участием многих заинтересованных сторон;</w:t>
      </w:r>
    </w:p>
    <w:p w14:paraId="45B5529D" w14:textId="650538A4" w:rsidR="00337404" w:rsidRPr="00085F83" w:rsidRDefault="00337404" w:rsidP="00325A22">
      <w:pPr>
        <w:rPr>
          <w:lang w:val="ru-RU" w:eastAsia="zh-CN"/>
        </w:rPr>
      </w:pPr>
      <w:r w:rsidRPr="00085F83">
        <w:rPr>
          <w:lang w:val="ru-RU" w:bidi="ru-RU"/>
        </w:rPr>
        <w:t>3</w:t>
      </w:r>
      <w:r w:rsidRPr="00085F83">
        <w:rPr>
          <w:lang w:val="ru-RU" w:bidi="ru-RU"/>
        </w:rPr>
        <w:tab/>
        <w:t xml:space="preserve">продолжать эффективным и действенным образом сотрудничать и координировать усилия со всеми заинтересованными сторонами в рамках процесса подготовки к общему обзору хода осуществления решений Всемирной встречи на высшем уровне по вопросам информационного общества, который будет проводиться на совещании высокого уровня Генеральной Ассамблеи ООН в </w:t>
      </w:r>
      <w:r w:rsidR="00665C77" w:rsidRPr="00085F83">
        <w:rPr>
          <w:lang w:val="ru-RU" w:bidi="ru-RU"/>
        </w:rPr>
        <w:t>2025</w:t>
      </w:r>
      <w:r w:rsidRPr="00085F83">
        <w:rPr>
          <w:lang w:val="ru-RU" w:bidi="ru-RU"/>
        </w:rPr>
        <w:t xml:space="preserve"> году, в соответствии с принципами ВВУИО, предусматривающими участие многих заинтересованных сторон и всеобъемлющий характер;</w:t>
      </w:r>
    </w:p>
    <w:p w14:paraId="582F3D88" w14:textId="49043003" w:rsidR="00337404" w:rsidRPr="00085F83" w:rsidRDefault="00337404" w:rsidP="00325A22">
      <w:pPr>
        <w:rPr>
          <w:lang w:val="ru-RU" w:bidi="ru-RU"/>
        </w:rPr>
      </w:pPr>
      <w:r w:rsidRPr="00085F83">
        <w:rPr>
          <w:lang w:val="ru-RU" w:bidi="ru-RU"/>
        </w:rPr>
        <w:t>4</w:t>
      </w:r>
      <w:r w:rsidRPr="00085F83">
        <w:rPr>
          <w:lang w:val="ru-RU" w:bidi="ru-RU"/>
        </w:rPr>
        <w:tab/>
      </w:r>
      <w:r w:rsidRPr="00085F83">
        <w:rPr>
          <w:lang w:val="ru-RU"/>
        </w:rPr>
        <w:t xml:space="preserve">на основе сотрудничества и координации с другими учреждениями ООН внести вклад в </w:t>
      </w:r>
      <w:r w:rsidRPr="00085F83">
        <w:rPr>
          <w:lang w:val="ru-RU" w:bidi="ru-RU"/>
        </w:rPr>
        <w:t xml:space="preserve">проведение совещания высокого уровня </w:t>
      </w:r>
      <w:r w:rsidRPr="00085F83">
        <w:rPr>
          <w:lang w:val="ru-RU"/>
        </w:rPr>
        <w:t xml:space="preserve">Генеральной Ассамблеи ООН </w:t>
      </w:r>
      <w:r w:rsidRPr="00085F83">
        <w:rPr>
          <w:lang w:val="ru-RU" w:bidi="ru-RU"/>
        </w:rPr>
        <w:t>в 2025 году</w:t>
      </w:r>
      <w:r w:rsidRPr="00085F83">
        <w:rPr>
          <w:lang w:val="ru-RU"/>
        </w:rPr>
        <w:t xml:space="preserve">, </w:t>
      </w:r>
      <w:r w:rsidRPr="00085F83">
        <w:rPr>
          <w:lang w:val="ru-RU" w:bidi="ru-RU"/>
        </w:rPr>
        <w:t>максимально используя опыт, накопленный</w:t>
      </w:r>
      <w:r w:rsidRPr="00085F83">
        <w:rPr>
          <w:lang w:val="ru-RU"/>
        </w:rPr>
        <w:t xml:space="preserve"> Союзом в процессе организации двух этапов ВВУИО (2003−2005 гг.), мероприятия высокого уровня ВВУИО+10, включая многостороннюю подготовительную платформу </w:t>
      </w:r>
      <w:r w:rsidR="00BE2367" w:rsidRPr="00085F83">
        <w:rPr>
          <w:lang w:val="ru-RU"/>
        </w:rPr>
        <w:t xml:space="preserve">, </w:t>
      </w:r>
      <w:r w:rsidRPr="00085F83">
        <w:rPr>
          <w:lang w:val="ru-RU" w:bidi="ru-RU"/>
        </w:rPr>
        <w:t>и мероприятие высокого уровня – Форум ВВУИО+20;</w:t>
      </w:r>
    </w:p>
    <w:p w14:paraId="74721476" w14:textId="77777777" w:rsidR="00337404" w:rsidRPr="00085F83" w:rsidRDefault="00337404" w:rsidP="00325A22">
      <w:pPr>
        <w:rPr>
          <w:lang w:val="ru-RU" w:bidi="ru-RU"/>
        </w:rPr>
      </w:pPr>
      <w:r w:rsidRPr="00085F83">
        <w:rPr>
          <w:lang w:val="ru-RU" w:bidi="ru-RU"/>
        </w:rPr>
        <w:t>5</w:t>
      </w:r>
      <w:r w:rsidRPr="00085F83">
        <w:rPr>
          <w:lang w:val="ru-RU" w:bidi="ru-RU"/>
        </w:rPr>
        <w:tab/>
        <w:t>ежегодно представлять Совету через РГС-ВВУИО&amp;ЦУР всеобъемлющий отчет с подробным описанием деятельности, предпринятых действий и участия Союза в соответствующих процессах ООН, включая Всемирную встречу на высшем уровне по вопросам информационного общества (ВВУИО), Повестку дня в области устойчивого развития на период до 2030 года и Саммит будущего, для рассмотрения и принятия, при необходимости, соответствующих мер;</w:t>
      </w:r>
    </w:p>
    <w:p w14:paraId="5787EA74" w14:textId="77777777" w:rsidR="00337404" w:rsidRPr="00085F83" w:rsidRDefault="00337404" w:rsidP="00325A22">
      <w:pPr>
        <w:rPr>
          <w:rFonts w:cs="Calibri"/>
          <w:szCs w:val="24"/>
          <w:lang w:val="ru-RU"/>
        </w:rPr>
      </w:pPr>
      <w:r w:rsidRPr="00085F83">
        <w:rPr>
          <w:lang w:val="ru-RU" w:bidi="ru-RU"/>
        </w:rPr>
        <w:t>6</w:t>
      </w:r>
      <w:r w:rsidRPr="00085F83">
        <w:rPr>
          <w:lang w:val="ru-RU" w:bidi="ru-RU"/>
        </w:rPr>
        <w:tab/>
        <w:t>представить Совету через РГС-ВВУИО&amp;ЦУР до 2025 года обновленную информацию о процессе общего обзора ВВУИО+20, включая прогресс в реализации Дорожной карты ВВУИО+20 по подготовке и проведению общего обзора ВВУИО+20 и процесса ВВУИО после 2025 года;</w:t>
      </w:r>
    </w:p>
    <w:p w14:paraId="143A3A16" w14:textId="643887D6" w:rsidR="00337404" w:rsidRPr="00085F83" w:rsidRDefault="00337404" w:rsidP="00325A22">
      <w:pPr>
        <w:rPr>
          <w:lang w:val="ru-RU" w:bidi="ru-RU"/>
        </w:rPr>
      </w:pPr>
      <w:r w:rsidRPr="00085F83">
        <w:rPr>
          <w:lang w:val="ru-RU" w:bidi="ru-RU"/>
        </w:rPr>
        <w:lastRenderedPageBreak/>
        <w:t>7</w:t>
      </w:r>
      <w:r w:rsidRPr="00085F83">
        <w:rPr>
          <w:lang w:val="ru-RU" w:bidi="ru-RU"/>
        </w:rPr>
        <w:tab/>
        <w:t>принять необходимые меры, направленные на вовлечение всех Членов МСЭ в подготовку к общему обзору хода осуществления решений ВВУИО и разработку концепции на период после 2025</w:t>
      </w:r>
      <w:r w:rsidR="00D60ED3" w:rsidRPr="00085F83">
        <w:rPr>
          <w:lang w:val="ru-RU" w:bidi="ru-RU"/>
        </w:rPr>
        <w:t> </w:t>
      </w:r>
      <w:r w:rsidRPr="00085F83">
        <w:rPr>
          <w:lang w:val="ru-RU" w:bidi="ru-RU"/>
        </w:rPr>
        <w:t>года;</w:t>
      </w:r>
    </w:p>
    <w:p w14:paraId="5C23F2B6" w14:textId="7C63612B" w:rsidR="00337404" w:rsidRPr="00085F83" w:rsidRDefault="00337404" w:rsidP="00325A22">
      <w:pPr>
        <w:rPr>
          <w:szCs w:val="24"/>
          <w:lang w:val="ru-RU" w:eastAsia="zh-CN"/>
        </w:rPr>
      </w:pPr>
      <w:r w:rsidRPr="00085F83">
        <w:rPr>
          <w:szCs w:val="24"/>
          <w:lang w:val="ru-RU" w:eastAsia="zh-CN"/>
        </w:rPr>
        <w:t>8</w:t>
      </w:r>
      <w:r w:rsidRPr="00085F83">
        <w:rPr>
          <w:szCs w:val="24"/>
          <w:lang w:val="ru-RU" w:eastAsia="zh-CN"/>
        </w:rPr>
        <w:tab/>
        <w:t>подготовить и представить в рамках ВВУИО+20 отчет о вкладе МСЭ в выполнение решений ВВУИО и последующих мер в связи с решениями ВВУИО, а также о его роли в достижении ЦУР (2015–2025 гг.) для представления на сессии КНТР и ГА ООН в 2025 году и представить этот отчет на сессии Совета в 2025 году через РГС-ВВУИО&amp;ЦУР;</w:t>
      </w:r>
    </w:p>
    <w:p w14:paraId="6A1D3EF5" w14:textId="1CD22524" w:rsidR="00337404" w:rsidRPr="00085F83" w:rsidRDefault="00337404" w:rsidP="00010372">
      <w:pPr>
        <w:rPr>
          <w:lang w:val="ru-RU" w:bidi="ru-RU"/>
        </w:rPr>
      </w:pPr>
      <w:r w:rsidRPr="00085F83">
        <w:rPr>
          <w:lang w:val="ru-RU" w:bidi="ru-RU"/>
        </w:rPr>
        <w:t>9</w:t>
      </w:r>
      <w:r w:rsidRPr="00085F83">
        <w:rPr>
          <w:lang w:val="ru-RU" w:bidi="ru-RU"/>
        </w:rPr>
        <w:tab/>
      </w:r>
      <w:r w:rsidRPr="00085F83">
        <w:rPr>
          <w:lang w:val="ru-RU"/>
        </w:rPr>
        <w:t>продолжать развивать тесное сотрудничество и координацию деятельности с КНТР в отношении общего обзора ВВУИО+20</w:t>
      </w:r>
      <w:r w:rsidRPr="00085F83">
        <w:rPr>
          <w:lang w:val="ru-RU" w:bidi="ru-RU"/>
        </w:rPr>
        <w:t>;</w:t>
      </w:r>
    </w:p>
    <w:p w14:paraId="7F05266D" w14:textId="77777777" w:rsidR="00337404" w:rsidRPr="00085F83" w:rsidRDefault="00337404" w:rsidP="00325A22">
      <w:pPr>
        <w:rPr>
          <w:szCs w:val="24"/>
          <w:lang w:val="ru-RU" w:eastAsia="zh-CN"/>
        </w:rPr>
      </w:pPr>
      <w:r w:rsidRPr="00085F83">
        <w:rPr>
          <w:lang w:val="ru-RU" w:bidi="ru-RU"/>
        </w:rPr>
        <w:t>10</w:t>
      </w:r>
      <w:r w:rsidRPr="00085F83">
        <w:rPr>
          <w:lang w:val="ru-RU" w:bidi="ru-RU"/>
        </w:rPr>
        <w:tab/>
        <w:t>продолжать представлять отчеты о процессе анализа выполнения решений ВВУИО и реализации Направлений деятельности, разработанных на Тунисском этапе ВВУИО для содействия в осуществлении последующих мер, и обеспечить информирование всех администраций и содействующих организаций по направлениям деятельности о шаблонах и предельных сроках представления отчетов;</w:t>
      </w:r>
    </w:p>
    <w:p w14:paraId="03A0133F" w14:textId="4C4CC653" w:rsidR="00337404" w:rsidRPr="00085F83" w:rsidRDefault="00D60ED3" w:rsidP="00020CF6">
      <w:pPr>
        <w:rPr>
          <w:lang w:val="ru-RU" w:bidi="ru-RU"/>
        </w:rPr>
      </w:pPr>
      <w:r w:rsidRPr="00085F83">
        <w:rPr>
          <w:lang w:val="ru-RU" w:bidi="ru-RU"/>
        </w:rPr>
        <w:t>11</w:t>
      </w:r>
      <w:r w:rsidR="00337404" w:rsidRPr="00085F83">
        <w:rPr>
          <w:lang w:val="ru-RU" w:bidi="ru-RU"/>
        </w:rPr>
        <w:tab/>
      </w:r>
      <w:r w:rsidR="00BE2367" w:rsidRPr="00085F83">
        <w:rPr>
          <w:lang w:val="ru-RU" w:bidi="ru-RU"/>
        </w:rPr>
        <w:t xml:space="preserve">подготовить </w:t>
      </w:r>
      <w:r w:rsidR="00337404" w:rsidRPr="00085F83">
        <w:rPr>
          <w:lang w:val="ru-RU" w:bidi="ru-RU"/>
        </w:rPr>
        <w:t>отчет по итогам работы совещания высокого уровня Генеральной Ассамблеи ООН 2025 года по общему обзору хода выполнения решений Всемирной встречи на высшем уровне по вопросам информационного общества для Совета 2026 года через РГС-ВВУИО&amp;ЦУР и Полномочной конференции 2026 года;</w:t>
      </w:r>
    </w:p>
    <w:p w14:paraId="2F0EFDE0" w14:textId="6320AD62" w:rsidR="00337404" w:rsidRPr="00085F83" w:rsidRDefault="00337404" w:rsidP="00020CF6">
      <w:pPr>
        <w:rPr>
          <w:lang w:val="ru-RU" w:bidi="ru-RU"/>
        </w:rPr>
      </w:pPr>
      <w:r w:rsidRPr="00085F83">
        <w:rPr>
          <w:lang w:val="ru-RU" w:bidi="ru-RU"/>
        </w:rPr>
        <w:t>12</w:t>
      </w:r>
      <w:r w:rsidRPr="00085F83">
        <w:rPr>
          <w:lang w:val="ru-RU" w:bidi="ru-RU"/>
        </w:rPr>
        <w:tab/>
        <w:t>ежегодно представлять отчеты Совету о ходе выполнения настоящей Резолюции через РГС-ВВУИО&amp;ЦУР, предложить Директорам всех Бюро принять активное участие в выполнении настоящей Резолюции</w:t>
      </w:r>
      <w:r w:rsidR="00D60ED3" w:rsidRPr="00085F83">
        <w:rPr>
          <w:lang w:val="ru-RU" w:bidi="ru-RU"/>
        </w:rPr>
        <w:t>,</w:t>
      </w:r>
    </w:p>
    <w:p w14:paraId="423A7213" w14:textId="55CB55D9" w:rsidR="00337404" w:rsidRPr="00085F83" w:rsidRDefault="00337404" w:rsidP="00337404">
      <w:pPr>
        <w:pStyle w:val="Call"/>
        <w:rPr>
          <w:lang w:val="ru-RU" w:bidi="ru-RU"/>
        </w:rPr>
      </w:pPr>
      <w:r w:rsidRPr="00085F83">
        <w:rPr>
          <w:lang w:val="ru-RU" w:bidi="ru-RU"/>
        </w:rPr>
        <w:t>поручает РГС-ВВУИО&amp;ЦУР</w:t>
      </w:r>
    </w:p>
    <w:p w14:paraId="573724D5" w14:textId="15E913D6" w:rsidR="00337404" w:rsidRPr="00085F83" w:rsidRDefault="00337404" w:rsidP="00325A22">
      <w:pPr>
        <w:rPr>
          <w:lang w:val="ru-RU" w:eastAsia="zh-CN"/>
        </w:rPr>
      </w:pPr>
      <w:r w:rsidRPr="00085F83">
        <w:rPr>
          <w:lang w:val="ru-RU" w:bidi="ru-RU"/>
        </w:rPr>
        <w:t>1</w:t>
      </w:r>
      <w:r w:rsidRPr="00085F83">
        <w:rPr>
          <w:lang w:val="ru-RU" w:bidi="ru-RU"/>
        </w:rPr>
        <w:tab/>
        <w:t>следить за деятельностью и обсуждать деятельность Генерального секретаря и Директоров Бюро в связи с выполнением настоящей Резолюции;</w:t>
      </w:r>
    </w:p>
    <w:p w14:paraId="798CE8BA" w14:textId="7FB45F16" w:rsidR="00337404" w:rsidRPr="00085F83" w:rsidRDefault="00337404" w:rsidP="00325A22">
      <w:pPr>
        <w:rPr>
          <w:lang w:val="ru-RU" w:eastAsia="zh-CN"/>
        </w:rPr>
      </w:pPr>
      <w:r w:rsidRPr="00085F83">
        <w:rPr>
          <w:lang w:val="ru-RU" w:bidi="ru-RU"/>
        </w:rPr>
        <w:t>2</w:t>
      </w:r>
      <w:r w:rsidRPr="00085F83">
        <w:rPr>
          <w:lang w:val="ru-RU" w:bidi="ru-RU"/>
        </w:rPr>
        <w:tab/>
      </w:r>
      <w:r w:rsidRPr="00085F83">
        <w:rPr>
          <w:lang w:val="ru-RU"/>
        </w:rPr>
        <w:t>рассматривать вклады МСЭ в разработку различных вариантов тем, касающихся существа ВВУИО+2</w:t>
      </w:r>
      <w:r w:rsidR="00D60ED3" w:rsidRPr="00085F83">
        <w:rPr>
          <w:lang w:val="ru-RU"/>
        </w:rPr>
        <w:t>0</w:t>
      </w:r>
      <w:r w:rsidRPr="00085F83">
        <w:rPr>
          <w:lang w:val="ru-RU"/>
        </w:rPr>
        <w:t xml:space="preserve"> и последующей деятельности, с помощью Целевой группы ВВУИО</w:t>
      </w:r>
      <w:r w:rsidRPr="00085F83">
        <w:rPr>
          <w:rFonts w:eastAsia="SimSun" w:cs="Arial"/>
          <w:szCs w:val="24"/>
          <w:lang w:val="ru-RU" w:eastAsia="zh-CN"/>
        </w:rPr>
        <w:t>&amp;ЦУР</w:t>
      </w:r>
      <w:r w:rsidRPr="00085F83">
        <w:rPr>
          <w:lang w:val="ru-RU" w:bidi="ru-RU"/>
        </w:rPr>
        <w:t>;</w:t>
      </w:r>
    </w:p>
    <w:p w14:paraId="1380F38A" w14:textId="29D9A331" w:rsidR="00337404" w:rsidRPr="00085F83" w:rsidRDefault="00337404" w:rsidP="00D60ED3">
      <w:pPr>
        <w:rPr>
          <w:rFonts w:cs="Calibri"/>
          <w:lang w:val="ru-RU" w:eastAsia="zh-CN"/>
        </w:rPr>
      </w:pPr>
      <w:r w:rsidRPr="00085F83">
        <w:rPr>
          <w:lang w:val="ru-RU" w:bidi="ru-RU"/>
        </w:rPr>
        <w:t>3</w:t>
      </w:r>
      <w:r w:rsidRPr="00085F83">
        <w:rPr>
          <w:lang w:val="ru-RU" w:bidi="ru-RU"/>
        </w:rPr>
        <w:tab/>
        <w:t>на основе вклада Генерального секретаря и Директоров Бюро, а также предложений Государств-Членов и Членов Секторов</w:t>
      </w:r>
      <w:r w:rsidR="00D60ED3" w:rsidRPr="00085F83">
        <w:rPr>
          <w:lang w:val="ru-RU" w:bidi="ru-RU"/>
        </w:rPr>
        <w:t xml:space="preserve"> </w:t>
      </w:r>
      <w:r w:rsidRPr="00085F83">
        <w:rPr>
          <w:lang w:val="ru-RU" w:bidi="ru-RU"/>
        </w:rPr>
        <w:t xml:space="preserve">проанализировать заключительный итоговый документ совещания высокого уровня Генеральной Ассамблеи ООН, которое состоится в 2025 году, </w:t>
      </w:r>
      <w:r w:rsidR="00665C77" w:rsidRPr="00085F83">
        <w:rPr>
          <w:lang w:val="ru-RU" w:bidi="ru-RU"/>
        </w:rPr>
        <w:t xml:space="preserve">в </w:t>
      </w:r>
      <w:r w:rsidRPr="00085F83">
        <w:rPr>
          <w:lang w:val="ru-RU" w:bidi="ru-RU"/>
        </w:rPr>
        <w:t>первом цикле сессии РГС-ВВУИО&amp;ЦУР 2026</w:t>
      </w:r>
      <w:r w:rsidR="00665C77" w:rsidRPr="00085F83">
        <w:rPr>
          <w:lang w:val="ru-RU" w:bidi="ru-RU"/>
        </w:rPr>
        <w:t xml:space="preserve"> </w:t>
      </w:r>
      <w:r w:rsidRPr="00085F83">
        <w:rPr>
          <w:lang w:val="ru-RU" w:bidi="ru-RU"/>
        </w:rPr>
        <w:t>года и обсудить вопрос о том, нужно ли вносить поправки в существующие Резолюции Совета по ВВУИО</w:t>
      </w:r>
      <w:r w:rsidR="00BE2367" w:rsidRPr="00085F83">
        <w:rPr>
          <w:lang w:val="ru-RU" w:bidi="ru-RU"/>
        </w:rPr>
        <w:t>,</w:t>
      </w:r>
    </w:p>
    <w:p w14:paraId="3E5297AF" w14:textId="77777777" w:rsidR="00337404" w:rsidRPr="00085F83" w:rsidRDefault="00337404" w:rsidP="00E334E7">
      <w:pPr>
        <w:pStyle w:val="Call"/>
        <w:rPr>
          <w:lang w:val="ru-RU"/>
        </w:rPr>
      </w:pPr>
      <w:r w:rsidRPr="00085F83">
        <w:rPr>
          <w:lang w:val="ru-RU"/>
        </w:rPr>
        <w:t>призывает Государства-Члены</w:t>
      </w:r>
    </w:p>
    <w:p w14:paraId="0191F60F" w14:textId="77777777" w:rsidR="00337404" w:rsidRPr="00085F83" w:rsidRDefault="00337404" w:rsidP="00325A22">
      <w:pPr>
        <w:rPr>
          <w:lang w:val="ru-RU" w:eastAsia="zh-CN"/>
        </w:rPr>
      </w:pPr>
      <w:r w:rsidRPr="00085F83">
        <w:rPr>
          <w:lang w:val="ru-RU" w:bidi="ru-RU"/>
        </w:rPr>
        <w:t>1</w:t>
      </w:r>
      <w:r w:rsidRPr="00085F83">
        <w:rPr>
          <w:lang w:val="ru-RU" w:bidi="ru-RU"/>
        </w:rPr>
        <w:tab/>
      </w:r>
      <w:r w:rsidRPr="00085F83">
        <w:rPr>
          <w:lang w:val="ru-RU"/>
        </w:rPr>
        <w:t>содействовать работе РГС-ВВУИО</w:t>
      </w:r>
      <w:r w:rsidRPr="00085F83">
        <w:rPr>
          <w:lang w:val="ru-RU" w:bidi="ru-RU"/>
        </w:rPr>
        <w:t>&amp;</w:t>
      </w:r>
      <w:r w:rsidRPr="00085F83">
        <w:rPr>
          <w:lang w:val="ru-RU"/>
        </w:rPr>
        <w:t>ЦУР, представляя примеры передового опыта по использованию инструментов ИКТ для устойчивого развития</w:t>
      </w:r>
      <w:r w:rsidRPr="00085F83">
        <w:rPr>
          <w:lang w:val="ru-RU" w:bidi="ru-RU"/>
        </w:rPr>
        <w:t>;</w:t>
      </w:r>
    </w:p>
    <w:p w14:paraId="57995CFD" w14:textId="77777777" w:rsidR="00337404" w:rsidRPr="00085F83" w:rsidRDefault="00337404" w:rsidP="00325A22">
      <w:pPr>
        <w:rPr>
          <w:lang w:val="ru-RU" w:eastAsia="zh-CN"/>
        </w:rPr>
      </w:pPr>
      <w:r w:rsidRPr="00085F83">
        <w:rPr>
          <w:lang w:val="ru-RU" w:bidi="ru-RU"/>
        </w:rPr>
        <w:t>2</w:t>
      </w:r>
      <w:r w:rsidRPr="00085F83">
        <w:rPr>
          <w:lang w:val="ru-RU" w:bidi="ru-RU"/>
        </w:rPr>
        <w:tab/>
      </w:r>
      <w:r w:rsidRPr="00085F83">
        <w:rPr>
          <w:lang w:val="ru-RU"/>
        </w:rPr>
        <w:t>принять активное участие в подготовительном процессе к общему обзору выполнения решений ВВУИО, проводимому ГА ООН</w:t>
      </w:r>
      <w:r w:rsidRPr="00085F83">
        <w:rPr>
          <w:lang w:val="ru-RU" w:bidi="ru-RU"/>
        </w:rPr>
        <w:t xml:space="preserve"> в 2025 году, Саммите по ЦУР 2023 года и Саммите будущего 2024 года;</w:t>
      </w:r>
    </w:p>
    <w:p w14:paraId="319130F3" w14:textId="75B57D47" w:rsidR="00337404" w:rsidRPr="00085F83" w:rsidRDefault="00337404" w:rsidP="00325A22">
      <w:pPr>
        <w:rPr>
          <w:lang w:val="ru-RU" w:eastAsia="zh-CN"/>
        </w:rPr>
      </w:pPr>
      <w:r w:rsidRPr="00085F83">
        <w:rPr>
          <w:lang w:val="ru-RU" w:bidi="ru-RU"/>
        </w:rPr>
        <w:t>3</w:t>
      </w:r>
      <w:r w:rsidRPr="00085F83">
        <w:rPr>
          <w:lang w:val="ru-RU" w:bidi="ru-RU"/>
        </w:rPr>
        <w:tab/>
        <w:t xml:space="preserve">принять участие в совещании высокого уровня Генеральной Ассамблеи ООН, посвященном общему обзору хода осуществления решений ВВУИО, которое состоится в декабре </w:t>
      </w:r>
      <w:r w:rsidR="00BE2367" w:rsidRPr="00085F83">
        <w:rPr>
          <w:lang w:val="ru-RU" w:bidi="ru-RU"/>
        </w:rPr>
        <w:t>2025</w:t>
      </w:r>
      <w:r w:rsidRPr="00085F83">
        <w:rPr>
          <w:lang w:val="ru-RU" w:bidi="ru-RU"/>
        </w:rPr>
        <w:t xml:space="preserve"> года, на самом высоком, насколько это возможно, уровне, чтобы содействовать деятельности МСЭ в этом отношении, включая</w:t>
      </w:r>
      <w:r w:rsidR="00D60ED3" w:rsidRPr="00085F83">
        <w:rPr>
          <w:lang w:val="ru-RU" w:bidi="ru-RU"/>
        </w:rPr>
        <w:t xml:space="preserve"> </w:t>
      </w:r>
      <w:r w:rsidRPr="00085F83">
        <w:rPr>
          <w:lang w:val="ru-RU" w:bidi="ru-RU"/>
        </w:rPr>
        <w:t>мероприятие высокого уровня – Форум ВВУИО+</w:t>
      </w:r>
      <w:r w:rsidR="00BE2367" w:rsidRPr="00085F83">
        <w:rPr>
          <w:lang w:val="ru-RU" w:bidi="ru-RU"/>
        </w:rPr>
        <w:t>20</w:t>
      </w:r>
      <w:r w:rsidRPr="00085F83">
        <w:rPr>
          <w:lang w:val="ru-RU" w:bidi="ru-RU"/>
        </w:rPr>
        <w:t>;</w:t>
      </w:r>
    </w:p>
    <w:p w14:paraId="2A0FB3D1" w14:textId="77777777" w:rsidR="00337404" w:rsidRPr="00085F83" w:rsidRDefault="00337404" w:rsidP="00325A22">
      <w:pPr>
        <w:rPr>
          <w:lang w:val="ru-RU" w:eastAsia="zh-CN"/>
        </w:rPr>
      </w:pPr>
      <w:r w:rsidRPr="00085F83">
        <w:rPr>
          <w:lang w:val="ru-RU" w:bidi="ru-RU"/>
        </w:rPr>
        <w:t>4</w:t>
      </w:r>
      <w:r w:rsidRPr="00085F83">
        <w:rPr>
          <w:lang w:val="ru-RU" w:bidi="ru-RU"/>
        </w:rPr>
        <w:tab/>
        <w:t>консультироваться с заинтересованными сторонами из числа неправительственных организаций и учитывать их мнения,</w:t>
      </w:r>
    </w:p>
    <w:p w14:paraId="37723517" w14:textId="179CF14F" w:rsidR="00337404" w:rsidRPr="00085F83" w:rsidRDefault="00337404" w:rsidP="00E334E7">
      <w:pPr>
        <w:pStyle w:val="Call"/>
        <w:rPr>
          <w:lang w:val="ru-RU"/>
        </w:rPr>
      </w:pPr>
      <w:r w:rsidRPr="00085F83">
        <w:rPr>
          <w:lang w:val="ru-RU"/>
        </w:rPr>
        <w:lastRenderedPageBreak/>
        <w:t xml:space="preserve">призывает </w:t>
      </w:r>
      <w:r w:rsidR="002551AB" w:rsidRPr="00085F83">
        <w:rPr>
          <w:lang w:val="ru-RU"/>
        </w:rPr>
        <w:t xml:space="preserve">членов </w:t>
      </w:r>
      <w:r w:rsidRPr="00085F83">
        <w:rPr>
          <w:lang w:val="ru-RU"/>
        </w:rPr>
        <w:t>МСЭ</w:t>
      </w:r>
    </w:p>
    <w:p w14:paraId="336B76DE" w14:textId="3411163E" w:rsidR="00337404" w:rsidRPr="00085F83" w:rsidRDefault="00337404" w:rsidP="00E334E7">
      <w:pPr>
        <w:rPr>
          <w:lang w:val="ru-RU"/>
        </w:rPr>
      </w:pPr>
      <w:r w:rsidRPr="00085F83">
        <w:rPr>
          <w:lang w:val="ru-RU" w:bidi="ru-RU"/>
        </w:rPr>
        <w:t>1</w:t>
      </w:r>
      <w:r w:rsidRPr="00085F83">
        <w:rPr>
          <w:lang w:val="ru-RU" w:bidi="ru-RU"/>
        </w:rPr>
        <w:tab/>
        <w:t xml:space="preserve">принять активное участие в процессе подготовки совещания высокого уровня Генеральной Ассамблеи ООН, которое состоится в </w:t>
      </w:r>
      <w:r w:rsidR="00BE2367" w:rsidRPr="00085F83">
        <w:rPr>
          <w:lang w:val="ru-RU" w:bidi="ru-RU"/>
        </w:rPr>
        <w:t>2025</w:t>
      </w:r>
      <w:r w:rsidRPr="00085F83">
        <w:rPr>
          <w:lang w:val="ru-RU" w:bidi="ru-RU"/>
        </w:rPr>
        <w:t xml:space="preserve"> году;</w:t>
      </w:r>
    </w:p>
    <w:p w14:paraId="3CBBEF60" w14:textId="29BD481E" w:rsidR="00337404" w:rsidRPr="00085F83" w:rsidRDefault="00337404" w:rsidP="00E334E7">
      <w:pPr>
        <w:rPr>
          <w:lang w:val="ru-RU"/>
        </w:rPr>
      </w:pPr>
      <w:r w:rsidRPr="00085F83">
        <w:rPr>
          <w:lang w:val="ru-RU" w:bidi="ru-RU"/>
        </w:rPr>
        <w:t>2</w:t>
      </w:r>
      <w:r w:rsidRPr="00085F83">
        <w:rPr>
          <w:lang w:val="ru-RU" w:bidi="ru-RU"/>
        </w:rPr>
        <w:tab/>
        <w:t>обеспечить, чтобы решения совещания высокого уровня Генеральной Ассамблеи ООН</w:t>
      </w:r>
      <w:r w:rsidRPr="00085F83" w:rsidDel="00F445E7">
        <w:rPr>
          <w:lang w:val="ru-RU" w:bidi="ru-RU"/>
        </w:rPr>
        <w:t xml:space="preserve"> </w:t>
      </w:r>
      <w:r w:rsidRPr="00085F83">
        <w:rPr>
          <w:lang w:val="ru-RU" w:bidi="ru-RU"/>
        </w:rPr>
        <w:t>по общему обзору хода осуществления решений Всемирной встречи на высшем уровне по вопросам информационного общества в наибольшей степени отражали консенсус многих заинтересованных сторон, который основан на консенсусе, уже достигнутом во время Женевского и Тунисского этапов;</w:t>
      </w:r>
    </w:p>
    <w:p w14:paraId="10DB0FB8" w14:textId="3C9460CE" w:rsidR="00337404" w:rsidRPr="00085F83" w:rsidRDefault="00337404" w:rsidP="00E334E7">
      <w:pPr>
        <w:rPr>
          <w:lang w:val="ru-RU"/>
        </w:rPr>
      </w:pPr>
      <w:r w:rsidRPr="00085F83">
        <w:rPr>
          <w:lang w:val="ru-RU" w:bidi="ru-RU"/>
        </w:rPr>
        <w:t>3</w:t>
      </w:r>
      <w:r w:rsidRPr="00085F83">
        <w:rPr>
          <w:lang w:val="ru-RU" w:bidi="ru-RU"/>
        </w:rPr>
        <w:tab/>
      </w:r>
      <w:r w:rsidRPr="00085F83">
        <w:rPr>
          <w:lang w:val="ru-RU"/>
        </w:rPr>
        <w:t>подумать о необходимости продолжения процесса ВВУИО после 2025</w:t>
      </w:r>
      <w:r w:rsidR="00BE2367" w:rsidRPr="00085F83">
        <w:rPr>
          <w:lang w:val="ru-RU"/>
        </w:rPr>
        <w:t xml:space="preserve"> </w:t>
      </w:r>
      <w:r w:rsidRPr="00085F83">
        <w:rPr>
          <w:lang w:val="ru-RU"/>
        </w:rPr>
        <w:t xml:space="preserve">года в интересах дальнейшего развития </w:t>
      </w:r>
      <w:r w:rsidRPr="00085F83">
        <w:rPr>
          <w:lang w:val="ru-RU" w:bidi="ru-RU"/>
        </w:rPr>
        <w:t>обществ, основанных на информации о знаниях</w:t>
      </w:r>
      <w:r w:rsidRPr="00085F83">
        <w:rPr>
          <w:lang w:val="ru-RU"/>
        </w:rPr>
        <w:t xml:space="preserve">, с тем чтобы в полной мере использовать предоставляемые ИКТ преимущества в </w:t>
      </w:r>
      <w:r w:rsidRPr="00085F83">
        <w:rPr>
          <w:lang w:val="ru-RU" w:bidi="ru-RU"/>
        </w:rPr>
        <w:t>реализации Повестки дня в области устойчивого развития на период до 2030 года</w:t>
      </w:r>
      <w:r w:rsidRPr="00085F83">
        <w:rPr>
          <w:lang w:val="ru-RU"/>
        </w:rPr>
        <w:t>;</w:t>
      </w:r>
    </w:p>
    <w:p w14:paraId="3EF6B127" w14:textId="77777777" w:rsidR="00337404" w:rsidRPr="00085F83" w:rsidRDefault="00337404" w:rsidP="00E334E7">
      <w:pPr>
        <w:rPr>
          <w:lang w:val="ru-RU"/>
        </w:rPr>
      </w:pPr>
      <w:r w:rsidRPr="00085F83">
        <w:rPr>
          <w:lang w:val="ru-RU" w:bidi="ru-RU"/>
        </w:rPr>
        <w:t>4</w:t>
      </w:r>
      <w:r w:rsidRPr="00085F83">
        <w:rPr>
          <w:lang w:val="ru-RU" w:bidi="ru-RU"/>
        </w:rPr>
        <w:tab/>
        <w:t>предоставить финансовые средства для содействия участию всех соответствующих заинтересованных сторон ВВУИО из развивающихся и наименее развитых стран в подготовительном процессе ГА ООН, в частности в неофициальных интерактивных консультациях;</w:t>
      </w:r>
    </w:p>
    <w:p w14:paraId="18F6FE8F" w14:textId="77777777" w:rsidR="00337404" w:rsidRPr="00085F83" w:rsidRDefault="00337404" w:rsidP="00E334E7">
      <w:pPr>
        <w:rPr>
          <w:lang w:val="ru-RU"/>
        </w:rPr>
      </w:pPr>
      <w:r w:rsidRPr="00085F83">
        <w:rPr>
          <w:lang w:val="ru-RU" w:bidi="ru-RU"/>
        </w:rPr>
        <w:t>5</w:t>
      </w:r>
      <w:r w:rsidRPr="00085F83">
        <w:rPr>
          <w:lang w:val="ru-RU" w:bidi="ru-RU"/>
        </w:rPr>
        <w:tab/>
        <w:t>активно участвовать в РГС-ВВУИО&amp;ЦУР;</w:t>
      </w:r>
    </w:p>
    <w:p w14:paraId="5690822C" w14:textId="23528831" w:rsidR="00337404" w:rsidRPr="00085F83" w:rsidRDefault="00337404" w:rsidP="00E334E7">
      <w:pPr>
        <w:rPr>
          <w:lang w:val="ru-RU"/>
        </w:rPr>
      </w:pPr>
      <w:r w:rsidRPr="00085F83">
        <w:rPr>
          <w:lang w:val="ru-RU" w:bidi="ru-RU"/>
        </w:rPr>
        <w:t>6</w:t>
      </w:r>
      <w:r w:rsidRPr="00085F83">
        <w:rPr>
          <w:lang w:val="ru-RU" w:bidi="ru-RU"/>
        </w:rPr>
        <w:tab/>
        <w:t>делать взносы в Целевой фонд ВВУИО МСЭ для обеспечения эффективного и действенного выполнения процесса ВВУИО+20.</w:t>
      </w:r>
    </w:p>
    <w:p w14:paraId="7343D743" w14:textId="79C610CE" w:rsidR="00F21E03" w:rsidRPr="00085F83" w:rsidRDefault="00717FAC" w:rsidP="00717FAC">
      <w:pPr>
        <w:spacing w:before="720"/>
        <w:jc w:val="center"/>
        <w:rPr>
          <w:lang w:val="ru-RU"/>
        </w:rPr>
      </w:pPr>
      <w:r w:rsidRPr="00085F83">
        <w:rPr>
          <w:lang w:val="ru-RU"/>
        </w:rPr>
        <w:t>______________</w:t>
      </w:r>
    </w:p>
    <w:sectPr w:rsidR="00F21E03" w:rsidRPr="00085F83" w:rsidSect="00796BD3">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BED2" w14:textId="77777777" w:rsidR="00075DCB" w:rsidRDefault="00075DCB">
      <w:r>
        <w:separator/>
      </w:r>
    </w:p>
  </w:endnote>
  <w:endnote w:type="continuationSeparator" w:id="0">
    <w:p w14:paraId="70AB5C6B" w14:textId="77777777" w:rsidR="00075DCB" w:rsidRDefault="0007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9093B6A" w14:textId="77777777" w:rsidTr="00E31DCE">
      <w:trPr>
        <w:jc w:val="center"/>
      </w:trPr>
      <w:tc>
        <w:tcPr>
          <w:tcW w:w="1803" w:type="dxa"/>
          <w:vAlign w:val="center"/>
        </w:tcPr>
        <w:p w14:paraId="24C216B0" w14:textId="4CDE50BD" w:rsidR="00672F8A" w:rsidRPr="00EE4482" w:rsidRDefault="00672F8A" w:rsidP="00672F8A">
          <w:pPr>
            <w:pStyle w:val="Header"/>
            <w:jc w:val="left"/>
            <w:rPr>
              <w:noProof/>
              <w:lang w:val="ru-RU"/>
            </w:rPr>
          </w:pPr>
          <w:r>
            <w:rPr>
              <w:noProof/>
            </w:rPr>
            <w:t xml:space="preserve">DPS </w:t>
          </w:r>
          <w:r w:rsidR="00717FAC" w:rsidRPr="00717FAC">
            <w:rPr>
              <w:noProof/>
            </w:rPr>
            <w:t>526837</w:t>
          </w:r>
        </w:p>
      </w:tc>
      <w:tc>
        <w:tcPr>
          <w:tcW w:w="8261" w:type="dxa"/>
        </w:tcPr>
        <w:p w14:paraId="44ED274B" w14:textId="745CFB34" w:rsidR="00672F8A" w:rsidRPr="00E06FD5" w:rsidRDefault="00672F8A" w:rsidP="00AA5064">
          <w:pPr>
            <w:pStyle w:val="Header"/>
            <w:tabs>
              <w:tab w:val="left" w:pos="6881"/>
              <w:tab w:val="right" w:pos="8505"/>
              <w:tab w:val="right" w:pos="9639"/>
            </w:tabs>
            <w:jc w:val="left"/>
            <w:rPr>
              <w:rFonts w:ascii="Arial" w:hAnsi="Arial" w:cs="Arial"/>
              <w:b/>
              <w:bCs/>
              <w:szCs w:val="18"/>
            </w:rPr>
          </w:pPr>
          <w:r>
            <w:rPr>
              <w:bCs/>
            </w:rPr>
            <w:tab/>
          </w:r>
          <w:r w:rsidR="00AA5064" w:rsidRPr="00AA5064">
            <w:rPr>
              <w:bCs/>
            </w:rPr>
            <w:t>C23/</w:t>
          </w:r>
          <w:r w:rsidR="00717FAC">
            <w:rPr>
              <w:bCs/>
              <w:lang w:val="ru-RU"/>
            </w:rPr>
            <w:t>120</w:t>
          </w:r>
          <w:r w:rsidR="00AA5064" w:rsidRPr="00AA5064">
            <w:rPr>
              <w:bCs/>
            </w:rPr>
            <w:t>-R</w:t>
          </w:r>
          <w:r>
            <w:rPr>
              <w:bCs/>
            </w:rPr>
            <w:tab/>
          </w:r>
          <w:r>
            <w:fldChar w:fldCharType="begin"/>
          </w:r>
          <w:r>
            <w:instrText>PAGE</w:instrText>
          </w:r>
          <w:r>
            <w:fldChar w:fldCharType="separate"/>
          </w:r>
          <w:r>
            <w:t>1</w:t>
          </w:r>
          <w:r>
            <w:rPr>
              <w:noProof/>
            </w:rPr>
            <w:fldChar w:fldCharType="end"/>
          </w:r>
        </w:p>
      </w:tc>
    </w:tr>
  </w:tbl>
  <w:p w14:paraId="5239432C"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16637D9" w14:textId="77777777" w:rsidTr="00E31DCE">
      <w:trPr>
        <w:jc w:val="center"/>
      </w:trPr>
      <w:tc>
        <w:tcPr>
          <w:tcW w:w="1803" w:type="dxa"/>
          <w:vAlign w:val="center"/>
        </w:tcPr>
        <w:p w14:paraId="7FC166BE" w14:textId="77777777" w:rsidR="00672F8A" w:rsidRDefault="00085F83" w:rsidP="00672F8A">
          <w:pPr>
            <w:pStyle w:val="Header"/>
            <w:jc w:val="left"/>
            <w:rPr>
              <w:noProof/>
            </w:rPr>
          </w:pPr>
          <w:hyperlink r:id="rId1" w:history="1">
            <w:r w:rsidR="00672F8A" w:rsidRPr="00A514A4">
              <w:rPr>
                <w:rStyle w:val="Hyperlink"/>
                <w:szCs w:val="14"/>
              </w:rPr>
              <w:t>www.itu.int/council</w:t>
            </w:r>
          </w:hyperlink>
        </w:p>
      </w:tc>
      <w:tc>
        <w:tcPr>
          <w:tcW w:w="8261" w:type="dxa"/>
        </w:tcPr>
        <w:p w14:paraId="398F8175" w14:textId="570F504C" w:rsidR="00672F8A" w:rsidRPr="00E06FD5" w:rsidRDefault="00672F8A" w:rsidP="00AA5064">
          <w:pPr>
            <w:pStyle w:val="Header"/>
            <w:tabs>
              <w:tab w:val="left" w:pos="6881"/>
              <w:tab w:val="right" w:pos="8505"/>
              <w:tab w:val="right" w:pos="9639"/>
            </w:tabs>
            <w:jc w:val="left"/>
            <w:rPr>
              <w:rFonts w:ascii="Arial" w:hAnsi="Arial" w:cs="Arial"/>
              <w:b/>
              <w:bCs/>
              <w:szCs w:val="18"/>
            </w:rPr>
          </w:pPr>
          <w:r>
            <w:rPr>
              <w:bCs/>
            </w:rPr>
            <w:tab/>
          </w:r>
          <w:r w:rsidR="00AA5064" w:rsidRPr="00AA5064">
            <w:rPr>
              <w:bCs/>
            </w:rPr>
            <w:t>C23/</w:t>
          </w:r>
          <w:r w:rsidR="00717FAC">
            <w:rPr>
              <w:bCs/>
              <w:lang w:val="ru-RU"/>
            </w:rPr>
            <w:t>120-</w:t>
          </w:r>
          <w:r w:rsidR="00AA5064" w:rsidRPr="00AA5064">
            <w:rPr>
              <w:bCs/>
            </w:rPr>
            <w:t>R</w:t>
          </w:r>
          <w:r>
            <w:rPr>
              <w:bCs/>
            </w:rPr>
            <w:tab/>
          </w:r>
          <w:r>
            <w:fldChar w:fldCharType="begin"/>
          </w:r>
          <w:r>
            <w:instrText>PAGE</w:instrText>
          </w:r>
          <w:r>
            <w:fldChar w:fldCharType="separate"/>
          </w:r>
          <w:r>
            <w:t>1</w:t>
          </w:r>
          <w:r>
            <w:rPr>
              <w:noProof/>
            </w:rPr>
            <w:fldChar w:fldCharType="end"/>
          </w:r>
        </w:p>
      </w:tc>
    </w:tr>
  </w:tbl>
  <w:p w14:paraId="59797192"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A2CF" w14:textId="77777777" w:rsidR="00075DCB" w:rsidRDefault="00075DCB">
      <w:r>
        <w:t>____________________</w:t>
      </w:r>
    </w:p>
  </w:footnote>
  <w:footnote w:type="continuationSeparator" w:id="0">
    <w:p w14:paraId="4FFD90D2" w14:textId="77777777" w:rsidR="00075DCB" w:rsidRDefault="00075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96BD3" w:rsidRPr="00784011" w14:paraId="7EF09554" w14:textId="77777777" w:rsidTr="00E31DCE">
      <w:trPr>
        <w:trHeight w:val="1104"/>
        <w:jc w:val="center"/>
      </w:trPr>
      <w:tc>
        <w:tcPr>
          <w:tcW w:w="4390" w:type="dxa"/>
          <w:vAlign w:val="center"/>
        </w:tcPr>
        <w:p w14:paraId="2996D3FC" w14:textId="77777777" w:rsidR="00796BD3" w:rsidRPr="009621F8" w:rsidRDefault="00796BD3" w:rsidP="00796BD3">
          <w:pPr>
            <w:pStyle w:val="Header"/>
            <w:jc w:val="left"/>
            <w:rPr>
              <w:rFonts w:ascii="Arial" w:hAnsi="Arial" w:cs="Arial"/>
              <w:b/>
              <w:bCs/>
              <w:color w:val="009CD6"/>
              <w:sz w:val="36"/>
              <w:szCs w:val="36"/>
            </w:rPr>
          </w:pPr>
          <w:bookmarkStart w:id="13" w:name="_Hlk133422111"/>
          <w:r>
            <w:rPr>
              <w:noProof/>
            </w:rPr>
            <w:drawing>
              <wp:inline distT="0" distB="0" distL="0" distR="0" wp14:anchorId="78764CA4" wp14:editId="6D6716D4">
                <wp:extent cx="1923897" cy="54064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998" cy="574394"/>
                        </a:xfrm>
                        <a:prstGeom prst="rect">
                          <a:avLst/>
                        </a:prstGeom>
                        <a:noFill/>
                        <a:ln>
                          <a:noFill/>
                        </a:ln>
                      </pic:spPr>
                    </pic:pic>
                  </a:graphicData>
                </a:graphic>
              </wp:inline>
            </w:drawing>
          </w:r>
        </w:p>
      </w:tc>
      <w:tc>
        <w:tcPr>
          <w:tcW w:w="5630" w:type="dxa"/>
        </w:tcPr>
        <w:p w14:paraId="1A4F3CE5" w14:textId="77777777" w:rsidR="00796BD3" w:rsidRDefault="00796BD3" w:rsidP="00796BD3">
          <w:pPr>
            <w:pStyle w:val="Header"/>
            <w:jc w:val="right"/>
            <w:rPr>
              <w:rFonts w:ascii="Arial" w:hAnsi="Arial" w:cs="Arial"/>
              <w:b/>
              <w:bCs/>
              <w:color w:val="009CD6"/>
              <w:szCs w:val="18"/>
            </w:rPr>
          </w:pPr>
        </w:p>
        <w:p w14:paraId="6CDFE891" w14:textId="77777777" w:rsidR="00796BD3" w:rsidRDefault="00796BD3" w:rsidP="00796BD3">
          <w:pPr>
            <w:pStyle w:val="Header"/>
            <w:jc w:val="right"/>
            <w:rPr>
              <w:rFonts w:ascii="Arial" w:hAnsi="Arial" w:cs="Arial"/>
              <w:b/>
              <w:bCs/>
              <w:color w:val="009CD6"/>
              <w:szCs w:val="18"/>
            </w:rPr>
          </w:pPr>
        </w:p>
        <w:p w14:paraId="64E9F889" w14:textId="77777777" w:rsidR="00796BD3" w:rsidRPr="00784011" w:rsidRDefault="00796BD3" w:rsidP="00796BD3">
          <w:pPr>
            <w:pStyle w:val="Header"/>
            <w:jc w:val="right"/>
            <w:rPr>
              <w:rFonts w:ascii="Arial" w:hAnsi="Arial" w:cs="Arial"/>
              <w:color w:val="009CD6"/>
              <w:szCs w:val="18"/>
            </w:rPr>
          </w:pPr>
        </w:p>
      </w:tc>
    </w:tr>
  </w:tbl>
  <w:bookmarkEnd w:id="13"/>
  <w:p w14:paraId="6E9DB77E"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6E3A88C" wp14:editId="06C5BB22">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EC193"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B2"/>
    <w:rsid w:val="00005BE0"/>
    <w:rsid w:val="0002183E"/>
    <w:rsid w:val="00042D32"/>
    <w:rsid w:val="00055822"/>
    <w:rsid w:val="000569B4"/>
    <w:rsid w:val="00075DCB"/>
    <w:rsid w:val="00080E82"/>
    <w:rsid w:val="00085F83"/>
    <w:rsid w:val="000A23B9"/>
    <w:rsid w:val="000B2DE7"/>
    <w:rsid w:val="000D31C3"/>
    <w:rsid w:val="000E568E"/>
    <w:rsid w:val="0014734F"/>
    <w:rsid w:val="001570D3"/>
    <w:rsid w:val="0015710D"/>
    <w:rsid w:val="00163A32"/>
    <w:rsid w:val="00165D06"/>
    <w:rsid w:val="00192B41"/>
    <w:rsid w:val="001B7B09"/>
    <w:rsid w:val="001E505F"/>
    <w:rsid w:val="001E6719"/>
    <w:rsid w:val="001E7F50"/>
    <w:rsid w:val="00225368"/>
    <w:rsid w:val="00227FF0"/>
    <w:rsid w:val="00237D51"/>
    <w:rsid w:val="002551AB"/>
    <w:rsid w:val="00291EB6"/>
    <w:rsid w:val="002A7A9D"/>
    <w:rsid w:val="002C01D3"/>
    <w:rsid w:val="002D2F57"/>
    <w:rsid w:val="002D48C5"/>
    <w:rsid w:val="003019B5"/>
    <w:rsid w:val="0033025A"/>
    <w:rsid w:val="003362C9"/>
    <w:rsid w:val="00337404"/>
    <w:rsid w:val="003822E0"/>
    <w:rsid w:val="00385435"/>
    <w:rsid w:val="003D371C"/>
    <w:rsid w:val="003F099E"/>
    <w:rsid w:val="003F235E"/>
    <w:rsid w:val="004023E0"/>
    <w:rsid w:val="00403DD8"/>
    <w:rsid w:val="00406BEB"/>
    <w:rsid w:val="004353D1"/>
    <w:rsid w:val="00442515"/>
    <w:rsid w:val="004470CC"/>
    <w:rsid w:val="0045686C"/>
    <w:rsid w:val="004909B8"/>
    <w:rsid w:val="00491574"/>
    <w:rsid w:val="004918C4"/>
    <w:rsid w:val="00497703"/>
    <w:rsid w:val="004A0374"/>
    <w:rsid w:val="004A45B5"/>
    <w:rsid w:val="004D0129"/>
    <w:rsid w:val="00503B66"/>
    <w:rsid w:val="00510C59"/>
    <w:rsid w:val="00544CAC"/>
    <w:rsid w:val="00585B00"/>
    <w:rsid w:val="005A64D5"/>
    <w:rsid w:val="005B0C27"/>
    <w:rsid w:val="005B3DEC"/>
    <w:rsid w:val="005C75B2"/>
    <w:rsid w:val="00601994"/>
    <w:rsid w:val="00630C45"/>
    <w:rsid w:val="00665C77"/>
    <w:rsid w:val="00672F8A"/>
    <w:rsid w:val="00675B22"/>
    <w:rsid w:val="006E2D42"/>
    <w:rsid w:val="00703676"/>
    <w:rsid w:val="00707304"/>
    <w:rsid w:val="00707A7F"/>
    <w:rsid w:val="00714C0F"/>
    <w:rsid w:val="00717FAC"/>
    <w:rsid w:val="00732269"/>
    <w:rsid w:val="00746D01"/>
    <w:rsid w:val="00747B19"/>
    <w:rsid w:val="00782C0A"/>
    <w:rsid w:val="00785ABD"/>
    <w:rsid w:val="0078795E"/>
    <w:rsid w:val="00794F8C"/>
    <w:rsid w:val="00796BD3"/>
    <w:rsid w:val="007A2DD4"/>
    <w:rsid w:val="007B276E"/>
    <w:rsid w:val="007B7E17"/>
    <w:rsid w:val="007C1A4F"/>
    <w:rsid w:val="007D38B5"/>
    <w:rsid w:val="007E3007"/>
    <w:rsid w:val="007E7EA0"/>
    <w:rsid w:val="0080569F"/>
    <w:rsid w:val="00805D23"/>
    <w:rsid w:val="00807255"/>
    <w:rsid w:val="0081023E"/>
    <w:rsid w:val="008173AA"/>
    <w:rsid w:val="00840A14"/>
    <w:rsid w:val="00862469"/>
    <w:rsid w:val="008B62B4"/>
    <w:rsid w:val="008D2D7B"/>
    <w:rsid w:val="008E0737"/>
    <w:rsid w:val="008E2135"/>
    <w:rsid w:val="008F7C2C"/>
    <w:rsid w:val="00903C35"/>
    <w:rsid w:val="00906CF3"/>
    <w:rsid w:val="00921178"/>
    <w:rsid w:val="00940E96"/>
    <w:rsid w:val="009726BF"/>
    <w:rsid w:val="0099131E"/>
    <w:rsid w:val="009B0BAE"/>
    <w:rsid w:val="009C1C89"/>
    <w:rsid w:val="009F3448"/>
    <w:rsid w:val="009F6E93"/>
    <w:rsid w:val="00A01CF9"/>
    <w:rsid w:val="00A617A8"/>
    <w:rsid w:val="00A64A6D"/>
    <w:rsid w:val="00A64FFB"/>
    <w:rsid w:val="00A71773"/>
    <w:rsid w:val="00AA5064"/>
    <w:rsid w:val="00AE2C85"/>
    <w:rsid w:val="00AF1008"/>
    <w:rsid w:val="00B12A37"/>
    <w:rsid w:val="00B2147A"/>
    <w:rsid w:val="00B359C6"/>
    <w:rsid w:val="00B41837"/>
    <w:rsid w:val="00B51E98"/>
    <w:rsid w:val="00B63EF2"/>
    <w:rsid w:val="00B71539"/>
    <w:rsid w:val="00B74665"/>
    <w:rsid w:val="00BA7D89"/>
    <w:rsid w:val="00BC0D39"/>
    <w:rsid w:val="00BC7BC0"/>
    <w:rsid w:val="00BD57B7"/>
    <w:rsid w:val="00BE2367"/>
    <w:rsid w:val="00BE63E2"/>
    <w:rsid w:val="00C11AEE"/>
    <w:rsid w:val="00C15957"/>
    <w:rsid w:val="00C26752"/>
    <w:rsid w:val="00C435EA"/>
    <w:rsid w:val="00C73621"/>
    <w:rsid w:val="00CB3FB6"/>
    <w:rsid w:val="00CD2009"/>
    <w:rsid w:val="00CF629C"/>
    <w:rsid w:val="00D40239"/>
    <w:rsid w:val="00D4640F"/>
    <w:rsid w:val="00D60ED3"/>
    <w:rsid w:val="00D92EEA"/>
    <w:rsid w:val="00DA5D4E"/>
    <w:rsid w:val="00DB7656"/>
    <w:rsid w:val="00DF2D73"/>
    <w:rsid w:val="00E176BA"/>
    <w:rsid w:val="00E423EC"/>
    <w:rsid w:val="00E55121"/>
    <w:rsid w:val="00E73523"/>
    <w:rsid w:val="00E811EA"/>
    <w:rsid w:val="00EB4FCB"/>
    <w:rsid w:val="00EC6BC5"/>
    <w:rsid w:val="00EC72B5"/>
    <w:rsid w:val="00EE4482"/>
    <w:rsid w:val="00F16C43"/>
    <w:rsid w:val="00F21E03"/>
    <w:rsid w:val="00F35898"/>
    <w:rsid w:val="00F364DD"/>
    <w:rsid w:val="00F42F5D"/>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2AD66"/>
  <w15:docId w15:val="{CC5D4E47-E7CA-4FA8-B015-8E769CEF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FFB"/>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o"/>
    <w:basedOn w:val="DefaultParagraphFont"/>
    <w:qFormat/>
    <w:rsid w:val="00227FF0"/>
    <w:rPr>
      <w:position w:val="6"/>
      <w:sz w:val="16"/>
    </w:rPr>
  </w:style>
  <w:style w:type="paragraph" w:styleId="FootnoteText">
    <w:name w:val="footnote text"/>
    <w:basedOn w:val="Normal"/>
    <w:link w:val="FootnoteTextChar"/>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qFormat/>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qFormat/>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超级链接,Style 58,超????,超?级链,하이퍼링크2,하이퍼링크21"/>
    <w:basedOn w:val="DefaultParagraphFont"/>
    <w:qForma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227FF0"/>
    <w:pPr>
      <w:keepNext/>
      <w:keepLines/>
      <w:spacing w:before="480" w:after="80"/>
      <w:jc w:val="center"/>
    </w:pPr>
    <w:rPr>
      <w:caps/>
      <w:sz w:val="26"/>
    </w:rPr>
  </w:style>
  <w:style w:type="paragraph" w:customStyle="1" w:styleId="Annextitle">
    <w:name w:val="Annex_title"/>
    <w:basedOn w:val="Normal"/>
    <w:next w:val="Annexref"/>
    <w:link w:val="AnnextitleChar"/>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qFormat/>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link w:val="TabletextChar"/>
    <w:qFormat/>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link w:val="ResNoChar"/>
    <w:rsid w:val="00227FF0"/>
  </w:style>
  <w:style w:type="paragraph" w:customStyle="1" w:styleId="Restitle">
    <w:name w:val="Res_title"/>
    <w:basedOn w:val="Rectitle"/>
    <w:next w:val="Resref"/>
    <w:link w:val="RestitleChar"/>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337404"/>
    <w:pPr>
      <w:framePr w:hSpace="180" w:wrap="around" w:hAnchor="page" w:x="1821" w:y="2317"/>
      <w:spacing w:before="120" w:after="160"/>
      <w:jc w:val="left"/>
    </w:pPr>
    <w:rPr>
      <w:caps w:val="0"/>
      <w:sz w:val="32"/>
    </w:rPr>
  </w:style>
  <w:style w:type="character" w:customStyle="1" w:styleId="TabletextChar">
    <w:name w:val="Table_text Char"/>
    <w:basedOn w:val="DefaultParagraphFont"/>
    <w:link w:val="Tabletext"/>
    <w:locked/>
    <w:rsid w:val="00F21E03"/>
    <w:rPr>
      <w:rFonts w:ascii="Calibri" w:hAnsi="Calibri"/>
      <w:lang w:val="en-GB" w:eastAsia="en-US"/>
    </w:rPr>
  </w:style>
  <w:style w:type="character" w:customStyle="1" w:styleId="TableheadChar">
    <w:name w:val="Table_head Char"/>
    <w:basedOn w:val="DefaultParagraphFont"/>
    <w:link w:val="Tablehead"/>
    <w:uiPriority w:val="99"/>
    <w:rsid w:val="00F21E03"/>
    <w:rPr>
      <w:rFonts w:ascii="Calibri" w:hAnsi="Calibri"/>
      <w:b/>
      <w:lang w:val="en-GB" w:eastAsia="en-US"/>
    </w:rPr>
  </w:style>
  <w:style w:type="character" w:customStyle="1" w:styleId="enumlev1Char">
    <w:name w:val="enumlev1 Char"/>
    <w:basedOn w:val="DefaultParagraphFont"/>
    <w:link w:val="enumlev1"/>
    <w:rsid w:val="00AF1008"/>
    <w:rPr>
      <w:rFonts w:ascii="Calibri" w:hAnsi="Calibri"/>
      <w:sz w:val="22"/>
      <w:lang w:val="en-GB" w:eastAsia="en-US"/>
    </w:rPr>
  </w:style>
  <w:style w:type="character" w:customStyle="1" w:styleId="NormalaftertitleChar">
    <w:name w:val="Normal after title Char"/>
    <w:basedOn w:val="DefaultParagraphFont"/>
    <w:link w:val="Normalaftertitle"/>
    <w:rsid w:val="00AF1008"/>
    <w:rPr>
      <w:rFonts w:ascii="Calibri" w:hAnsi="Calibri"/>
      <w:sz w:val="22"/>
      <w:lang w:val="en-GB" w:eastAsia="en-US"/>
    </w:rPr>
  </w:style>
  <w:style w:type="character" w:customStyle="1" w:styleId="CallChar">
    <w:name w:val="Call Char"/>
    <w:basedOn w:val="DefaultParagraphFont"/>
    <w:link w:val="Call"/>
    <w:rsid w:val="00AF1008"/>
    <w:rPr>
      <w:rFonts w:ascii="Calibri" w:hAnsi="Calibri"/>
      <w:i/>
      <w:sz w:val="22"/>
      <w:lang w:val="en-GB" w:eastAsia="en-US"/>
    </w:rPr>
  </w:style>
  <w:style w:type="character" w:customStyle="1" w:styleId="RestitleChar">
    <w:name w:val="Res_title Char"/>
    <w:basedOn w:val="DefaultParagraphFont"/>
    <w:link w:val="Restitle"/>
    <w:rsid w:val="00AF1008"/>
    <w:rPr>
      <w:rFonts w:ascii="Calibri" w:hAnsi="Calibri"/>
      <w:b/>
      <w:sz w:val="26"/>
      <w:lang w:val="en-GB" w:eastAsia="en-US"/>
    </w:rPr>
  </w:style>
  <w:style w:type="character" w:customStyle="1" w:styleId="ResNoChar">
    <w:name w:val="Res_No Char"/>
    <w:basedOn w:val="DefaultParagraphFont"/>
    <w:link w:val="ResNo"/>
    <w:rsid w:val="00AF1008"/>
    <w:rPr>
      <w:rFonts w:ascii="Calibri" w:hAnsi="Calibri"/>
      <w:caps/>
      <w:sz w:val="26"/>
      <w:lang w:val="en-GB" w:eastAsia="en-US"/>
    </w:rPr>
  </w:style>
  <w:style w:type="character" w:customStyle="1" w:styleId="AnnexNoChar">
    <w:name w:val="Annex_No Char"/>
    <w:basedOn w:val="DefaultParagraphFont"/>
    <w:link w:val="AnnexNo"/>
    <w:rsid w:val="00AF1008"/>
    <w:rPr>
      <w:rFonts w:ascii="Calibri" w:hAnsi="Calibri"/>
      <w:caps/>
      <w:sz w:val="26"/>
      <w:lang w:val="en-GB" w:eastAsia="en-US"/>
    </w:rPr>
  </w:style>
  <w:style w:type="character" w:customStyle="1" w:styleId="AnnextitleChar">
    <w:name w:val="Annex_title Char"/>
    <w:basedOn w:val="DefaultParagraphFont"/>
    <w:link w:val="Annextitle"/>
    <w:rsid w:val="00AF1008"/>
    <w:rPr>
      <w:rFonts w:ascii="Calibri" w:hAnsi="Calibri"/>
      <w:b/>
      <w:sz w:val="26"/>
      <w:lang w:val="en-GB" w:eastAsia="en-US"/>
    </w:rPr>
  </w:style>
  <w:style w:type="paragraph" w:customStyle="1" w:styleId="Endtext">
    <w:name w:val="End_text"/>
    <w:basedOn w:val="Reftext"/>
    <w:rsid w:val="00AF1008"/>
    <w:pPr>
      <w:tabs>
        <w:tab w:val="clear" w:pos="794"/>
        <w:tab w:val="clear" w:pos="1191"/>
        <w:tab w:val="clear" w:pos="1588"/>
        <w:tab w:val="clear" w:pos="1985"/>
        <w:tab w:val="left" w:pos="567"/>
        <w:tab w:val="left" w:pos="851"/>
        <w:tab w:val="left" w:pos="1134"/>
        <w:tab w:val="left" w:pos="1701"/>
        <w:tab w:val="left" w:pos="2268"/>
        <w:tab w:val="left" w:pos="2835"/>
      </w:tabs>
      <w:spacing w:before="136"/>
      <w:ind w:left="851" w:hanging="851"/>
    </w:pPr>
    <w:rPr>
      <w:i/>
      <w:iCs/>
      <w:lang w:val="fr-CH"/>
    </w:rPr>
  </w:style>
  <w:style w:type="character" w:customStyle="1" w:styleId="FootnoteTextChar">
    <w:name w:val="Footnote Text Char"/>
    <w:basedOn w:val="DefaultParagraphFont"/>
    <w:link w:val="FootnoteText"/>
    <w:rsid w:val="00B359C6"/>
    <w:rPr>
      <w:rFonts w:ascii="Calibri" w:hAnsi="Calibri"/>
      <w:lang w:val="en-GB" w:eastAsia="en-US"/>
    </w:rPr>
  </w:style>
  <w:style w:type="paragraph" w:styleId="Revision">
    <w:name w:val="Revision"/>
    <w:hidden/>
    <w:uiPriority w:val="99"/>
    <w:semiHidden/>
    <w:rsid w:val="00DF2D73"/>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CE17D-63B9-400C-865F-90D42C590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1650</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12282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Miliaeva, Olga</dc:creator>
  <cp:keywords>C2023, C23, Council-23</cp:keywords>
  <dc:description/>
  <cp:lastModifiedBy>Antipina, Nadezda</cp:lastModifiedBy>
  <cp:revision>4</cp:revision>
  <cp:lastPrinted>2006-03-28T16:12:00Z</cp:lastPrinted>
  <dcterms:created xsi:type="dcterms:W3CDTF">2023-08-28T15:43:00Z</dcterms:created>
  <dcterms:modified xsi:type="dcterms:W3CDTF">2023-08-29T14:32:00Z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