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059D8" w14:paraId="1591300A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2D165A40" w:rsidR="00AD3606" w:rsidRPr="008059D8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  <w:lang w:val="es-ES_tradnl"/>
              </w:rPr>
            </w:pPr>
            <w:bookmarkStart w:id="0" w:name="dmeeting" w:colFirst="0" w:colLast="0"/>
            <w:bookmarkStart w:id="1" w:name="dnum" w:colFirst="1" w:colLast="1"/>
          </w:p>
        </w:tc>
        <w:tc>
          <w:tcPr>
            <w:tcW w:w="5245" w:type="dxa"/>
          </w:tcPr>
          <w:p w14:paraId="18996198" w14:textId="77777777" w:rsidR="00B67CDA" w:rsidRPr="008059D8" w:rsidRDefault="00AC246F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es-ES_tradnl"/>
              </w:rPr>
            </w:pPr>
            <w:r w:rsidRPr="008059D8">
              <w:rPr>
                <w:b/>
                <w:lang w:val="es-ES_tradnl"/>
              </w:rPr>
              <w:t>Documento C23/111-S</w:t>
            </w:r>
          </w:p>
        </w:tc>
      </w:tr>
      <w:tr w:rsidR="00AD3606" w:rsidRPr="008059D8" w14:paraId="777833CB" w14:textId="77777777" w:rsidTr="00AD3606">
        <w:trPr>
          <w:cantSplit/>
        </w:trPr>
        <w:tc>
          <w:tcPr>
            <w:tcW w:w="3969" w:type="dxa"/>
            <w:vMerge/>
          </w:tcPr>
          <w:p w14:paraId="7DECAB6C" w14:textId="77777777" w:rsidR="00AD3606" w:rsidRPr="008059D8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es-ES_tradnl"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F41C794" w14:textId="33E0338E" w:rsidR="00B67CDA" w:rsidRPr="008059D8" w:rsidRDefault="002B7877">
            <w:pPr>
              <w:tabs>
                <w:tab w:val="left" w:pos="851"/>
              </w:tabs>
              <w:spacing w:before="0"/>
              <w:jc w:val="right"/>
              <w:rPr>
                <w:b/>
                <w:lang w:val="es-ES_tradnl"/>
              </w:rPr>
            </w:pPr>
            <w:r w:rsidRPr="002B7877">
              <w:rPr>
                <w:b/>
                <w:lang w:val="es-ES_tradnl"/>
              </w:rPr>
              <w:t xml:space="preserve">1 de septiembre </w:t>
            </w:r>
            <w:r w:rsidR="00AD3606" w:rsidRPr="008059D8">
              <w:rPr>
                <w:b/>
                <w:lang w:val="es-ES_tradnl"/>
              </w:rPr>
              <w:t>de 2023</w:t>
            </w:r>
          </w:p>
        </w:tc>
      </w:tr>
      <w:tr w:rsidR="00AD3606" w:rsidRPr="008059D8" w14:paraId="082C2282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8059D8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es-ES_tradnl"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29925DEC" w14:textId="30CB8808" w:rsidR="00B67CDA" w:rsidRPr="008059D8" w:rsidRDefault="00AC246F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es-ES_tradnl"/>
              </w:rPr>
            </w:pPr>
            <w:r w:rsidRPr="008059D8">
              <w:rPr>
                <w:b/>
                <w:lang w:val="es-ES_tradnl"/>
              </w:rPr>
              <w:t xml:space="preserve">Original: </w:t>
            </w:r>
            <w:r w:rsidR="00211EC6">
              <w:rPr>
                <w:rFonts w:eastAsia="Times New Roman"/>
                <w:b/>
                <w:lang w:val="es-ES_tradnl"/>
              </w:rPr>
              <w:t>i</w:t>
            </w:r>
            <w:r w:rsidR="00C74E7E" w:rsidRPr="008059D8">
              <w:rPr>
                <w:rFonts w:eastAsia="Times New Roman"/>
                <w:b/>
                <w:lang w:val="es-ES_tradnl"/>
              </w:rPr>
              <w:t>nglés</w:t>
            </w:r>
          </w:p>
        </w:tc>
      </w:tr>
      <w:tr w:rsidR="00472BAD" w:rsidRPr="008059D8" w14:paraId="3C9C7706" w14:textId="77777777" w:rsidTr="00AD3606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8059D8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  <w:lang w:val="es-ES_tradnl"/>
              </w:rPr>
            </w:pPr>
          </w:p>
        </w:tc>
        <w:tc>
          <w:tcPr>
            <w:tcW w:w="5245" w:type="dxa"/>
          </w:tcPr>
          <w:p w14:paraId="1CCE97A6" w14:textId="77777777" w:rsidR="00472BAD" w:rsidRPr="008059D8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es-ES_tradnl"/>
              </w:rPr>
            </w:pPr>
          </w:p>
        </w:tc>
      </w:tr>
      <w:tr w:rsidR="00AD3606" w:rsidRPr="008059D8" w14:paraId="5BEAAFE0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FED0067" w14:textId="77777777" w:rsidR="00556446" w:rsidRPr="008059D8" w:rsidRDefault="00556446" w:rsidP="00696483">
            <w:pPr>
              <w:pStyle w:val="Title1"/>
              <w:framePr w:hSpace="0" w:wrap="auto" w:vAnchor="margin" w:hAnchor="text" w:yAlign="inline"/>
              <w:spacing w:before="120"/>
              <w:jc w:val="center"/>
              <w:rPr>
                <w:lang w:val="es-ES_tradnl"/>
              </w:rPr>
            </w:pPr>
            <w:bookmarkStart w:id="4" w:name="dsource" w:colFirst="0" w:colLast="0"/>
            <w:bookmarkEnd w:id="3"/>
            <w:r w:rsidRPr="008059D8">
              <w:rPr>
                <w:lang w:val="es-ES_tradnl"/>
              </w:rPr>
              <w:t xml:space="preserve">RESUMEN DE LOS </w:t>
            </w:r>
          </w:p>
          <w:p w14:paraId="523542BD" w14:textId="77777777" w:rsidR="00556446" w:rsidRPr="008059D8" w:rsidRDefault="00556446" w:rsidP="00696483">
            <w:pPr>
              <w:pStyle w:val="Title1"/>
              <w:framePr w:hSpace="0" w:wrap="auto" w:vAnchor="margin" w:hAnchor="text" w:yAlign="inline"/>
              <w:spacing w:before="120"/>
              <w:jc w:val="center"/>
              <w:rPr>
                <w:lang w:val="es-ES_tradnl"/>
              </w:rPr>
            </w:pPr>
            <w:r w:rsidRPr="002B7877">
              <w:rPr>
                <w:lang w:val="es-ES"/>
              </w:rPr>
              <w:t>DEBATES</w:t>
            </w:r>
            <w:r w:rsidRPr="008059D8">
              <w:rPr>
                <w:lang w:val="es-ES_tradnl"/>
              </w:rPr>
              <w:t xml:space="preserve"> DE LA </w:t>
            </w:r>
          </w:p>
          <w:p w14:paraId="42563F3F" w14:textId="3A96C983" w:rsidR="00B67CDA" w:rsidRPr="008059D8" w:rsidRDefault="00556446" w:rsidP="00556446">
            <w:pPr>
              <w:pStyle w:val="Source"/>
              <w:framePr w:hSpace="0" w:wrap="auto" w:vAnchor="margin" w:hAnchor="text" w:yAlign="inline"/>
              <w:spacing w:before="120"/>
              <w:jc w:val="center"/>
              <w:rPr>
                <w:lang w:val="es-ES_tradnl"/>
              </w:rPr>
            </w:pPr>
            <w:r w:rsidRPr="008059D8">
              <w:rPr>
                <w:b w:val="0"/>
                <w:lang w:val="es-ES_tradnl"/>
              </w:rPr>
              <w:t>SEXTA SESIÓN PLENARIA</w:t>
            </w:r>
          </w:p>
        </w:tc>
      </w:tr>
      <w:tr w:rsidR="00AD3606" w:rsidRPr="00F81DF3" w14:paraId="62B9C291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1C524F7" w14:textId="53C222CC" w:rsidR="00B67CDA" w:rsidRPr="008059D8" w:rsidRDefault="00AC246F">
            <w:pPr>
              <w:pStyle w:val="Subtitle"/>
              <w:framePr w:hSpace="0" w:wrap="auto" w:hAnchor="text" w:xAlign="left" w:yAlign="inline"/>
              <w:spacing w:after="240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  <w:bookmarkStart w:id="5" w:name="dtitle1" w:colFirst="0" w:colLast="0"/>
            <w:bookmarkEnd w:id="4"/>
            <w:r w:rsidRPr="008059D8">
              <w:rPr>
                <w:sz w:val="24"/>
                <w:szCs w:val="24"/>
                <w:lang w:val="es-ES_tradnl"/>
              </w:rPr>
              <w:t>Viernes, 21 de julio de 2023, de</w:t>
            </w:r>
            <w:r w:rsidR="00556446" w:rsidRPr="008059D8">
              <w:rPr>
                <w:sz w:val="24"/>
                <w:szCs w:val="24"/>
                <w:lang w:val="es-ES_tradnl"/>
              </w:rPr>
              <w:t xml:space="preserve"> las</w:t>
            </w:r>
            <w:r w:rsidRPr="008059D8">
              <w:rPr>
                <w:sz w:val="24"/>
                <w:szCs w:val="24"/>
                <w:lang w:val="es-ES_tradnl"/>
              </w:rPr>
              <w:t xml:space="preserve"> 11.15 a</w:t>
            </w:r>
            <w:r w:rsidR="00556446" w:rsidRPr="008059D8">
              <w:rPr>
                <w:sz w:val="24"/>
                <w:szCs w:val="24"/>
                <w:lang w:val="es-ES_tradnl"/>
              </w:rPr>
              <w:t xml:space="preserve"> las</w:t>
            </w:r>
            <w:r w:rsidRPr="008059D8">
              <w:rPr>
                <w:sz w:val="24"/>
                <w:szCs w:val="24"/>
                <w:lang w:val="es-ES_tradnl"/>
              </w:rPr>
              <w:t xml:space="preserve"> 12.05 horas</w:t>
            </w:r>
          </w:p>
          <w:p w14:paraId="0327B961" w14:textId="77777777" w:rsidR="00B67CDA" w:rsidRPr="008059D8" w:rsidRDefault="00AC246F">
            <w:pPr>
              <w:pStyle w:val="Subtitle"/>
              <w:framePr w:hSpace="0" w:wrap="auto" w:hAnchor="text" w:xAlign="left" w:yAlign="inline"/>
              <w:spacing w:after="240"/>
              <w:jc w:val="center"/>
              <w:rPr>
                <w:lang w:val="es-ES_tradnl"/>
              </w:rPr>
            </w:pPr>
            <w:r w:rsidRPr="008059D8">
              <w:rPr>
                <w:b/>
                <w:bCs/>
                <w:sz w:val="24"/>
                <w:szCs w:val="24"/>
                <w:lang w:val="es-ES_tradnl"/>
              </w:rPr>
              <w:t xml:space="preserve">Presidente: </w:t>
            </w:r>
            <w:r w:rsidRPr="008059D8">
              <w:rPr>
                <w:sz w:val="24"/>
                <w:szCs w:val="24"/>
                <w:lang w:val="es-ES_tradnl"/>
              </w:rPr>
              <w:t>Sr. C. MARTINEZ (Paraguay)</w:t>
            </w:r>
          </w:p>
        </w:tc>
      </w:tr>
      <w:tr w:rsidR="00AD3606" w:rsidRPr="008059D8" w14:paraId="59287389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tbl>
            <w:tblPr>
              <w:tblW w:w="9476" w:type="dxa"/>
              <w:tblLayout w:type="fixed"/>
              <w:tblLook w:val="0000" w:firstRow="0" w:lastRow="0" w:firstColumn="0" w:lastColumn="0" w:noHBand="0" w:noVBand="0"/>
            </w:tblPr>
            <w:tblGrid>
              <w:gridCol w:w="484"/>
              <w:gridCol w:w="6320"/>
              <w:gridCol w:w="2672"/>
            </w:tblGrid>
            <w:tr w:rsidR="00915F63" w:rsidRPr="008059D8" w14:paraId="2D0B4307" w14:textId="77777777" w:rsidTr="004367F0">
              <w:tc>
                <w:tcPr>
                  <w:tcW w:w="255" w:type="pct"/>
                </w:tcPr>
                <w:p w14:paraId="4F797EE7" w14:textId="77777777" w:rsidR="00DF2340" w:rsidRPr="008059D8" w:rsidRDefault="00DF2340" w:rsidP="00915F63">
                  <w:pPr>
                    <w:framePr w:hSpace="180" w:wrap="around" w:vAnchor="page" w:hAnchor="page" w:x="1821" w:y="2317"/>
                    <w:spacing w:before="480"/>
                    <w:rPr>
                      <w:b/>
                      <w:bCs/>
                      <w:sz w:val="22"/>
                      <w:szCs w:val="22"/>
                      <w:lang w:val="es-ES_tradnl"/>
                    </w:rPr>
                  </w:pPr>
                  <w:bookmarkStart w:id="6" w:name="_Hlk141438382"/>
                  <w:r w:rsidRPr="008059D8">
                    <w:rPr>
                      <w:b/>
                      <w:bCs/>
                      <w:sz w:val="22"/>
                      <w:szCs w:val="22"/>
                      <w:lang w:val="es-ES_tradnl"/>
                    </w:rPr>
                    <w:br w:type="page"/>
                  </w:r>
                  <w:r w:rsidRPr="008059D8">
                    <w:rPr>
                      <w:b/>
                      <w:bCs/>
                      <w:sz w:val="22"/>
                      <w:szCs w:val="22"/>
                      <w:lang w:val="es-ES_tradnl"/>
                    </w:rPr>
                    <w:br w:type="page"/>
                  </w:r>
                </w:p>
              </w:tc>
              <w:tc>
                <w:tcPr>
                  <w:tcW w:w="3335" w:type="pct"/>
                </w:tcPr>
                <w:p w14:paraId="25FF60B6" w14:textId="319F4044" w:rsidR="00B67CDA" w:rsidRPr="008059D8" w:rsidRDefault="00556446">
                  <w:pPr>
                    <w:framePr w:hSpace="180" w:wrap="around" w:vAnchor="page" w:hAnchor="page" w:x="1821" w:y="2317"/>
                    <w:spacing w:before="480" w:after="120"/>
                    <w:rPr>
                      <w:b/>
                      <w:bCs/>
                      <w:sz w:val="22"/>
                      <w:szCs w:val="22"/>
                      <w:lang w:val="es-ES_tradnl"/>
                    </w:rPr>
                  </w:pPr>
                  <w:r w:rsidRPr="008059D8">
                    <w:rPr>
                      <w:b/>
                      <w:bCs/>
                      <w:sz w:val="22"/>
                      <w:szCs w:val="22"/>
                      <w:lang w:val="es-ES_tradnl"/>
                    </w:rPr>
                    <w:t>Asuntos</w:t>
                  </w:r>
                  <w:r w:rsidR="00AC246F" w:rsidRPr="008059D8">
                    <w:rPr>
                      <w:b/>
                      <w:bCs/>
                      <w:sz w:val="22"/>
                      <w:szCs w:val="22"/>
                      <w:lang w:val="es-ES_tradnl"/>
                    </w:rPr>
                    <w:t xml:space="preserve"> tratados</w:t>
                  </w:r>
                </w:p>
              </w:tc>
              <w:tc>
                <w:tcPr>
                  <w:tcW w:w="1410" w:type="pct"/>
                </w:tcPr>
                <w:p w14:paraId="512DDF82" w14:textId="77777777" w:rsidR="00B67CDA" w:rsidRPr="008059D8" w:rsidRDefault="00AC246F">
                  <w:pPr>
                    <w:framePr w:hSpace="180" w:wrap="around" w:vAnchor="page" w:hAnchor="page" w:x="1821" w:y="2317"/>
                    <w:spacing w:before="480"/>
                    <w:jc w:val="center"/>
                    <w:rPr>
                      <w:b/>
                      <w:bCs/>
                      <w:sz w:val="22"/>
                      <w:szCs w:val="22"/>
                      <w:lang w:val="es-ES_tradnl"/>
                    </w:rPr>
                  </w:pPr>
                  <w:r w:rsidRPr="008059D8">
                    <w:rPr>
                      <w:b/>
                      <w:bCs/>
                      <w:sz w:val="22"/>
                      <w:szCs w:val="22"/>
                      <w:lang w:val="es-ES_tradnl"/>
                    </w:rPr>
                    <w:t>Documentos</w:t>
                  </w:r>
                </w:p>
              </w:tc>
            </w:tr>
            <w:tr w:rsidR="00100217" w:rsidRPr="008059D8" w14:paraId="1D44A2EC" w14:textId="77777777" w:rsidTr="004367F0">
              <w:trPr>
                <w:trHeight w:val="20"/>
              </w:trPr>
              <w:tc>
                <w:tcPr>
                  <w:tcW w:w="255" w:type="pct"/>
                </w:tcPr>
                <w:p w14:paraId="67E455AA" w14:textId="77777777" w:rsidR="00B67CDA" w:rsidRPr="008059D8" w:rsidRDefault="00AC246F">
                  <w:pPr>
                    <w:framePr w:hSpace="180" w:wrap="around" w:vAnchor="page" w:hAnchor="page" w:x="1821" w:y="2317"/>
                    <w:spacing w:before="80" w:after="80"/>
                    <w:rPr>
                      <w:sz w:val="22"/>
                      <w:szCs w:val="22"/>
                      <w:lang w:val="es-ES_tradnl"/>
                    </w:rPr>
                  </w:pPr>
                  <w:r w:rsidRPr="008059D8">
                    <w:rPr>
                      <w:sz w:val="22"/>
                      <w:szCs w:val="22"/>
                      <w:lang w:val="es-ES_tradnl"/>
                    </w:rPr>
                    <w:t>1</w:t>
                  </w:r>
                </w:p>
              </w:tc>
              <w:tc>
                <w:tcPr>
                  <w:tcW w:w="3335" w:type="pct"/>
                </w:tcPr>
                <w:p w14:paraId="3DB759FD" w14:textId="7E53B7D9" w:rsidR="00B67CDA" w:rsidRPr="008059D8" w:rsidRDefault="00AC246F">
                  <w:pPr>
                    <w:framePr w:hSpace="180" w:wrap="around" w:vAnchor="page" w:hAnchor="page" w:x="1821" w:y="2317"/>
                    <w:spacing w:before="80" w:after="80"/>
                    <w:rPr>
                      <w:rFonts w:asciiTheme="minorHAnsi" w:hAnsiTheme="minorHAnsi" w:cstheme="minorHAnsi"/>
                      <w:sz w:val="22"/>
                      <w:szCs w:val="22"/>
                      <w:lang w:val="es-ES_tradnl"/>
                    </w:rPr>
                  </w:pPr>
                  <w:r w:rsidRPr="008059D8">
                    <w:rPr>
                      <w:sz w:val="22"/>
                      <w:szCs w:val="22"/>
                      <w:lang w:val="es-ES_tradnl"/>
                    </w:rPr>
                    <w:t xml:space="preserve">Estrategia </w:t>
                  </w:r>
                  <w:r w:rsidR="00556446" w:rsidRPr="008059D8">
                    <w:rPr>
                      <w:sz w:val="22"/>
                      <w:szCs w:val="22"/>
                      <w:lang w:val="es-ES_tradnl"/>
                    </w:rPr>
                    <w:t>de</w:t>
                  </w:r>
                  <w:r w:rsidRPr="008059D8">
                    <w:rPr>
                      <w:sz w:val="22"/>
                      <w:szCs w:val="22"/>
                      <w:lang w:val="es-ES_tradnl"/>
                    </w:rPr>
                    <w:t xml:space="preserve"> coordinación de </w:t>
                  </w:r>
                  <w:r w:rsidR="00556446" w:rsidRPr="008059D8">
                    <w:rPr>
                      <w:sz w:val="22"/>
                      <w:szCs w:val="22"/>
                      <w:lang w:val="es-ES_tradnl"/>
                    </w:rPr>
                    <w:t>los trabajos de</w:t>
                  </w:r>
                  <w:r w:rsidRPr="008059D8">
                    <w:rPr>
                      <w:sz w:val="22"/>
                      <w:szCs w:val="22"/>
                      <w:lang w:val="es-ES_tradnl"/>
                    </w:rPr>
                    <w:t xml:space="preserve"> los tres </w:t>
                  </w:r>
                  <w:r w:rsidR="00556446" w:rsidRPr="008059D8">
                    <w:rPr>
                      <w:sz w:val="22"/>
                      <w:szCs w:val="22"/>
                      <w:lang w:val="es-ES_tradnl"/>
                    </w:rPr>
                    <w:t>S</w:t>
                  </w:r>
                  <w:r w:rsidRPr="008059D8">
                    <w:rPr>
                      <w:sz w:val="22"/>
                      <w:szCs w:val="22"/>
                      <w:lang w:val="es-ES_tradnl"/>
                    </w:rPr>
                    <w:t>ectores de la Unión (continuación)</w:t>
                  </w:r>
                </w:p>
              </w:tc>
              <w:tc>
                <w:tcPr>
                  <w:tcW w:w="1410" w:type="pct"/>
                </w:tcPr>
                <w:p w14:paraId="3E0402B9" w14:textId="77777777" w:rsidR="00B67CDA" w:rsidRPr="00F81DF3" w:rsidRDefault="00E462DB">
                  <w:pPr>
                    <w:framePr w:hSpace="180" w:wrap="around" w:vAnchor="page" w:hAnchor="page" w:x="1821" w:y="2317"/>
                    <w:tabs>
                      <w:tab w:val="clear" w:pos="567"/>
                      <w:tab w:val="clear" w:pos="1134"/>
                      <w:tab w:val="clear" w:pos="1701"/>
                      <w:tab w:val="clear" w:pos="2268"/>
                    </w:tabs>
                    <w:spacing w:before="80" w:after="80"/>
                    <w:ind w:left="-109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hyperlink r:id="rId8" w:history="1">
                    <w:r w:rsidR="00100217" w:rsidRPr="00F81DF3">
                      <w:rPr>
                        <w:rStyle w:val="Hyperlink"/>
                        <w:sz w:val="22"/>
                        <w:szCs w:val="22"/>
                      </w:rPr>
                      <w:t>C23/27</w:t>
                    </w:r>
                  </w:hyperlink>
                  <w:r w:rsidR="00100217" w:rsidRPr="00F81DF3">
                    <w:rPr>
                      <w:sz w:val="22"/>
                      <w:szCs w:val="22"/>
                    </w:rPr>
                    <w:t xml:space="preserve">, </w:t>
                  </w:r>
                  <w:hyperlink r:id="rId9" w:history="1">
                    <w:r w:rsidR="00100217" w:rsidRPr="00F81DF3">
                      <w:rPr>
                        <w:rStyle w:val="Hyperlink"/>
                        <w:sz w:val="22"/>
                        <w:szCs w:val="22"/>
                      </w:rPr>
                      <w:t>C23/72(Rev.1)+Corr.1</w:t>
                    </w:r>
                  </w:hyperlink>
                  <w:r w:rsidR="00100217" w:rsidRPr="00F81DF3">
                    <w:rPr>
                      <w:sz w:val="22"/>
                      <w:szCs w:val="22"/>
                    </w:rPr>
                    <w:t xml:space="preserve">, </w:t>
                  </w:r>
                  <w:hyperlink r:id="rId10" w:history="1">
                    <w:r w:rsidR="00100217" w:rsidRPr="00F81DF3">
                      <w:rPr>
                        <w:rStyle w:val="Hyperlink"/>
                        <w:sz w:val="22"/>
                        <w:szCs w:val="22"/>
                      </w:rPr>
                      <w:t>C23/79</w:t>
                    </w:r>
                  </w:hyperlink>
                </w:p>
              </w:tc>
            </w:tr>
            <w:tr w:rsidR="00100217" w:rsidRPr="008059D8" w14:paraId="57EB8A2E" w14:textId="77777777" w:rsidTr="00F45D96">
              <w:trPr>
                <w:trHeight w:val="20"/>
              </w:trPr>
              <w:tc>
                <w:tcPr>
                  <w:tcW w:w="255" w:type="pct"/>
                </w:tcPr>
                <w:p w14:paraId="3AE93572" w14:textId="77777777" w:rsidR="00B67CDA" w:rsidRPr="008059D8" w:rsidRDefault="00AC246F">
                  <w:pPr>
                    <w:framePr w:hSpace="180" w:wrap="around" w:vAnchor="page" w:hAnchor="page" w:x="1821" w:y="2317"/>
                    <w:spacing w:before="80" w:after="80"/>
                    <w:rPr>
                      <w:sz w:val="22"/>
                      <w:szCs w:val="22"/>
                      <w:lang w:val="es-ES_tradnl"/>
                    </w:rPr>
                  </w:pPr>
                  <w:r w:rsidRPr="008059D8">
                    <w:rPr>
                      <w:sz w:val="22"/>
                      <w:szCs w:val="22"/>
                      <w:lang w:val="es-ES_tradnl"/>
                    </w:rPr>
                    <w:t>2</w:t>
                  </w:r>
                </w:p>
              </w:tc>
              <w:tc>
                <w:tcPr>
                  <w:tcW w:w="3335" w:type="pct"/>
                </w:tcPr>
                <w:p w14:paraId="1FB41FC5" w14:textId="5335F255" w:rsidR="00B67CDA" w:rsidRPr="008059D8" w:rsidRDefault="00B61A2A">
                  <w:pPr>
                    <w:framePr w:hSpace="180" w:wrap="around" w:vAnchor="page" w:hAnchor="page" w:x="1821" w:y="2317"/>
                    <w:spacing w:before="80" w:after="80"/>
                    <w:rPr>
                      <w:rFonts w:asciiTheme="minorHAnsi" w:hAnsiTheme="minorHAnsi" w:cstheme="minorHAnsi"/>
                      <w:sz w:val="22"/>
                      <w:szCs w:val="22"/>
                      <w:lang w:val="es-ES_tradnl"/>
                    </w:rPr>
                  </w:pPr>
                  <w:r w:rsidRPr="008059D8">
                    <w:rPr>
                      <w:sz w:val="22"/>
                      <w:szCs w:val="22"/>
                      <w:lang w:val="es-ES_tradnl"/>
                    </w:rPr>
                    <w:t>Informe sobre la función de la UIT en la aplicación de los resultados de la CMSI y de la Agenda 2030 para el Desarrollo Sostenible, así como en sus procesos de seguimiento y examen (continuación)</w:t>
                  </w:r>
                </w:p>
              </w:tc>
              <w:tc>
                <w:tcPr>
                  <w:tcW w:w="1410" w:type="pct"/>
                </w:tcPr>
                <w:p w14:paraId="5C339BBC" w14:textId="77777777" w:rsidR="00B67CDA" w:rsidRPr="002B7877" w:rsidRDefault="00E462DB">
                  <w:pPr>
                    <w:framePr w:hSpace="180" w:wrap="around" w:vAnchor="page" w:hAnchor="page" w:x="1821" w:y="2317"/>
                    <w:tabs>
                      <w:tab w:val="clear" w:pos="567"/>
                      <w:tab w:val="clear" w:pos="1134"/>
                      <w:tab w:val="clear" w:pos="1701"/>
                      <w:tab w:val="clear" w:pos="2268"/>
                    </w:tabs>
                    <w:spacing w:before="80" w:after="80"/>
                    <w:ind w:right="17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hyperlink r:id="rId11" w:history="1">
                    <w:r w:rsidR="00100217" w:rsidRPr="002B7877">
                      <w:rPr>
                        <w:rStyle w:val="Hyperlink"/>
                        <w:sz w:val="22"/>
                        <w:szCs w:val="22"/>
                      </w:rPr>
                      <w:t>C23/61</w:t>
                    </w:r>
                  </w:hyperlink>
                  <w:r w:rsidR="00100217" w:rsidRPr="002B7877">
                    <w:rPr>
                      <w:sz w:val="22"/>
                      <w:szCs w:val="22"/>
                    </w:rPr>
                    <w:t xml:space="preserve">, </w:t>
                  </w:r>
                  <w:hyperlink r:id="rId12" w:history="1">
                    <w:r w:rsidR="00100217" w:rsidRPr="002B7877">
                      <w:rPr>
                        <w:rStyle w:val="Hyperlink"/>
                        <w:sz w:val="22"/>
                        <w:szCs w:val="22"/>
                      </w:rPr>
                      <w:t>C23/71</w:t>
                    </w:r>
                  </w:hyperlink>
                  <w:r w:rsidR="00100217" w:rsidRPr="002B7877">
                    <w:rPr>
                      <w:sz w:val="22"/>
                      <w:szCs w:val="22"/>
                    </w:rPr>
                    <w:t xml:space="preserve">, </w:t>
                  </w:r>
                  <w:hyperlink r:id="rId13" w:history="1">
                    <w:r w:rsidR="00100217" w:rsidRPr="002B7877">
                      <w:rPr>
                        <w:rStyle w:val="Hyperlink"/>
                        <w:sz w:val="22"/>
                        <w:szCs w:val="22"/>
                      </w:rPr>
                      <w:t>C23/81</w:t>
                    </w:r>
                  </w:hyperlink>
                  <w:r w:rsidR="00100217" w:rsidRPr="002B7877">
                    <w:rPr>
                      <w:sz w:val="22"/>
                      <w:szCs w:val="22"/>
                    </w:rPr>
                    <w:t xml:space="preserve">, </w:t>
                  </w:r>
                  <w:hyperlink r:id="rId14" w:history="1">
                    <w:r w:rsidR="00100217" w:rsidRPr="002B7877">
                      <w:rPr>
                        <w:rStyle w:val="Hyperlink"/>
                        <w:sz w:val="22"/>
                        <w:szCs w:val="22"/>
                      </w:rPr>
                      <w:t>C23/83</w:t>
                    </w:r>
                  </w:hyperlink>
                  <w:r w:rsidR="00100217" w:rsidRPr="002B7877">
                    <w:rPr>
                      <w:sz w:val="22"/>
                      <w:szCs w:val="22"/>
                    </w:rPr>
                    <w:t xml:space="preserve">, </w:t>
                  </w:r>
                  <w:hyperlink r:id="rId15" w:history="1">
                    <w:r w:rsidR="00100217" w:rsidRPr="002B7877">
                      <w:rPr>
                        <w:rStyle w:val="Hyperlink"/>
                        <w:sz w:val="22"/>
                        <w:szCs w:val="22"/>
                      </w:rPr>
                      <w:t>C23/85+Corr.1,2</w:t>
                    </w:r>
                  </w:hyperlink>
                  <w:r w:rsidR="00100217" w:rsidRPr="002B7877">
                    <w:rPr>
                      <w:sz w:val="22"/>
                      <w:szCs w:val="22"/>
                    </w:rPr>
                    <w:t xml:space="preserve">, </w:t>
                  </w:r>
                  <w:hyperlink r:id="rId16" w:history="1">
                    <w:r w:rsidR="00100217" w:rsidRPr="002B7877">
                      <w:rPr>
                        <w:rStyle w:val="Hyperlink"/>
                        <w:sz w:val="22"/>
                        <w:szCs w:val="22"/>
                      </w:rPr>
                      <w:t>C23/96</w:t>
                    </w:r>
                  </w:hyperlink>
                  <w:r w:rsidR="00100217" w:rsidRPr="002B7877">
                    <w:rPr>
                      <w:sz w:val="22"/>
                      <w:szCs w:val="22"/>
                    </w:rPr>
                    <w:t xml:space="preserve">, </w:t>
                  </w:r>
                  <w:hyperlink r:id="rId17" w:history="1">
                    <w:r w:rsidR="00100217" w:rsidRPr="002B7877">
                      <w:rPr>
                        <w:rStyle w:val="Hyperlink"/>
                        <w:sz w:val="22"/>
                        <w:szCs w:val="22"/>
                      </w:rPr>
                      <w:t>C23/DT/9</w:t>
                    </w:r>
                  </w:hyperlink>
                  <w:r w:rsidR="00100217" w:rsidRPr="002B7877">
                    <w:rPr>
                      <w:sz w:val="22"/>
                      <w:szCs w:val="22"/>
                    </w:rPr>
                    <w:t xml:space="preserve">, </w:t>
                  </w:r>
                  <w:hyperlink r:id="rId18" w:history="1">
                    <w:r w:rsidR="00100217" w:rsidRPr="002B7877">
                      <w:rPr>
                        <w:rStyle w:val="Hyperlink"/>
                        <w:sz w:val="22"/>
                        <w:szCs w:val="22"/>
                      </w:rPr>
                      <w:t>C23/DT/10</w:t>
                    </w:r>
                  </w:hyperlink>
                </w:p>
              </w:tc>
            </w:tr>
            <w:tr w:rsidR="00100217" w:rsidRPr="008059D8" w14:paraId="03AD913B" w14:textId="77777777" w:rsidTr="006B62A6">
              <w:trPr>
                <w:trHeight w:val="20"/>
              </w:trPr>
              <w:tc>
                <w:tcPr>
                  <w:tcW w:w="255" w:type="pct"/>
                </w:tcPr>
                <w:p w14:paraId="42EA6CF7" w14:textId="77777777" w:rsidR="00B67CDA" w:rsidRPr="008059D8" w:rsidRDefault="00AC246F">
                  <w:pPr>
                    <w:framePr w:hSpace="180" w:wrap="around" w:vAnchor="page" w:hAnchor="page" w:x="1821" w:y="2317"/>
                    <w:spacing w:before="80" w:after="80"/>
                    <w:rPr>
                      <w:sz w:val="22"/>
                      <w:szCs w:val="22"/>
                      <w:lang w:val="es-ES_tradnl"/>
                    </w:rPr>
                  </w:pPr>
                  <w:r w:rsidRPr="008059D8">
                    <w:rPr>
                      <w:sz w:val="22"/>
                      <w:szCs w:val="22"/>
                      <w:lang w:val="es-ES_tradnl"/>
                    </w:rPr>
                    <w:t>3</w:t>
                  </w:r>
                </w:p>
              </w:tc>
              <w:tc>
                <w:tcPr>
                  <w:tcW w:w="3335" w:type="pct"/>
                </w:tcPr>
                <w:p w14:paraId="36630843" w14:textId="77777777" w:rsidR="00B67CDA" w:rsidRPr="008059D8" w:rsidRDefault="00AC246F">
                  <w:pPr>
                    <w:framePr w:hSpace="180" w:wrap="around" w:vAnchor="page" w:hAnchor="page" w:x="1821" w:y="2317"/>
                    <w:spacing w:before="80" w:after="80"/>
                    <w:rPr>
                      <w:rFonts w:asciiTheme="minorHAnsi" w:hAnsiTheme="minorHAnsi" w:cstheme="minorHAnsi"/>
                      <w:sz w:val="22"/>
                      <w:szCs w:val="22"/>
                      <w:lang w:val="es-ES_tradnl"/>
                    </w:rPr>
                  </w:pPr>
                  <w:r w:rsidRPr="008059D8">
                    <w:rPr>
                      <w:sz w:val="22"/>
                      <w:szCs w:val="22"/>
                      <w:lang w:val="es-ES_tradnl"/>
                    </w:rPr>
                    <w:t xml:space="preserve">Declaración de Túnez sobre la Declaración de </w:t>
                  </w:r>
                  <w:proofErr w:type="spellStart"/>
                  <w:r w:rsidRPr="008059D8">
                    <w:rPr>
                      <w:sz w:val="22"/>
                      <w:szCs w:val="22"/>
                      <w:lang w:val="es-ES_tradnl"/>
                    </w:rPr>
                    <w:t>Djerba</w:t>
                  </w:r>
                  <w:proofErr w:type="spellEnd"/>
                  <w:r w:rsidRPr="008059D8">
                    <w:rPr>
                      <w:sz w:val="22"/>
                      <w:szCs w:val="22"/>
                      <w:lang w:val="es-ES_tradnl"/>
                    </w:rPr>
                    <w:t xml:space="preserve"> de la XVIII Conferencia de Jefes de Estado y de Gobierno de los países francófonos</w:t>
                  </w:r>
                </w:p>
              </w:tc>
              <w:tc>
                <w:tcPr>
                  <w:tcW w:w="1410" w:type="pct"/>
                </w:tcPr>
                <w:p w14:paraId="1040C597" w14:textId="77777777" w:rsidR="00B67CDA" w:rsidRPr="008059D8" w:rsidRDefault="00E462DB">
                  <w:pPr>
                    <w:framePr w:hSpace="180" w:wrap="around" w:vAnchor="page" w:hAnchor="page" w:x="1821" w:y="2317"/>
                    <w:tabs>
                      <w:tab w:val="clear" w:pos="567"/>
                      <w:tab w:val="clear" w:pos="1134"/>
                      <w:tab w:val="clear" w:pos="1701"/>
                      <w:tab w:val="clear" w:pos="2268"/>
                    </w:tabs>
                    <w:spacing w:before="80" w:after="8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s-ES_tradnl"/>
                    </w:rPr>
                  </w:pPr>
                  <w:hyperlink r:id="rId19" w:history="1">
                    <w:r w:rsidR="00100217" w:rsidRPr="008059D8">
                      <w:rPr>
                        <w:rStyle w:val="Hyperlink"/>
                        <w:sz w:val="22"/>
                        <w:szCs w:val="22"/>
                        <w:lang w:val="es-ES_tradnl"/>
                      </w:rPr>
                      <w:t>C23/INF/18</w:t>
                    </w:r>
                  </w:hyperlink>
                </w:p>
              </w:tc>
            </w:tr>
            <w:tr w:rsidR="00100217" w:rsidRPr="008059D8" w14:paraId="365094B8" w14:textId="77777777" w:rsidTr="004367F0">
              <w:trPr>
                <w:trHeight w:val="20"/>
              </w:trPr>
              <w:tc>
                <w:tcPr>
                  <w:tcW w:w="255" w:type="pct"/>
                </w:tcPr>
                <w:p w14:paraId="1FE8DDC4" w14:textId="77777777" w:rsidR="00B67CDA" w:rsidRPr="008059D8" w:rsidRDefault="00AC246F">
                  <w:pPr>
                    <w:framePr w:hSpace="180" w:wrap="around" w:vAnchor="page" w:hAnchor="page" w:x="1821" w:y="2317"/>
                    <w:spacing w:before="80" w:after="80"/>
                    <w:rPr>
                      <w:sz w:val="22"/>
                      <w:szCs w:val="22"/>
                      <w:lang w:val="es-ES_tradnl"/>
                    </w:rPr>
                  </w:pPr>
                  <w:r w:rsidRPr="008059D8">
                    <w:rPr>
                      <w:sz w:val="22"/>
                      <w:szCs w:val="22"/>
                      <w:lang w:val="es-ES_tradnl"/>
                    </w:rPr>
                    <w:t>4</w:t>
                  </w:r>
                </w:p>
              </w:tc>
              <w:tc>
                <w:tcPr>
                  <w:tcW w:w="3335" w:type="pct"/>
                </w:tcPr>
                <w:p w14:paraId="43906C9D" w14:textId="77777777" w:rsidR="00B67CDA" w:rsidRPr="008059D8" w:rsidRDefault="00AC246F">
                  <w:pPr>
                    <w:framePr w:hSpace="180" w:wrap="around" w:vAnchor="page" w:hAnchor="page" w:x="1821" w:y="2317"/>
                    <w:spacing w:before="80" w:after="80"/>
                    <w:rPr>
                      <w:rFonts w:asciiTheme="minorHAnsi" w:hAnsiTheme="minorHAnsi" w:cstheme="minorHAnsi"/>
                      <w:sz w:val="22"/>
                      <w:szCs w:val="22"/>
                      <w:lang w:val="es-ES_tradnl"/>
                    </w:rPr>
                  </w:pPr>
                  <w:r w:rsidRPr="008059D8">
                    <w:rPr>
                      <w:sz w:val="22"/>
                      <w:szCs w:val="22"/>
                      <w:lang w:val="es-ES_tradnl"/>
                    </w:rPr>
                    <w:t>Veinticinco años del programa de trabajo de la UIT sobre igualdad de género (continuación)</w:t>
                  </w:r>
                </w:p>
              </w:tc>
              <w:tc>
                <w:tcPr>
                  <w:tcW w:w="1410" w:type="pct"/>
                </w:tcPr>
                <w:p w14:paraId="16A396A8" w14:textId="77777777" w:rsidR="00B67CDA" w:rsidRPr="00F81DF3" w:rsidRDefault="00E462DB">
                  <w:pPr>
                    <w:framePr w:hSpace="180" w:wrap="around" w:vAnchor="page" w:hAnchor="page" w:x="1821" w:y="2317"/>
                    <w:tabs>
                      <w:tab w:val="clear" w:pos="567"/>
                      <w:tab w:val="clear" w:pos="1134"/>
                      <w:tab w:val="clear" w:pos="1701"/>
                      <w:tab w:val="clear" w:pos="2268"/>
                    </w:tabs>
                    <w:spacing w:before="80" w:after="8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hyperlink r:id="rId20" w:history="1">
                    <w:r w:rsidR="00100217" w:rsidRPr="00F81DF3">
                      <w:rPr>
                        <w:rStyle w:val="Hyperlink"/>
                        <w:sz w:val="22"/>
                        <w:szCs w:val="22"/>
                      </w:rPr>
                      <w:t>C23/6</w:t>
                    </w:r>
                  </w:hyperlink>
                  <w:r w:rsidR="00100217" w:rsidRPr="00F81DF3">
                    <w:rPr>
                      <w:sz w:val="22"/>
                      <w:szCs w:val="22"/>
                    </w:rPr>
                    <w:t xml:space="preserve">, </w:t>
                  </w:r>
                  <w:hyperlink r:id="rId21" w:history="1">
                    <w:r w:rsidR="00100217" w:rsidRPr="00F81DF3">
                      <w:rPr>
                        <w:rStyle w:val="Hyperlink"/>
                        <w:sz w:val="22"/>
                        <w:szCs w:val="22"/>
                      </w:rPr>
                      <w:t>C23/76(Rev.1)</w:t>
                    </w:r>
                  </w:hyperlink>
                  <w:r w:rsidR="00100217" w:rsidRPr="00F81DF3">
                    <w:rPr>
                      <w:sz w:val="22"/>
                      <w:szCs w:val="22"/>
                    </w:rPr>
                    <w:t xml:space="preserve">, </w:t>
                  </w:r>
                  <w:hyperlink r:id="rId22" w:history="1">
                    <w:r w:rsidR="00100217" w:rsidRPr="00F81DF3">
                      <w:rPr>
                        <w:rStyle w:val="Hyperlink"/>
                        <w:sz w:val="22"/>
                        <w:szCs w:val="22"/>
                      </w:rPr>
                      <w:t>C23/91(Rev.1)+Corr.1</w:t>
                    </w:r>
                  </w:hyperlink>
                </w:p>
              </w:tc>
            </w:tr>
            <w:tr w:rsidR="00100217" w:rsidRPr="008059D8" w14:paraId="7CF5A773" w14:textId="77777777" w:rsidTr="004367F0">
              <w:trPr>
                <w:trHeight w:val="20"/>
              </w:trPr>
              <w:tc>
                <w:tcPr>
                  <w:tcW w:w="255" w:type="pct"/>
                </w:tcPr>
                <w:p w14:paraId="1CD779C9" w14:textId="77777777" w:rsidR="00B67CDA" w:rsidRPr="008059D8" w:rsidRDefault="00AC246F">
                  <w:pPr>
                    <w:framePr w:hSpace="180" w:wrap="around" w:vAnchor="page" w:hAnchor="page" w:x="1821" w:y="2317"/>
                    <w:spacing w:before="80" w:after="80"/>
                    <w:rPr>
                      <w:sz w:val="22"/>
                      <w:szCs w:val="22"/>
                      <w:lang w:val="es-ES_tradnl"/>
                    </w:rPr>
                  </w:pPr>
                  <w:r w:rsidRPr="008059D8">
                    <w:rPr>
                      <w:sz w:val="22"/>
                      <w:szCs w:val="22"/>
                      <w:lang w:val="es-ES_tradnl"/>
                    </w:rPr>
                    <w:t>5</w:t>
                  </w:r>
                </w:p>
              </w:tc>
              <w:tc>
                <w:tcPr>
                  <w:tcW w:w="3335" w:type="pct"/>
                </w:tcPr>
                <w:p w14:paraId="1167C3D4" w14:textId="31CECADE" w:rsidR="00B67CDA" w:rsidRPr="008059D8" w:rsidRDefault="006F1845">
                  <w:pPr>
                    <w:framePr w:hSpace="180" w:wrap="around" w:vAnchor="page" w:hAnchor="page" w:x="1821" w:y="2317"/>
                    <w:spacing w:before="80" w:after="80"/>
                    <w:rPr>
                      <w:rFonts w:asciiTheme="minorHAnsi" w:hAnsiTheme="minorHAnsi" w:cstheme="minorHAnsi"/>
                      <w:sz w:val="22"/>
                      <w:szCs w:val="22"/>
                      <w:lang w:val="es-ES_tradnl"/>
                    </w:rPr>
                  </w:pPr>
                  <w:r w:rsidRPr="008059D8">
                    <w:rPr>
                      <w:sz w:val="22"/>
                      <w:szCs w:val="22"/>
                      <w:lang w:val="es-ES_tradnl"/>
                    </w:rPr>
                    <w:t>Resoluciones y Acuerdos obsoletos del Consejo</w:t>
                  </w:r>
                </w:p>
              </w:tc>
              <w:tc>
                <w:tcPr>
                  <w:tcW w:w="1410" w:type="pct"/>
                </w:tcPr>
                <w:p w14:paraId="54D04B25" w14:textId="77777777" w:rsidR="00B67CDA" w:rsidRPr="008059D8" w:rsidRDefault="00E462DB">
                  <w:pPr>
                    <w:framePr w:hSpace="180" w:wrap="around" w:vAnchor="page" w:hAnchor="page" w:x="1821" w:y="2317"/>
                    <w:tabs>
                      <w:tab w:val="clear" w:pos="567"/>
                      <w:tab w:val="clear" w:pos="1134"/>
                      <w:tab w:val="clear" w:pos="1701"/>
                      <w:tab w:val="clear" w:pos="2268"/>
                    </w:tabs>
                    <w:spacing w:before="80" w:after="80"/>
                    <w:ind w:left="-109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s-ES_tradnl"/>
                    </w:rPr>
                  </w:pPr>
                  <w:hyperlink r:id="rId23" w:history="1">
                    <w:r w:rsidR="00100217" w:rsidRPr="008059D8">
                      <w:rPr>
                        <w:rStyle w:val="Hyperlink"/>
                        <w:sz w:val="22"/>
                        <w:szCs w:val="22"/>
                        <w:lang w:val="es-ES_tradnl"/>
                      </w:rPr>
                      <w:t>C23/3(Rev.1)</w:t>
                    </w:r>
                  </w:hyperlink>
                </w:p>
              </w:tc>
            </w:tr>
            <w:bookmarkEnd w:id="6"/>
          </w:tbl>
          <w:p w14:paraId="65250B1E" w14:textId="77777777" w:rsidR="00AD3606" w:rsidRPr="008059D8" w:rsidRDefault="00AD3606" w:rsidP="00F16BAB">
            <w:pPr>
              <w:spacing w:after="160"/>
              <w:rPr>
                <w:lang w:val="es-ES_tradnl"/>
              </w:rPr>
            </w:pPr>
          </w:p>
        </w:tc>
      </w:tr>
      <w:bookmarkEnd w:id="5"/>
    </w:tbl>
    <w:p w14:paraId="7FE52F59" w14:textId="77777777" w:rsidR="0090147A" w:rsidRPr="008059D8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lang w:val="es-ES_tradnl"/>
        </w:rPr>
      </w:pPr>
      <w:r w:rsidRPr="008059D8">
        <w:rPr>
          <w:lang w:val="es-ES_tradnl"/>
        </w:rPr>
        <w:br w:type="page"/>
      </w:r>
    </w:p>
    <w:p w14:paraId="55DFADF2" w14:textId="765A4A6A" w:rsidR="00B67CDA" w:rsidRPr="008059D8" w:rsidRDefault="00AC246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ind w:left="567" w:hanging="567"/>
        <w:jc w:val="both"/>
        <w:rPr>
          <w:rFonts w:asciiTheme="minorHAnsi" w:hAnsiTheme="minorHAnsi"/>
          <w:b/>
          <w:bCs/>
          <w:szCs w:val="24"/>
          <w:lang w:val="es-ES_tradnl"/>
        </w:rPr>
      </w:pPr>
      <w:r w:rsidRPr="008059D8">
        <w:rPr>
          <w:rFonts w:asciiTheme="minorHAnsi" w:hAnsiTheme="minorHAnsi" w:cstheme="minorHAnsi"/>
          <w:b/>
          <w:bCs/>
          <w:szCs w:val="24"/>
          <w:lang w:val="es-ES_tradnl"/>
        </w:rPr>
        <w:lastRenderedPageBreak/>
        <w:t>1</w:t>
      </w:r>
      <w:r w:rsidRPr="008059D8">
        <w:rPr>
          <w:rFonts w:asciiTheme="minorHAnsi" w:hAnsiTheme="minorHAnsi" w:cstheme="minorHAnsi"/>
          <w:b/>
          <w:bCs/>
          <w:szCs w:val="24"/>
          <w:lang w:val="es-ES_tradnl"/>
        </w:rPr>
        <w:tab/>
      </w:r>
      <w:r w:rsidR="00556446" w:rsidRPr="008059D8">
        <w:rPr>
          <w:b/>
          <w:bCs/>
          <w:szCs w:val="24"/>
          <w:lang w:val="es-ES_tradnl"/>
        </w:rPr>
        <w:t>Estrategia de coordinación de los trabajos de los tres Sectores de la Unión (continuación)</w:t>
      </w:r>
      <w:r w:rsidRPr="008059D8">
        <w:rPr>
          <w:b/>
          <w:bCs/>
          <w:szCs w:val="24"/>
          <w:lang w:val="es-ES_tradnl"/>
        </w:rPr>
        <w:t xml:space="preserve"> (Documentos </w:t>
      </w:r>
      <w:hyperlink r:id="rId24" w:history="1">
        <w:r w:rsidRPr="008059D8">
          <w:rPr>
            <w:rStyle w:val="Hyperlink"/>
            <w:b/>
            <w:bCs/>
            <w:szCs w:val="24"/>
            <w:lang w:val="es-ES_tradnl"/>
          </w:rPr>
          <w:t>C23/27</w:t>
        </w:r>
      </w:hyperlink>
      <w:r w:rsidRPr="008059D8">
        <w:rPr>
          <w:b/>
          <w:bCs/>
          <w:szCs w:val="24"/>
          <w:lang w:val="es-ES_tradnl"/>
        </w:rPr>
        <w:t xml:space="preserve">, </w:t>
      </w:r>
      <w:hyperlink r:id="rId25" w:history="1">
        <w:r w:rsidRPr="008059D8">
          <w:rPr>
            <w:rStyle w:val="Hyperlink"/>
            <w:b/>
            <w:bCs/>
            <w:szCs w:val="24"/>
            <w:lang w:val="es-ES_tradnl"/>
          </w:rPr>
          <w:t>C23/72 (Rev.1)+Corr.1</w:t>
        </w:r>
      </w:hyperlink>
      <w:r w:rsidRPr="008059D8">
        <w:rPr>
          <w:b/>
          <w:bCs/>
          <w:szCs w:val="24"/>
          <w:lang w:val="es-ES_tradnl"/>
        </w:rPr>
        <w:t xml:space="preserve"> y </w:t>
      </w:r>
      <w:hyperlink r:id="rId26" w:history="1">
        <w:r w:rsidRPr="008059D8">
          <w:rPr>
            <w:rStyle w:val="Hyperlink"/>
            <w:b/>
            <w:bCs/>
            <w:szCs w:val="24"/>
            <w:lang w:val="es-ES_tradnl"/>
          </w:rPr>
          <w:t>C23/79</w:t>
        </w:r>
      </w:hyperlink>
      <w:r w:rsidRPr="008059D8">
        <w:rPr>
          <w:b/>
          <w:bCs/>
          <w:szCs w:val="24"/>
          <w:lang w:val="es-ES_tradnl"/>
        </w:rPr>
        <w:t>)</w:t>
      </w:r>
    </w:p>
    <w:p w14:paraId="0120FF26" w14:textId="17A1474D" w:rsidR="00B67CDA" w:rsidRPr="008059D8" w:rsidRDefault="00AC246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szCs w:val="24"/>
          <w:lang w:val="es-ES_tradnl"/>
        </w:rPr>
      </w:pPr>
      <w:r w:rsidRPr="008059D8">
        <w:rPr>
          <w:szCs w:val="24"/>
          <w:lang w:val="es-ES_tradnl"/>
        </w:rPr>
        <w:t>1.1</w:t>
      </w:r>
      <w:r w:rsidR="00556446" w:rsidRPr="008059D8">
        <w:rPr>
          <w:szCs w:val="24"/>
          <w:lang w:val="es-ES_tradnl"/>
        </w:rPr>
        <w:tab/>
      </w:r>
      <w:r w:rsidRPr="008059D8">
        <w:rPr>
          <w:szCs w:val="24"/>
          <w:lang w:val="es-ES_tradnl"/>
        </w:rPr>
        <w:t>El</w:t>
      </w:r>
      <w:r w:rsidR="0001133D" w:rsidRPr="008059D8">
        <w:rPr>
          <w:szCs w:val="24"/>
          <w:lang w:val="es-ES_tradnl"/>
        </w:rPr>
        <w:t xml:space="preserve"> </w:t>
      </w:r>
      <w:r w:rsidRPr="008059D8">
        <w:rPr>
          <w:szCs w:val="24"/>
          <w:lang w:val="es-ES_tradnl"/>
        </w:rPr>
        <w:t>representante de la Secretaría General agradec</w:t>
      </w:r>
      <w:r w:rsidR="0001133D" w:rsidRPr="008059D8">
        <w:rPr>
          <w:szCs w:val="24"/>
          <w:lang w:val="es-ES_tradnl"/>
        </w:rPr>
        <w:t>e</w:t>
      </w:r>
      <w:r w:rsidRPr="008059D8">
        <w:rPr>
          <w:szCs w:val="24"/>
          <w:lang w:val="es-ES_tradnl"/>
        </w:rPr>
        <w:t xml:space="preserve"> a los consejeros las observaciones formuladas en la sesión plenaria anterior, de las que se ha tomado nota para su futura consideración. A</w:t>
      </w:r>
      <w:r w:rsidR="0001133D" w:rsidRPr="008059D8">
        <w:rPr>
          <w:szCs w:val="24"/>
          <w:lang w:val="es-ES_tradnl"/>
        </w:rPr>
        <w:t xml:space="preserve"> fin de aportar</w:t>
      </w:r>
      <w:r w:rsidRPr="008059D8">
        <w:rPr>
          <w:szCs w:val="24"/>
          <w:lang w:val="es-ES_tradnl"/>
        </w:rPr>
        <w:t xml:space="preserve"> nuevas aclaraciones tras el debate anterior, </w:t>
      </w:r>
      <w:r w:rsidR="004039E7">
        <w:rPr>
          <w:szCs w:val="24"/>
          <w:lang w:val="es-ES_tradnl"/>
        </w:rPr>
        <w:t>destaca</w:t>
      </w:r>
      <w:r w:rsidRPr="008059D8">
        <w:rPr>
          <w:szCs w:val="24"/>
          <w:lang w:val="es-ES_tradnl"/>
        </w:rPr>
        <w:t xml:space="preserve"> que el Comité de Coordinación (</w:t>
      </w:r>
      <w:proofErr w:type="spellStart"/>
      <w:r w:rsidRPr="008059D8">
        <w:rPr>
          <w:szCs w:val="24"/>
          <w:lang w:val="es-ES_tradnl"/>
        </w:rPr>
        <w:t>CoCo</w:t>
      </w:r>
      <w:proofErr w:type="spellEnd"/>
      <w:r w:rsidRPr="008059D8">
        <w:rPr>
          <w:szCs w:val="24"/>
          <w:lang w:val="es-ES_tradnl"/>
        </w:rPr>
        <w:t xml:space="preserve">) </w:t>
      </w:r>
      <w:r w:rsidR="004039E7">
        <w:rPr>
          <w:szCs w:val="24"/>
          <w:lang w:val="es-ES_tradnl"/>
        </w:rPr>
        <w:t>sigue</w:t>
      </w:r>
      <w:r w:rsidR="0001133D" w:rsidRPr="008059D8">
        <w:rPr>
          <w:szCs w:val="24"/>
          <w:lang w:val="es-ES_tradnl"/>
        </w:rPr>
        <w:t xml:space="preserve"> siendo responsable de</w:t>
      </w:r>
      <w:r w:rsidRPr="008059D8">
        <w:rPr>
          <w:szCs w:val="24"/>
          <w:lang w:val="es-ES_tradnl"/>
        </w:rPr>
        <w:t xml:space="preserve"> la supervisión de todas las decisiones </w:t>
      </w:r>
      <w:r w:rsidR="0001133D" w:rsidRPr="008059D8">
        <w:rPr>
          <w:szCs w:val="24"/>
          <w:lang w:val="es-ES_tradnl"/>
        </w:rPr>
        <w:t xml:space="preserve">relativas a la </w:t>
      </w:r>
      <w:r w:rsidRPr="008059D8">
        <w:rPr>
          <w:szCs w:val="24"/>
          <w:lang w:val="es-ES_tradnl"/>
        </w:rPr>
        <w:t xml:space="preserve">coordinación intersectorial. </w:t>
      </w:r>
      <w:r w:rsidR="0001133D" w:rsidRPr="008059D8">
        <w:rPr>
          <w:szCs w:val="24"/>
          <w:lang w:val="es-ES_tradnl"/>
        </w:rPr>
        <w:t>El Grupo de Coordinación de la Gestión (GCG) dirigirá l</w:t>
      </w:r>
      <w:r w:rsidRPr="008059D8">
        <w:rPr>
          <w:szCs w:val="24"/>
          <w:lang w:val="es-ES_tradnl"/>
        </w:rPr>
        <w:t>a coordinación programática</w:t>
      </w:r>
      <w:r w:rsidR="0001133D" w:rsidRPr="008059D8">
        <w:rPr>
          <w:szCs w:val="24"/>
          <w:lang w:val="es-ES_tradnl"/>
        </w:rPr>
        <w:t xml:space="preserve"> y</w:t>
      </w:r>
      <w:r w:rsidRPr="008059D8">
        <w:rPr>
          <w:szCs w:val="24"/>
          <w:lang w:val="es-ES_tradnl"/>
        </w:rPr>
        <w:t xml:space="preserve"> continuaría la labor del </w:t>
      </w:r>
      <w:r w:rsidR="0001133D" w:rsidRPr="008059D8">
        <w:rPr>
          <w:szCs w:val="24"/>
          <w:lang w:val="es-ES_tradnl"/>
        </w:rPr>
        <w:t>Grupo Especial de Coordinación Intersectorial (GE-CIS)</w:t>
      </w:r>
      <w:r w:rsidRPr="008059D8">
        <w:rPr>
          <w:szCs w:val="24"/>
          <w:lang w:val="es-ES_tradnl"/>
        </w:rPr>
        <w:t>. El grupo D.2 se encargar</w:t>
      </w:r>
      <w:r w:rsidR="0001133D" w:rsidRPr="008059D8">
        <w:rPr>
          <w:szCs w:val="24"/>
          <w:lang w:val="es-ES_tradnl"/>
        </w:rPr>
        <w:t>á</w:t>
      </w:r>
      <w:r w:rsidRPr="008059D8">
        <w:rPr>
          <w:szCs w:val="24"/>
          <w:lang w:val="es-ES_tradnl"/>
        </w:rPr>
        <w:t xml:space="preserve"> de debatir las decisiones en materia de rendimiento y transformación a un nivel más informal, </w:t>
      </w:r>
      <w:r w:rsidR="004039E7">
        <w:rPr>
          <w:szCs w:val="24"/>
          <w:lang w:val="es-ES_tradnl"/>
        </w:rPr>
        <w:t>así como</w:t>
      </w:r>
      <w:r w:rsidRPr="008059D8">
        <w:rPr>
          <w:szCs w:val="24"/>
          <w:lang w:val="es-ES_tradnl"/>
        </w:rPr>
        <w:t xml:space="preserve"> de formular recomendaciones sobre cuestiones organizativas para someterlas a la consideración del </w:t>
      </w:r>
      <w:proofErr w:type="spellStart"/>
      <w:r w:rsidRPr="008059D8">
        <w:rPr>
          <w:szCs w:val="24"/>
          <w:lang w:val="es-ES_tradnl"/>
        </w:rPr>
        <w:t>CoCo</w:t>
      </w:r>
      <w:proofErr w:type="spellEnd"/>
      <w:r w:rsidRPr="008059D8">
        <w:rPr>
          <w:szCs w:val="24"/>
          <w:lang w:val="es-ES_tradnl"/>
        </w:rPr>
        <w:t xml:space="preserve">. Cabe señalar que el grupo D.2 no es una entidad nueva, sino que lleva </w:t>
      </w:r>
      <w:r w:rsidR="0001133D" w:rsidRPr="008059D8">
        <w:rPr>
          <w:szCs w:val="24"/>
          <w:lang w:val="es-ES_tradnl"/>
        </w:rPr>
        <w:t>operativa</w:t>
      </w:r>
      <w:r w:rsidRPr="008059D8">
        <w:rPr>
          <w:szCs w:val="24"/>
          <w:lang w:val="es-ES_tradnl"/>
        </w:rPr>
        <w:t xml:space="preserve"> desde 2008.</w:t>
      </w:r>
    </w:p>
    <w:p w14:paraId="69E90D4C" w14:textId="55A62E2E" w:rsidR="00B67CDA" w:rsidRPr="008059D8" w:rsidRDefault="00AC246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szCs w:val="24"/>
          <w:lang w:val="es-ES_tradnl"/>
        </w:rPr>
      </w:pPr>
      <w:r w:rsidRPr="008059D8">
        <w:rPr>
          <w:szCs w:val="24"/>
          <w:lang w:val="es-ES_tradnl"/>
        </w:rPr>
        <w:t>1.2</w:t>
      </w:r>
      <w:r w:rsidR="0001133D" w:rsidRPr="008059D8">
        <w:rPr>
          <w:szCs w:val="24"/>
          <w:lang w:val="es-ES_tradnl"/>
        </w:rPr>
        <w:tab/>
      </w:r>
      <w:r w:rsidRPr="008059D8">
        <w:rPr>
          <w:szCs w:val="24"/>
          <w:lang w:val="es-ES_tradnl"/>
        </w:rPr>
        <w:t>Un consejero</w:t>
      </w:r>
      <w:r w:rsidR="0001133D" w:rsidRPr="008059D8">
        <w:rPr>
          <w:szCs w:val="24"/>
          <w:lang w:val="es-ES_tradnl"/>
        </w:rPr>
        <w:t xml:space="preserve"> reitera</w:t>
      </w:r>
      <w:r w:rsidRPr="008059D8">
        <w:rPr>
          <w:szCs w:val="24"/>
          <w:lang w:val="es-ES_tradnl"/>
        </w:rPr>
        <w:t xml:space="preserve"> que en la Resolución 191 (Rev. Bucarest, 2022)</w:t>
      </w:r>
      <w:r w:rsidR="0001133D" w:rsidRPr="008059D8">
        <w:rPr>
          <w:szCs w:val="24"/>
          <w:lang w:val="es-ES_tradnl"/>
        </w:rPr>
        <w:t xml:space="preserve"> se hace referencia al GE-CIS y</w:t>
      </w:r>
      <w:r w:rsidRPr="008059D8">
        <w:rPr>
          <w:szCs w:val="24"/>
          <w:lang w:val="es-ES_tradnl"/>
        </w:rPr>
        <w:t>,</w:t>
      </w:r>
      <w:r w:rsidR="0001133D" w:rsidRPr="008059D8">
        <w:rPr>
          <w:szCs w:val="24"/>
          <w:lang w:val="es-ES_tradnl"/>
        </w:rPr>
        <w:t xml:space="preserve"> por tanto,</w:t>
      </w:r>
      <w:r w:rsidRPr="008059D8">
        <w:rPr>
          <w:szCs w:val="24"/>
          <w:lang w:val="es-ES_tradnl"/>
        </w:rPr>
        <w:t xml:space="preserve"> no cree que el Consejo tenga autoridad para eliminarlo en favor de un nuevo grupo (</w:t>
      </w:r>
      <w:r w:rsidR="0001133D" w:rsidRPr="008059D8">
        <w:rPr>
          <w:szCs w:val="24"/>
          <w:lang w:val="es-ES_tradnl"/>
        </w:rPr>
        <w:t>GCG</w:t>
      </w:r>
      <w:r w:rsidRPr="008059D8">
        <w:rPr>
          <w:szCs w:val="24"/>
          <w:lang w:val="es-ES_tradnl"/>
        </w:rPr>
        <w:t xml:space="preserve">). Las decisiones del Consejo deben </w:t>
      </w:r>
      <w:r w:rsidR="003A6CE4" w:rsidRPr="008059D8">
        <w:rPr>
          <w:szCs w:val="24"/>
          <w:lang w:val="es-ES_tradnl"/>
        </w:rPr>
        <w:t>ser acordes a</w:t>
      </w:r>
      <w:r w:rsidRPr="008059D8">
        <w:rPr>
          <w:szCs w:val="24"/>
          <w:lang w:val="es-ES_tradnl"/>
        </w:rPr>
        <w:t xml:space="preserve"> las </w:t>
      </w:r>
      <w:r w:rsidR="003A6CE4" w:rsidRPr="008059D8">
        <w:rPr>
          <w:szCs w:val="24"/>
          <w:lang w:val="es-ES_tradnl"/>
        </w:rPr>
        <w:t>R</w:t>
      </w:r>
      <w:r w:rsidRPr="008059D8">
        <w:rPr>
          <w:szCs w:val="24"/>
          <w:lang w:val="es-ES_tradnl"/>
        </w:rPr>
        <w:t xml:space="preserve">esoluciones de la Conferencia de Plenipotenciarios. </w:t>
      </w:r>
      <w:r w:rsidR="003A6CE4" w:rsidRPr="008059D8">
        <w:rPr>
          <w:szCs w:val="24"/>
          <w:lang w:val="es-ES_tradnl"/>
        </w:rPr>
        <w:t xml:space="preserve">Cabría presentar </w:t>
      </w:r>
      <w:r w:rsidRPr="008059D8">
        <w:rPr>
          <w:szCs w:val="24"/>
          <w:lang w:val="es-ES_tradnl"/>
        </w:rPr>
        <w:t xml:space="preserve">al Consejo, en su próxima reunión, una versión revisada del Documento C23/27 que se ajustara a </w:t>
      </w:r>
      <w:r w:rsidR="003A6CE4" w:rsidRPr="008059D8">
        <w:rPr>
          <w:szCs w:val="24"/>
          <w:lang w:val="es-ES_tradnl"/>
        </w:rPr>
        <w:t xml:space="preserve">lo dispuesto en </w:t>
      </w:r>
      <w:r w:rsidRPr="008059D8">
        <w:rPr>
          <w:szCs w:val="24"/>
          <w:lang w:val="es-ES_tradnl"/>
        </w:rPr>
        <w:t>la Resolución 191 (Rev. Bucarest, 2022).</w:t>
      </w:r>
    </w:p>
    <w:p w14:paraId="2CB01B2A" w14:textId="3193B21F" w:rsidR="00B67CDA" w:rsidRPr="008059D8" w:rsidRDefault="00AC246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szCs w:val="24"/>
          <w:lang w:val="es-ES_tradnl"/>
        </w:rPr>
      </w:pPr>
      <w:r w:rsidRPr="008059D8">
        <w:rPr>
          <w:szCs w:val="24"/>
          <w:lang w:val="es-ES_tradnl"/>
        </w:rPr>
        <w:t xml:space="preserve">1.3 </w:t>
      </w:r>
      <w:r w:rsidRPr="008059D8">
        <w:rPr>
          <w:szCs w:val="24"/>
          <w:lang w:val="es-ES_tradnl"/>
        </w:rPr>
        <w:tab/>
        <w:t>Un</w:t>
      </w:r>
      <w:r w:rsidR="003A6CE4" w:rsidRPr="008059D8">
        <w:rPr>
          <w:szCs w:val="24"/>
          <w:lang w:val="es-ES_tradnl"/>
        </w:rPr>
        <w:t>a</w:t>
      </w:r>
      <w:r w:rsidRPr="008059D8">
        <w:rPr>
          <w:szCs w:val="24"/>
          <w:lang w:val="es-ES_tradnl"/>
        </w:rPr>
        <w:t xml:space="preserve"> segund</w:t>
      </w:r>
      <w:r w:rsidR="003A6CE4" w:rsidRPr="008059D8">
        <w:rPr>
          <w:szCs w:val="24"/>
          <w:lang w:val="es-ES_tradnl"/>
        </w:rPr>
        <w:t>a</w:t>
      </w:r>
      <w:r w:rsidRPr="008059D8">
        <w:rPr>
          <w:szCs w:val="24"/>
          <w:lang w:val="es-ES_tradnl"/>
        </w:rPr>
        <w:t xml:space="preserve"> consejer</w:t>
      </w:r>
      <w:r w:rsidR="003A6CE4" w:rsidRPr="008059D8">
        <w:rPr>
          <w:szCs w:val="24"/>
          <w:lang w:val="es-ES_tradnl"/>
        </w:rPr>
        <w:t>a</w:t>
      </w:r>
      <w:r w:rsidRPr="008059D8">
        <w:rPr>
          <w:szCs w:val="24"/>
          <w:lang w:val="es-ES_tradnl"/>
        </w:rPr>
        <w:t xml:space="preserve"> coincid</w:t>
      </w:r>
      <w:r w:rsidR="003A6CE4" w:rsidRPr="008059D8">
        <w:rPr>
          <w:szCs w:val="24"/>
          <w:lang w:val="es-ES_tradnl"/>
        </w:rPr>
        <w:t>e</w:t>
      </w:r>
      <w:r w:rsidRPr="008059D8">
        <w:rPr>
          <w:szCs w:val="24"/>
          <w:lang w:val="es-ES_tradnl"/>
        </w:rPr>
        <w:t xml:space="preserve"> en que </w:t>
      </w:r>
      <w:r w:rsidR="003A6CE4" w:rsidRPr="008059D8">
        <w:rPr>
          <w:szCs w:val="24"/>
          <w:lang w:val="es-ES_tradnl"/>
        </w:rPr>
        <w:t>la sustitución del</w:t>
      </w:r>
      <w:r w:rsidRPr="008059D8">
        <w:rPr>
          <w:szCs w:val="24"/>
          <w:lang w:val="es-ES_tradnl"/>
        </w:rPr>
        <w:t xml:space="preserve"> </w:t>
      </w:r>
      <w:r w:rsidR="003A6CE4" w:rsidRPr="008059D8">
        <w:rPr>
          <w:szCs w:val="24"/>
          <w:lang w:val="es-ES_tradnl"/>
        </w:rPr>
        <w:t>GE-CIS contraviene lo dispuesto en l</w:t>
      </w:r>
      <w:r w:rsidRPr="008059D8">
        <w:rPr>
          <w:szCs w:val="24"/>
          <w:lang w:val="es-ES_tradnl"/>
        </w:rPr>
        <w:t xml:space="preserve">a Resolución 191 (Rev. Bucarest, 2022) y </w:t>
      </w:r>
      <w:r w:rsidR="003A6CE4" w:rsidRPr="008059D8">
        <w:rPr>
          <w:szCs w:val="24"/>
          <w:lang w:val="es-ES_tradnl"/>
        </w:rPr>
        <w:t>considera</w:t>
      </w:r>
      <w:r w:rsidRPr="008059D8">
        <w:rPr>
          <w:szCs w:val="24"/>
          <w:lang w:val="es-ES_tradnl"/>
        </w:rPr>
        <w:t xml:space="preserve"> que la planificación estratégica y la coordinación deb</w:t>
      </w:r>
      <w:r w:rsidR="003A6CE4" w:rsidRPr="008059D8">
        <w:rPr>
          <w:szCs w:val="24"/>
          <w:lang w:val="es-ES_tradnl"/>
        </w:rPr>
        <w:t>er</w:t>
      </w:r>
      <w:r w:rsidRPr="008059D8">
        <w:rPr>
          <w:szCs w:val="24"/>
          <w:lang w:val="es-ES_tradnl"/>
        </w:rPr>
        <w:t xml:space="preserve">ían seguir en manos del </w:t>
      </w:r>
      <w:r w:rsidR="003A6CE4" w:rsidRPr="008059D8">
        <w:rPr>
          <w:szCs w:val="24"/>
          <w:lang w:val="es-ES_tradnl"/>
        </w:rPr>
        <w:t>GE-CIS</w:t>
      </w:r>
      <w:r w:rsidRPr="008059D8">
        <w:rPr>
          <w:szCs w:val="24"/>
          <w:lang w:val="es-ES_tradnl"/>
        </w:rPr>
        <w:t>,</w:t>
      </w:r>
      <w:r w:rsidR="003A6CE4" w:rsidRPr="008059D8">
        <w:rPr>
          <w:szCs w:val="24"/>
          <w:lang w:val="es-ES_tradnl"/>
        </w:rPr>
        <w:t xml:space="preserve"> con las necesarias mejoras de ese </w:t>
      </w:r>
      <w:r w:rsidRPr="008059D8">
        <w:rPr>
          <w:szCs w:val="24"/>
          <w:lang w:val="es-ES_tradnl"/>
        </w:rPr>
        <w:t xml:space="preserve">órgano. En cuanto al grupo D.2, si </w:t>
      </w:r>
      <w:r w:rsidR="003A6CE4" w:rsidRPr="008059D8">
        <w:rPr>
          <w:szCs w:val="24"/>
          <w:lang w:val="es-ES_tradnl"/>
        </w:rPr>
        <w:t>se trata de</w:t>
      </w:r>
      <w:r w:rsidRPr="008059D8">
        <w:rPr>
          <w:szCs w:val="24"/>
          <w:lang w:val="es-ES_tradnl"/>
        </w:rPr>
        <w:t xml:space="preserve"> un canal de debate informal, debería existir un mecanismo para compartir la información que </w:t>
      </w:r>
      <w:r w:rsidR="003A6CE4" w:rsidRPr="008059D8">
        <w:rPr>
          <w:szCs w:val="24"/>
          <w:lang w:val="es-ES_tradnl"/>
        </w:rPr>
        <w:t xml:space="preserve">este </w:t>
      </w:r>
      <w:r w:rsidRPr="008059D8">
        <w:rPr>
          <w:szCs w:val="24"/>
          <w:lang w:val="es-ES_tradnl"/>
        </w:rPr>
        <w:t xml:space="preserve">examina sobre una base más amplia, y sus líneas </w:t>
      </w:r>
      <w:r w:rsidR="00A75600" w:rsidRPr="008059D8">
        <w:rPr>
          <w:szCs w:val="24"/>
          <w:lang w:val="es-ES_tradnl"/>
        </w:rPr>
        <w:t>jerárquicas</w:t>
      </w:r>
      <w:r w:rsidRPr="008059D8">
        <w:rPr>
          <w:szCs w:val="24"/>
          <w:lang w:val="es-ES_tradnl"/>
        </w:rPr>
        <w:t xml:space="preserve"> deb</w:t>
      </w:r>
      <w:r w:rsidR="00A75600" w:rsidRPr="008059D8">
        <w:rPr>
          <w:szCs w:val="24"/>
          <w:lang w:val="es-ES_tradnl"/>
        </w:rPr>
        <w:t>er</w:t>
      </w:r>
      <w:r w:rsidRPr="008059D8">
        <w:rPr>
          <w:szCs w:val="24"/>
          <w:lang w:val="es-ES_tradnl"/>
        </w:rPr>
        <w:t>ían aclararse para</w:t>
      </w:r>
      <w:r w:rsidR="00A75600" w:rsidRPr="008059D8">
        <w:rPr>
          <w:szCs w:val="24"/>
          <w:lang w:val="es-ES_tradnl"/>
        </w:rPr>
        <w:t xml:space="preserve"> </w:t>
      </w:r>
      <w:r w:rsidRPr="008059D8">
        <w:rPr>
          <w:szCs w:val="24"/>
          <w:lang w:val="es-ES_tradnl"/>
        </w:rPr>
        <w:t xml:space="preserve">evitar posibles conflictos con las líneas </w:t>
      </w:r>
      <w:r w:rsidR="00A75600" w:rsidRPr="008059D8">
        <w:rPr>
          <w:szCs w:val="24"/>
          <w:lang w:val="es-ES_tradnl"/>
        </w:rPr>
        <w:t>jerárquicas</w:t>
      </w:r>
      <w:r w:rsidRPr="008059D8">
        <w:rPr>
          <w:szCs w:val="24"/>
          <w:lang w:val="es-ES_tradnl"/>
        </w:rPr>
        <w:t xml:space="preserve"> formales </w:t>
      </w:r>
      <w:r w:rsidR="00A75600" w:rsidRPr="008059D8">
        <w:rPr>
          <w:szCs w:val="24"/>
          <w:lang w:val="es-ES_tradnl"/>
        </w:rPr>
        <w:t>que asciende</w:t>
      </w:r>
      <w:r w:rsidR="00ED2034">
        <w:rPr>
          <w:szCs w:val="24"/>
          <w:lang w:val="es-ES_tradnl"/>
        </w:rPr>
        <w:t>n</w:t>
      </w:r>
      <w:r w:rsidR="00A75600" w:rsidRPr="008059D8">
        <w:rPr>
          <w:szCs w:val="24"/>
          <w:lang w:val="es-ES_tradnl"/>
        </w:rPr>
        <w:t xml:space="preserve"> hast</w:t>
      </w:r>
      <w:r w:rsidRPr="008059D8">
        <w:rPr>
          <w:szCs w:val="24"/>
          <w:lang w:val="es-ES_tradnl"/>
        </w:rPr>
        <w:t xml:space="preserve">a los </w:t>
      </w:r>
      <w:proofErr w:type="gramStart"/>
      <w:r w:rsidRPr="008059D8">
        <w:rPr>
          <w:szCs w:val="24"/>
          <w:lang w:val="es-ES_tradnl"/>
        </w:rPr>
        <w:t>Directores</w:t>
      </w:r>
      <w:proofErr w:type="gramEnd"/>
      <w:r w:rsidRPr="008059D8">
        <w:rPr>
          <w:szCs w:val="24"/>
          <w:lang w:val="es-ES_tradnl"/>
        </w:rPr>
        <w:t xml:space="preserve"> de las Oficina</w:t>
      </w:r>
      <w:r w:rsidR="00F82D8D">
        <w:rPr>
          <w:szCs w:val="24"/>
          <w:lang w:val="es-ES_tradnl"/>
        </w:rPr>
        <w:t>s</w:t>
      </w:r>
      <w:r w:rsidR="00A75600" w:rsidRPr="008059D8">
        <w:rPr>
          <w:szCs w:val="24"/>
          <w:lang w:val="es-ES_tradnl"/>
        </w:rPr>
        <w:t>, entre otras cosas</w:t>
      </w:r>
      <w:r w:rsidRPr="008059D8">
        <w:rPr>
          <w:szCs w:val="24"/>
          <w:lang w:val="es-ES_tradnl"/>
        </w:rPr>
        <w:t>.</w:t>
      </w:r>
    </w:p>
    <w:p w14:paraId="7B0EF78A" w14:textId="067AB452" w:rsidR="00B67CDA" w:rsidRPr="008059D8" w:rsidRDefault="00AC246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szCs w:val="24"/>
          <w:lang w:val="es-ES_tradnl"/>
        </w:rPr>
      </w:pPr>
      <w:r w:rsidRPr="008059D8">
        <w:rPr>
          <w:szCs w:val="24"/>
          <w:lang w:val="es-ES_tradnl"/>
        </w:rPr>
        <w:t>1.4</w:t>
      </w:r>
      <w:r w:rsidR="003A6CE4" w:rsidRPr="008059D8">
        <w:rPr>
          <w:szCs w:val="24"/>
          <w:lang w:val="es-ES_tradnl"/>
        </w:rPr>
        <w:tab/>
      </w:r>
      <w:r w:rsidRPr="008059D8">
        <w:rPr>
          <w:szCs w:val="24"/>
          <w:lang w:val="es-ES_tradnl"/>
        </w:rPr>
        <w:t>Un</w:t>
      </w:r>
      <w:r w:rsidR="00A75600" w:rsidRPr="008059D8">
        <w:rPr>
          <w:szCs w:val="24"/>
          <w:lang w:val="es-ES_tradnl"/>
        </w:rPr>
        <w:t xml:space="preserve"> </w:t>
      </w:r>
      <w:r w:rsidRPr="008059D8">
        <w:rPr>
          <w:szCs w:val="24"/>
          <w:lang w:val="es-ES_tradnl"/>
        </w:rPr>
        <w:t xml:space="preserve">consejero, si bien aprecia las explicaciones de la secretaría sobre </w:t>
      </w:r>
      <w:r w:rsidR="004C442E" w:rsidRPr="008059D8">
        <w:rPr>
          <w:szCs w:val="24"/>
          <w:lang w:val="es-ES_tradnl"/>
        </w:rPr>
        <w:t>la forma en que</w:t>
      </w:r>
      <w:r w:rsidRPr="008059D8">
        <w:rPr>
          <w:szCs w:val="24"/>
          <w:lang w:val="es-ES_tradnl"/>
        </w:rPr>
        <w:t xml:space="preserve"> la estrategia deriva de</w:t>
      </w:r>
      <w:r w:rsidR="004C442E" w:rsidRPr="008059D8">
        <w:rPr>
          <w:szCs w:val="24"/>
          <w:lang w:val="es-ES_tradnl"/>
        </w:rPr>
        <w:t>l sistema de</w:t>
      </w:r>
      <w:r w:rsidRPr="008059D8">
        <w:rPr>
          <w:szCs w:val="24"/>
          <w:lang w:val="es-ES_tradnl"/>
        </w:rPr>
        <w:t xml:space="preserve"> coordinación históric</w:t>
      </w:r>
      <w:r w:rsidR="004C442E" w:rsidRPr="008059D8">
        <w:rPr>
          <w:szCs w:val="24"/>
          <w:lang w:val="es-ES_tradnl"/>
        </w:rPr>
        <w:t>o</w:t>
      </w:r>
      <w:r w:rsidRPr="008059D8">
        <w:rPr>
          <w:szCs w:val="24"/>
          <w:lang w:val="es-ES_tradnl"/>
        </w:rPr>
        <w:t xml:space="preserve">, comprende las </w:t>
      </w:r>
      <w:r w:rsidR="004C442E" w:rsidRPr="008059D8">
        <w:rPr>
          <w:szCs w:val="24"/>
          <w:lang w:val="es-ES_tradnl"/>
        </w:rPr>
        <w:t>inquietudes</w:t>
      </w:r>
      <w:r w:rsidRPr="008059D8">
        <w:rPr>
          <w:szCs w:val="24"/>
          <w:lang w:val="es-ES_tradnl"/>
        </w:rPr>
        <w:t xml:space="preserve"> planteadas</w:t>
      </w:r>
      <w:r w:rsidR="004C442E" w:rsidRPr="008059D8">
        <w:rPr>
          <w:szCs w:val="24"/>
          <w:lang w:val="es-ES_tradnl"/>
        </w:rPr>
        <w:t xml:space="preserve"> en cuanto</w:t>
      </w:r>
      <w:r w:rsidRPr="008059D8">
        <w:rPr>
          <w:szCs w:val="24"/>
          <w:lang w:val="es-ES_tradnl"/>
        </w:rPr>
        <w:t xml:space="preserve"> la coherencia con las resoluciones y la claridad sobre el papel informal del grupo D.2. Así pues, esas cuestiones deberían remitirse al </w:t>
      </w:r>
      <w:r w:rsidR="004C442E" w:rsidRPr="008059D8">
        <w:rPr>
          <w:szCs w:val="24"/>
          <w:lang w:val="es-ES_tradnl"/>
        </w:rPr>
        <w:t>Grupo de Trabajo del Consejo sobre recursos humanos y financieros (GTC-RHF)</w:t>
      </w:r>
      <w:r w:rsidRPr="008059D8">
        <w:rPr>
          <w:szCs w:val="24"/>
          <w:lang w:val="es-ES_tradnl"/>
        </w:rPr>
        <w:t xml:space="preserve"> para su </w:t>
      </w:r>
      <w:r w:rsidR="004C442E" w:rsidRPr="008059D8">
        <w:rPr>
          <w:szCs w:val="24"/>
          <w:lang w:val="es-ES_tradnl"/>
        </w:rPr>
        <w:t>concreción</w:t>
      </w:r>
      <w:r w:rsidRPr="008059D8">
        <w:rPr>
          <w:szCs w:val="24"/>
          <w:lang w:val="es-ES_tradnl"/>
        </w:rPr>
        <w:t xml:space="preserve">. </w:t>
      </w:r>
    </w:p>
    <w:p w14:paraId="083B6ECF" w14:textId="2A8972A4" w:rsidR="00B67CDA" w:rsidRPr="008059D8" w:rsidRDefault="00AC246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szCs w:val="24"/>
          <w:lang w:val="es-ES_tradnl"/>
        </w:rPr>
      </w:pPr>
      <w:r w:rsidRPr="008059D8">
        <w:rPr>
          <w:szCs w:val="24"/>
          <w:lang w:val="es-ES_tradnl"/>
        </w:rPr>
        <w:t>1.5</w:t>
      </w:r>
      <w:r w:rsidR="004C442E" w:rsidRPr="008059D8">
        <w:rPr>
          <w:szCs w:val="24"/>
          <w:lang w:val="es-ES_tradnl"/>
        </w:rPr>
        <w:tab/>
      </w:r>
      <w:r w:rsidRPr="008059D8">
        <w:rPr>
          <w:szCs w:val="24"/>
          <w:lang w:val="es-ES_tradnl"/>
        </w:rPr>
        <w:t>Un consejero</w:t>
      </w:r>
      <w:r w:rsidR="004C442E" w:rsidRPr="008059D8">
        <w:rPr>
          <w:szCs w:val="24"/>
          <w:lang w:val="es-ES_tradnl"/>
        </w:rPr>
        <w:t xml:space="preserve"> solicita que se elaboren</w:t>
      </w:r>
      <w:r w:rsidRPr="008059D8">
        <w:rPr>
          <w:szCs w:val="24"/>
          <w:lang w:val="es-ES_tradnl"/>
        </w:rPr>
        <w:t xml:space="preserve"> informes más precisos sobre los tres ámbitos temáticos, con objetivos, metas e indicadores </w:t>
      </w:r>
      <w:r w:rsidR="004C442E" w:rsidRPr="008059D8">
        <w:rPr>
          <w:szCs w:val="24"/>
          <w:lang w:val="es-ES_tradnl"/>
        </w:rPr>
        <w:t>fundamentales de rendimiento</w:t>
      </w:r>
      <w:r w:rsidRPr="008059D8">
        <w:rPr>
          <w:szCs w:val="24"/>
          <w:lang w:val="es-ES_tradnl"/>
        </w:rPr>
        <w:t xml:space="preserve"> </w:t>
      </w:r>
      <w:r w:rsidR="004C442E" w:rsidRPr="008059D8">
        <w:rPr>
          <w:szCs w:val="24"/>
          <w:lang w:val="es-ES_tradnl"/>
        </w:rPr>
        <w:t xml:space="preserve">claros, </w:t>
      </w:r>
      <w:r w:rsidRPr="008059D8">
        <w:rPr>
          <w:szCs w:val="24"/>
          <w:lang w:val="es-ES_tradnl"/>
        </w:rPr>
        <w:t>que permit</w:t>
      </w:r>
      <w:r w:rsidR="004C442E" w:rsidRPr="008059D8">
        <w:rPr>
          <w:szCs w:val="24"/>
          <w:lang w:val="es-ES_tradnl"/>
        </w:rPr>
        <w:t>a</w:t>
      </w:r>
      <w:r w:rsidRPr="008059D8">
        <w:rPr>
          <w:szCs w:val="24"/>
          <w:lang w:val="es-ES_tradnl"/>
        </w:rPr>
        <w:t>n al Consejo evaluar</w:t>
      </w:r>
      <w:r w:rsidR="004C442E" w:rsidRPr="008059D8">
        <w:rPr>
          <w:szCs w:val="24"/>
          <w:lang w:val="es-ES_tradnl"/>
        </w:rPr>
        <w:t xml:space="preserve"> los avances logrados en </w:t>
      </w:r>
      <w:r w:rsidRPr="008059D8">
        <w:rPr>
          <w:szCs w:val="24"/>
          <w:lang w:val="es-ES_tradnl"/>
        </w:rPr>
        <w:t>la aplicación de la estrategia intersectorial.</w:t>
      </w:r>
    </w:p>
    <w:p w14:paraId="6B16B079" w14:textId="4B04793A" w:rsidR="00B67CDA" w:rsidRPr="008059D8" w:rsidRDefault="00AC246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szCs w:val="24"/>
          <w:lang w:val="es-ES_tradnl"/>
        </w:rPr>
      </w:pPr>
      <w:r w:rsidRPr="008059D8">
        <w:rPr>
          <w:szCs w:val="24"/>
          <w:lang w:val="es-ES_tradnl"/>
        </w:rPr>
        <w:t>1.6</w:t>
      </w:r>
      <w:r w:rsidR="004C442E" w:rsidRPr="008059D8">
        <w:rPr>
          <w:szCs w:val="24"/>
          <w:lang w:val="es-ES_tradnl"/>
        </w:rPr>
        <w:tab/>
      </w:r>
      <w:r w:rsidRPr="008059D8">
        <w:rPr>
          <w:szCs w:val="24"/>
          <w:lang w:val="es-ES_tradnl"/>
        </w:rPr>
        <w:t>El</w:t>
      </w:r>
      <w:r w:rsidR="004C442E" w:rsidRPr="008059D8">
        <w:rPr>
          <w:szCs w:val="24"/>
          <w:lang w:val="es-ES_tradnl"/>
        </w:rPr>
        <w:t xml:space="preserve"> </w:t>
      </w:r>
      <w:r w:rsidRPr="008059D8">
        <w:rPr>
          <w:szCs w:val="24"/>
          <w:lang w:val="es-ES_tradnl"/>
        </w:rPr>
        <w:t xml:space="preserve">representante de la Secretaría General </w:t>
      </w:r>
      <w:r w:rsidR="004C442E" w:rsidRPr="008059D8">
        <w:rPr>
          <w:szCs w:val="24"/>
          <w:lang w:val="es-ES_tradnl"/>
        </w:rPr>
        <w:t xml:space="preserve">afirma que se ha tomado </w:t>
      </w:r>
      <w:r w:rsidRPr="008059D8">
        <w:rPr>
          <w:szCs w:val="24"/>
          <w:lang w:val="es-ES_tradnl"/>
        </w:rPr>
        <w:t>debida nota de</w:t>
      </w:r>
      <w:r w:rsidR="004C442E" w:rsidRPr="008059D8">
        <w:rPr>
          <w:szCs w:val="24"/>
          <w:lang w:val="es-ES_tradnl"/>
        </w:rPr>
        <w:t xml:space="preserve"> las inquietudes</w:t>
      </w:r>
      <w:r w:rsidRPr="008059D8">
        <w:rPr>
          <w:szCs w:val="24"/>
          <w:lang w:val="es-ES_tradnl"/>
        </w:rPr>
        <w:t xml:space="preserve"> de los consejeros y que la </w:t>
      </w:r>
      <w:r w:rsidR="004C442E" w:rsidRPr="008059D8">
        <w:rPr>
          <w:szCs w:val="24"/>
          <w:lang w:val="es-ES_tradnl"/>
        </w:rPr>
        <w:t>s</w:t>
      </w:r>
      <w:r w:rsidRPr="008059D8">
        <w:rPr>
          <w:szCs w:val="24"/>
          <w:lang w:val="es-ES_tradnl"/>
        </w:rPr>
        <w:t>ecretaría informar</w:t>
      </w:r>
      <w:r w:rsidR="004C442E" w:rsidRPr="008059D8">
        <w:rPr>
          <w:szCs w:val="24"/>
          <w:lang w:val="es-ES_tradnl"/>
        </w:rPr>
        <w:t>á</w:t>
      </w:r>
      <w:r w:rsidRPr="008059D8">
        <w:rPr>
          <w:szCs w:val="24"/>
          <w:lang w:val="es-ES_tradnl"/>
        </w:rPr>
        <w:t xml:space="preserve"> al Consejo y al </w:t>
      </w:r>
      <w:r w:rsidR="004C442E" w:rsidRPr="008059D8">
        <w:rPr>
          <w:szCs w:val="24"/>
          <w:lang w:val="es-ES_tradnl"/>
        </w:rPr>
        <w:t>GTC-RHF</w:t>
      </w:r>
      <w:r w:rsidRPr="008059D8">
        <w:rPr>
          <w:szCs w:val="24"/>
          <w:lang w:val="es-ES_tradnl"/>
        </w:rPr>
        <w:t xml:space="preserve"> sobre la adecuación del nuevo mecanismo a la Resolución 191 (Rev. Bucarest, 2022). </w:t>
      </w:r>
    </w:p>
    <w:p w14:paraId="607CF16A" w14:textId="55C4B9DB" w:rsidR="00B67CDA" w:rsidRPr="008059D8" w:rsidRDefault="00AC246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b/>
          <w:bCs/>
          <w:szCs w:val="24"/>
          <w:lang w:val="es-ES_tradnl"/>
        </w:rPr>
      </w:pPr>
      <w:r w:rsidRPr="008059D8">
        <w:rPr>
          <w:szCs w:val="24"/>
          <w:lang w:val="es-ES_tradnl"/>
        </w:rPr>
        <w:t>1.7</w:t>
      </w:r>
      <w:r w:rsidRPr="008059D8">
        <w:rPr>
          <w:szCs w:val="24"/>
          <w:lang w:val="es-ES_tradnl"/>
        </w:rPr>
        <w:tab/>
        <w:t>Al no haber más comentarios, y a la luz del debate sobre los documentos</w:t>
      </w:r>
      <w:r w:rsidR="004C442E" w:rsidRPr="008059D8">
        <w:rPr>
          <w:szCs w:val="24"/>
          <w:lang w:val="es-ES_tradnl"/>
        </w:rPr>
        <w:t xml:space="preserve"> incluidos en</w:t>
      </w:r>
      <w:r w:rsidRPr="008059D8">
        <w:rPr>
          <w:szCs w:val="24"/>
          <w:lang w:val="es-ES_tradnl"/>
        </w:rPr>
        <w:t xml:space="preserve"> este punto del orden del día, el Presidente invit</w:t>
      </w:r>
      <w:r w:rsidR="004C442E" w:rsidRPr="008059D8">
        <w:rPr>
          <w:szCs w:val="24"/>
          <w:lang w:val="es-ES_tradnl"/>
        </w:rPr>
        <w:t>a</w:t>
      </w:r>
      <w:r w:rsidRPr="008059D8">
        <w:rPr>
          <w:szCs w:val="24"/>
          <w:lang w:val="es-ES_tradnl"/>
        </w:rPr>
        <w:t xml:space="preserve"> al Consejo a </w:t>
      </w:r>
      <w:r w:rsidR="00EB5A2F" w:rsidRPr="008059D8">
        <w:rPr>
          <w:szCs w:val="24"/>
          <w:lang w:val="es-ES_tradnl"/>
        </w:rPr>
        <w:t xml:space="preserve">transmitir </w:t>
      </w:r>
      <w:r w:rsidRPr="008059D8">
        <w:rPr>
          <w:szCs w:val="24"/>
          <w:lang w:val="es-ES_tradnl"/>
        </w:rPr>
        <w:t xml:space="preserve">el Documento C23/27 al </w:t>
      </w:r>
      <w:r w:rsidR="004C442E" w:rsidRPr="008059D8">
        <w:rPr>
          <w:szCs w:val="24"/>
          <w:lang w:val="es-ES_tradnl"/>
        </w:rPr>
        <w:t>GTC-RHF</w:t>
      </w:r>
      <w:r w:rsidRPr="008059D8">
        <w:rPr>
          <w:szCs w:val="24"/>
          <w:lang w:val="es-ES_tradnl"/>
        </w:rPr>
        <w:t>.</w:t>
      </w:r>
    </w:p>
    <w:p w14:paraId="20679D54" w14:textId="437D2F2E" w:rsidR="00B67CDA" w:rsidRPr="008059D8" w:rsidRDefault="00AC246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szCs w:val="24"/>
          <w:lang w:val="es-ES_tradnl"/>
        </w:rPr>
      </w:pPr>
      <w:r w:rsidRPr="008059D8">
        <w:rPr>
          <w:szCs w:val="24"/>
          <w:lang w:val="es-ES_tradnl"/>
        </w:rPr>
        <w:t>1.8</w:t>
      </w:r>
      <w:r w:rsidR="004C442E" w:rsidRPr="008059D8">
        <w:rPr>
          <w:szCs w:val="24"/>
          <w:lang w:val="es-ES_tradnl"/>
        </w:rPr>
        <w:tab/>
      </w:r>
      <w:r w:rsidRPr="008059D8">
        <w:rPr>
          <w:szCs w:val="24"/>
          <w:lang w:val="es-ES_tradnl"/>
        </w:rPr>
        <w:t xml:space="preserve">Así </w:t>
      </w:r>
      <w:r w:rsidR="004C442E" w:rsidRPr="008059D8">
        <w:rPr>
          <w:b/>
          <w:bCs/>
          <w:szCs w:val="24"/>
          <w:lang w:val="es-ES_tradnl"/>
        </w:rPr>
        <w:t xml:space="preserve">se </w:t>
      </w:r>
      <w:r w:rsidRPr="008059D8">
        <w:rPr>
          <w:b/>
          <w:bCs/>
          <w:szCs w:val="24"/>
          <w:lang w:val="es-ES_tradnl"/>
        </w:rPr>
        <w:t>ac</w:t>
      </w:r>
      <w:r w:rsidR="004C442E" w:rsidRPr="008059D8">
        <w:rPr>
          <w:b/>
          <w:bCs/>
          <w:szCs w:val="24"/>
          <w:lang w:val="es-ES_tradnl"/>
        </w:rPr>
        <w:t>uerda</w:t>
      </w:r>
      <w:r w:rsidRPr="008059D8">
        <w:rPr>
          <w:szCs w:val="24"/>
          <w:lang w:val="es-ES_tradnl"/>
        </w:rPr>
        <w:t xml:space="preserve">. </w:t>
      </w:r>
    </w:p>
    <w:p w14:paraId="420B5996" w14:textId="79B93F31" w:rsidR="00B67CDA" w:rsidRPr="008059D8" w:rsidRDefault="00AC246F" w:rsidP="00F82D8D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 w:after="120"/>
        <w:ind w:left="567" w:hanging="567"/>
        <w:jc w:val="both"/>
        <w:rPr>
          <w:b/>
          <w:bCs/>
          <w:szCs w:val="24"/>
          <w:lang w:val="es-ES_tradnl"/>
        </w:rPr>
      </w:pPr>
      <w:bookmarkStart w:id="7" w:name="_Hlk141616906"/>
      <w:r w:rsidRPr="008059D8">
        <w:rPr>
          <w:b/>
          <w:bCs/>
          <w:szCs w:val="24"/>
          <w:lang w:val="es-ES_tradnl"/>
        </w:rPr>
        <w:lastRenderedPageBreak/>
        <w:t>2</w:t>
      </w:r>
      <w:r w:rsidR="004C442E" w:rsidRPr="008059D8">
        <w:rPr>
          <w:b/>
          <w:bCs/>
          <w:szCs w:val="24"/>
          <w:lang w:val="es-ES_tradnl"/>
        </w:rPr>
        <w:tab/>
      </w:r>
      <w:r w:rsidRPr="008059D8">
        <w:rPr>
          <w:b/>
          <w:bCs/>
          <w:szCs w:val="24"/>
          <w:lang w:val="es-ES_tradnl"/>
        </w:rPr>
        <w:t>Informe</w:t>
      </w:r>
      <w:r w:rsidR="004C442E" w:rsidRPr="008059D8">
        <w:rPr>
          <w:b/>
          <w:bCs/>
          <w:szCs w:val="24"/>
          <w:lang w:val="es-ES_tradnl"/>
        </w:rPr>
        <w:t xml:space="preserve"> </w:t>
      </w:r>
      <w:r w:rsidRPr="008059D8">
        <w:rPr>
          <w:b/>
          <w:bCs/>
          <w:szCs w:val="24"/>
          <w:lang w:val="es-ES_tradnl"/>
        </w:rPr>
        <w:t xml:space="preserve">sobre </w:t>
      </w:r>
      <w:r w:rsidR="00B61A2A" w:rsidRPr="008059D8">
        <w:rPr>
          <w:b/>
          <w:bCs/>
          <w:szCs w:val="24"/>
          <w:lang w:val="es-ES_tradnl"/>
        </w:rPr>
        <w:t>la función</w:t>
      </w:r>
      <w:r w:rsidRPr="008059D8">
        <w:rPr>
          <w:b/>
          <w:bCs/>
          <w:szCs w:val="24"/>
          <w:lang w:val="es-ES_tradnl"/>
        </w:rPr>
        <w:t xml:space="preserve"> de la UIT en la aplicación de los resultados de la CMSI y </w:t>
      </w:r>
      <w:r w:rsidR="00B61A2A" w:rsidRPr="008059D8">
        <w:rPr>
          <w:b/>
          <w:bCs/>
          <w:szCs w:val="24"/>
          <w:lang w:val="es-ES_tradnl"/>
        </w:rPr>
        <w:t xml:space="preserve">de </w:t>
      </w:r>
      <w:r w:rsidRPr="008059D8">
        <w:rPr>
          <w:b/>
          <w:bCs/>
          <w:szCs w:val="24"/>
          <w:lang w:val="es-ES_tradnl"/>
        </w:rPr>
        <w:t>la</w:t>
      </w:r>
      <w:r w:rsidR="00F82D8D">
        <w:rPr>
          <w:b/>
          <w:bCs/>
          <w:szCs w:val="24"/>
          <w:lang w:val="es-ES_tradnl"/>
        </w:rPr>
        <w:t> </w:t>
      </w:r>
      <w:r w:rsidRPr="008059D8">
        <w:rPr>
          <w:b/>
          <w:bCs/>
          <w:szCs w:val="24"/>
          <w:lang w:val="es-ES_tradnl"/>
        </w:rPr>
        <w:t>Agenda 2030 para el Desarrollo Sostenible, así como en su</w:t>
      </w:r>
      <w:r w:rsidR="00B61A2A" w:rsidRPr="008059D8">
        <w:rPr>
          <w:b/>
          <w:bCs/>
          <w:szCs w:val="24"/>
          <w:lang w:val="es-ES_tradnl"/>
        </w:rPr>
        <w:t>s</w:t>
      </w:r>
      <w:r w:rsidRPr="008059D8">
        <w:rPr>
          <w:b/>
          <w:bCs/>
          <w:szCs w:val="24"/>
          <w:lang w:val="es-ES_tradnl"/>
        </w:rPr>
        <w:t xml:space="preserve"> proceso</w:t>
      </w:r>
      <w:r w:rsidR="00B61A2A" w:rsidRPr="008059D8">
        <w:rPr>
          <w:b/>
          <w:bCs/>
          <w:szCs w:val="24"/>
          <w:lang w:val="es-ES_tradnl"/>
        </w:rPr>
        <w:t>s</w:t>
      </w:r>
      <w:r w:rsidRPr="008059D8">
        <w:rPr>
          <w:b/>
          <w:bCs/>
          <w:szCs w:val="24"/>
          <w:lang w:val="es-ES_tradnl"/>
        </w:rPr>
        <w:t xml:space="preserve"> de seguimiento</w:t>
      </w:r>
      <w:r w:rsidR="00F82D8D">
        <w:rPr>
          <w:b/>
          <w:bCs/>
          <w:szCs w:val="24"/>
          <w:lang w:val="es-ES_tradnl"/>
        </w:rPr>
        <w:t> </w:t>
      </w:r>
      <w:r w:rsidRPr="008059D8">
        <w:rPr>
          <w:b/>
          <w:bCs/>
          <w:szCs w:val="24"/>
          <w:lang w:val="es-ES_tradnl"/>
        </w:rPr>
        <w:t xml:space="preserve">y examen (continuación) (Documentos </w:t>
      </w:r>
      <w:hyperlink r:id="rId27" w:history="1">
        <w:r w:rsidRPr="008059D8">
          <w:rPr>
            <w:rStyle w:val="Hyperlink"/>
            <w:b/>
            <w:bCs/>
            <w:szCs w:val="24"/>
            <w:lang w:val="es-ES_tradnl"/>
          </w:rPr>
          <w:t>C23/61</w:t>
        </w:r>
      </w:hyperlink>
      <w:r w:rsidRPr="008059D8">
        <w:rPr>
          <w:b/>
          <w:bCs/>
          <w:szCs w:val="24"/>
          <w:lang w:val="es-ES_tradnl"/>
        </w:rPr>
        <w:t xml:space="preserve">, </w:t>
      </w:r>
      <w:hyperlink r:id="rId28" w:history="1">
        <w:r w:rsidRPr="008059D8">
          <w:rPr>
            <w:rStyle w:val="Hyperlink"/>
            <w:b/>
            <w:bCs/>
            <w:szCs w:val="24"/>
            <w:lang w:val="es-ES_tradnl"/>
          </w:rPr>
          <w:t>C23/71</w:t>
        </w:r>
      </w:hyperlink>
      <w:r w:rsidRPr="008059D8">
        <w:rPr>
          <w:b/>
          <w:bCs/>
          <w:szCs w:val="24"/>
          <w:lang w:val="es-ES_tradnl"/>
        </w:rPr>
        <w:t xml:space="preserve">, </w:t>
      </w:r>
      <w:hyperlink r:id="rId29" w:history="1">
        <w:r w:rsidRPr="008059D8">
          <w:rPr>
            <w:rStyle w:val="Hyperlink"/>
            <w:b/>
            <w:bCs/>
            <w:szCs w:val="24"/>
            <w:lang w:val="es-ES_tradnl"/>
          </w:rPr>
          <w:t>C23/81</w:t>
        </w:r>
      </w:hyperlink>
      <w:r w:rsidRPr="008059D8">
        <w:rPr>
          <w:b/>
          <w:bCs/>
          <w:szCs w:val="24"/>
          <w:lang w:val="es-ES_tradnl"/>
        </w:rPr>
        <w:t xml:space="preserve">, </w:t>
      </w:r>
      <w:hyperlink r:id="rId30" w:history="1">
        <w:r w:rsidRPr="008059D8">
          <w:rPr>
            <w:rStyle w:val="Hyperlink"/>
            <w:b/>
            <w:bCs/>
            <w:szCs w:val="24"/>
            <w:lang w:val="es-ES_tradnl"/>
          </w:rPr>
          <w:t>C23/83</w:t>
        </w:r>
      </w:hyperlink>
      <w:r w:rsidRPr="008059D8">
        <w:rPr>
          <w:b/>
          <w:bCs/>
          <w:szCs w:val="24"/>
          <w:lang w:val="es-ES_tradnl"/>
        </w:rPr>
        <w:t xml:space="preserve">, </w:t>
      </w:r>
      <w:hyperlink r:id="rId31" w:history="1">
        <w:r w:rsidRPr="008059D8">
          <w:rPr>
            <w:rStyle w:val="Hyperlink"/>
            <w:b/>
            <w:bCs/>
            <w:szCs w:val="24"/>
            <w:lang w:val="es-ES_tradnl"/>
          </w:rPr>
          <w:t>C23/85+Corr. 1 y 2</w:t>
        </w:r>
      </w:hyperlink>
      <w:r w:rsidRPr="008059D8">
        <w:rPr>
          <w:b/>
          <w:bCs/>
          <w:szCs w:val="24"/>
          <w:lang w:val="es-ES_tradnl"/>
        </w:rPr>
        <w:t xml:space="preserve">, </w:t>
      </w:r>
      <w:hyperlink r:id="rId32" w:history="1">
        <w:r w:rsidRPr="008059D8">
          <w:rPr>
            <w:rStyle w:val="Hyperlink"/>
            <w:b/>
            <w:bCs/>
            <w:szCs w:val="24"/>
            <w:lang w:val="es-ES_tradnl"/>
          </w:rPr>
          <w:t>C23/96</w:t>
        </w:r>
      </w:hyperlink>
      <w:r w:rsidRPr="008059D8">
        <w:rPr>
          <w:b/>
          <w:bCs/>
          <w:szCs w:val="24"/>
          <w:lang w:val="es-ES_tradnl"/>
        </w:rPr>
        <w:t xml:space="preserve">, </w:t>
      </w:r>
      <w:hyperlink r:id="rId33" w:history="1">
        <w:r w:rsidRPr="008059D8">
          <w:rPr>
            <w:rStyle w:val="Hyperlink"/>
            <w:b/>
            <w:bCs/>
            <w:szCs w:val="24"/>
            <w:lang w:val="es-ES_tradnl"/>
          </w:rPr>
          <w:t>C23/DT/9</w:t>
        </w:r>
      </w:hyperlink>
      <w:r w:rsidRPr="008059D8">
        <w:rPr>
          <w:b/>
          <w:bCs/>
          <w:szCs w:val="24"/>
          <w:lang w:val="es-ES_tradnl"/>
        </w:rPr>
        <w:t xml:space="preserve"> y </w:t>
      </w:r>
      <w:hyperlink r:id="rId34" w:history="1">
        <w:r w:rsidRPr="008059D8">
          <w:rPr>
            <w:rStyle w:val="Hyperlink"/>
            <w:b/>
            <w:bCs/>
            <w:szCs w:val="24"/>
            <w:lang w:val="es-ES_tradnl"/>
          </w:rPr>
          <w:t>C23/DT/10</w:t>
        </w:r>
      </w:hyperlink>
      <w:r w:rsidRPr="008059D8">
        <w:rPr>
          <w:b/>
          <w:bCs/>
          <w:szCs w:val="24"/>
          <w:lang w:val="es-ES_tradnl"/>
        </w:rPr>
        <w:t>)</w:t>
      </w:r>
    </w:p>
    <w:bookmarkEnd w:id="7"/>
    <w:p w14:paraId="4878A090" w14:textId="53D48C96" w:rsidR="00B67CDA" w:rsidRPr="008059D8" w:rsidRDefault="00AC246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szCs w:val="24"/>
          <w:lang w:val="es-ES_tradnl"/>
        </w:rPr>
      </w:pPr>
      <w:r w:rsidRPr="008059D8">
        <w:rPr>
          <w:szCs w:val="24"/>
          <w:lang w:val="es-ES_tradnl"/>
        </w:rPr>
        <w:t>2.1</w:t>
      </w:r>
      <w:r w:rsidR="00B61A2A" w:rsidRPr="008059D8">
        <w:rPr>
          <w:szCs w:val="24"/>
          <w:lang w:val="es-ES_tradnl"/>
        </w:rPr>
        <w:tab/>
      </w:r>
      <w:r w:rsidRPr="008059D8">
        <w:rPr>
          <w:szCs w:val="24"/>
          <w:lang w:val="es-ES_tradnl"/>
        </w:rPr>
        <w:t>El</w:t>
      </w:r>
      <w:r w:rsidR="00B61A2A" w:rsidRPr="008059D8">
        <w:rPr>
          <w:szCs w:val="24"/>
          <w:lang w:val="es-ES_tradnl"/>
        </w:rPr>
        <w:t xml:space="preserve"> </w:t>
      </w:r>
      <w:r w:rsidRPr="008059D8">
        <w:rPr>
          <w:szCs w:val="24"/>
          <w:lang w:val="es-ES_tradnl"/>
        </w:rPr>
        <w:t>consejero de Arabia Saudita</w:t>
      </w:r>
      <w:r w:rsidR="00B61A2A" w:rsidRPr="008059D8">
        <w:rPr>
          <w:szCs w:val="24"/>
          <w:lang w:val="es-ES_tradnl"/>
        </w:rPr>
        <w:t xml:space="preserve">, tras facilitar información </w:t>
      </w:r>
      <w:r w:rsidRPr="008059D8">
        <w:rPr>
          <w:szCs w:val="24"/>
          <w:lang w:val="es-ES_tradnl"/>
        </w:rPr>
        <w:t>sobre el resultado de los debates</w:t>
      </w:r>
      <w:r w:rsidR="00B61A2A" w:rsidRPr="008059D8">
        <w:rPr>
          <w:szCs w:val="24"/>
          <w:lang w:val="es-ES_tradnl"/>
        </w:rPr>
        <w:t xml:space="preserve"> celebrados</w:t>
      </w:r>
      <w:r w:rsidRPr="008059D8">
        <w:rPr>
          <w:szCs w:val="24"/>
          <w:lang w:val="es-ES_tradnl"/>
        </w:rPr>
        <w:t xml:space="preserve"> en un grupo ad hoc </w:t>
      </w:r>
      <w:r w:rsidR="00B61A2A" w:rsidRPr="008059D8">
        <w:rPr>
          <w:szCs w:val="24"/>
          <w:lang w:val="es-ES_tradnl"/>
        </w:rPr>
        <w:t xml:space="preserve">a partir de </w:t>
      </w:r>
      <w:r w:rsidRPr="008059D8">
        <w:rPr>
          <w:szCs w:val="24"/>
          <w:lang w:val="es-ES_tradnl"/>
        </w:rPr>
        <w:t xml:space="preserve">las cinco contribuciones presentadas en </w:t>
      </w:r>
      <w:r w:rsidR="00B61A2A" w:rsidRPr="008059D8">
        <w:rPr>
          <w:szCs w:val="24"/>
          <w:lang w:val="es-ES_tradnl"/>
        </w:rPr>
        <w:t>el marco de</w:t>
      </w:r>
      <w:r w:rsidRPr="008059D8">
        <w:rPr>
          <w:szCs w:val="24"/>
          <w:lang w:val="es-ES_tradnl"/>
        </w:rPr>
        <w:t xml:space="preserve"> e</w:t>
      </w:r>
      <w:r w:rsidR="00B61A2A" w:rsidRPr="008059D8">
        <w:rPr>
          <w:szCs w:val="24"/>
          <w:lang w:val="es-ES_tradnl"/>
        </w:rPr>
        <w:t>ste</w:t>
      </w:r>
      <w:r w:rsidRPr="008059D8">
        <w:rPr>
          <w:szCs w:val="24"/>
          <w:lang w:val="es-ES_tradnl"/>
        </w:rPr>
        <w:t xml:space="preserve"> punto del orden del día, present</w:t>
      </w:r>
      <w:r w:rsidR="00B61A2A" w:rsidRPr="008059D8">
        <w:rPr>
          <w:szCs w:val="24"/>
          <w:lang w:val="es-ES_tradnl"/>
        </w:rPr>
        <w:t>a</w:t>
      </w:r>
      <w:r w:rsidRPr="008059D8">
        <w:rPr>
          <w:szCs w:val="24"/>
          <w:lang w:val="es-ES_tradnl"/>
        </w:rPr>
        <w:t xml:space="preserve"> el Documento C23/DT/9, que cont</w:t>
      </w:r>
      <w:r w:rsidR="00B61A2A" w:rsidRPr="008059D8">
        <w:rPr>
          <w:szCs w:val="24"/>
          <w:lang w:val="es-ES_tradnl"/>
        </w:rPr>
        <w:t>iene</w:t>
      </w:r>
      <w:r w:rsidRPr="008059D8">
        <w:rPr>
          <w:szCs w:val="24"/>
          <w:lang w:val="es-ES_tradnl"/>
        </w:rPr>
        <w:t xml:space="preserve"> una propuesta de revisión de la Resolución </w:t>
      </w:r>
      <w:r w:rsidR="00B61A2A" w:rsidRPr="008059D8">
        <w:rPr>
          <w:szCs w:val="24"/>
          <w:lang w:val="es-ES_tradnl"/>
        </w:rPr>
        <w:t xml:space="preserve">1334 (C11, modificada por última vez C15) </w:t>
      </w:r>
      <w:r w:rsidRPr="008059D8">
        <w:rPr>
          <w:szCs w:val="24"/>
          <w:lang w:val="es-ES_tradnl"/>
        </w:rPr>
        <w:t>del Consejo, y el Documento C23/DT/10, que cont</w:t>
      </w:r>
      <w:r w:rsidR="00B61A2A" w:rsidRPr="008059D8">
        <w:rPr>
          <w:szCs w:val="24"/>
          <w:lang w:val="es-ES_tradnl"/>
        </w:rPr>
        <w:t>iene</w:t>
      </w:r>
      <w:r w:rsidRPr="008059D8">
        <w:rPr>
          <w:szCs w:val="24"/>
          <w:lang w:val="es-ES_tradnl"/>
        </w:rPr>
        <w:t xml:space="preserve"> una propuesta de revisión de la Resolución </w:t>
      </w:r>
      <w:r w:rsidR="00B61A2A" w:rsidRPr="008059D8">
        <w:rPr>
          <w:szCs w:val="24"/>
          <w:lang w:val="es-ES_tradnl"/>
        </w:rPr>
        <w:t xml:space="preserve">1332 (C11, modificada por última vez C19) </w:t>
      </w:r>
      <w:r w:rsidRPr="008059D8">
        <w:rPr>
          <w:szCs w:val="24"/>
          <w:lang w:val="es-ES_tradnl"/>
        </w:rPr>
        <w:t>del Consejo. El Grupo ad hoc ha</w:t>
      </w:r>
      <w:r w:rsidR="00B61A2A" w:rsidRPr="008059D8">
        <w:rPr>
          <w:szCs w:val="24"/>
          <w:lang w:val="es-ES_tradnl"/>
        </w:rPr>
        <w:t xml:space="preserve"> alcanzado </w:t>
      </w:r>
      <w:r w:rsidRPr="008059D8">
        <w:rPr>
          <w:szCs w:val="24"/>
          <w:lang w:val="es-ES_tradnl"/>
        </w:rPr>
        <w:t xml:space="preserve">un consenso </w:t>
      </w:r>
      <w:r w:rsidR="00B61A2A" w:rsidRPr="008059D8">
        <w:rPr>
          <w:szCs w:val="24"/>
          <w:lang w:val="es-ES_tradnl"/>
        </w:rPr>
        <w:t>en torno a</w:t>
      </w:r>
      <w:r w:rsidRPr="008059D8">
        <w:rPr>
          <w:szCs w:val="24"/>
          <w:lang w:val="es-ES_tradnl"/>
        </w:rPr>
        <w:t xml:space="preserve"> </w:t>
      </w:r>
      <w:r w:rsidR="00B61A2A" w:rsidRPr="008059D8">
        <w:rPr>
          <w:szCs w:val="24"/>
          <w:lang w:val="es-ES_tradnl"/>
        </w:rPr>
        <w:t>est</w:t>
      </w:r>
      <w:r w:rsidRPr="008059D8">
        <w:rPr>
          <w:szCs w:val="24"/>
          <w:lang w:val="es-ES_tradnl"/>
        </w:rPr>
        <w:t>os documentos, que se someten a la aprobación de</w:t>
      </w:r>
      <w:r w:rsidR="00B61A2A" w:rsidRPr="008059D8">
        <w:rPr>
          <w:szCs w:val="24"/>
          <w:lang w:val="es-ES_tradnl"/>
        </w:rPr>
        <w:t xml:space="preserve"> </w:t>
      </w:r>
      <w:r w:rsidRPr="008059D8">
        <w:rPr>
          <w:szCs w:val="24"/>
          <w:lang w:val="es-ES_tradnl"/>
        </w:rPr>
        <w:t>l</w:t>
      </w:r>
      <w:r w:rsidR="00B61A2A" w:rsidRPr="008059D8">
        <w:rPr>
          <w:szCs w:val="24"/>
          <w:lang w:val="es-ES_tradnl"/>
        </w:rPr>
        <w:t>a</w:t>
      </w:r>
      <w:r w:rsidRPr="008059D8">
        <w:rPr>
          <w:szCs w:val="24"/>
          <w:lang w:val="es-ES_tradnl"/>
        </w:rPr>
        <w:t xml:space="preserve"> Plen</w:t>
      </w:r>
      <w:r w:rsidR="00B61A2A" w:rsidRPr="008059D8">
        <w:rPr>
          <w:szCs w:val="24"/>
          <w:lang w:val="es-ES_tradnl"/>
        </w:rPr>
        <w:t>aria</w:t>
      </w:r>
      <w:r w:rsidRPr="008059D8">
        <w:rPr>
          <w:szCs w:val="24"/>
          <w:lang w:val="es-ES_tradnl"/>
        </w:rPr>
        <w:t xml:space="preserve">. </w:t>
      </w:r>
    </w:p>
    <w:p w14:paraId="56B4A2AE" w14:textId="4C4B8047" w:rsidR="00B67CDA" w:rsidRPr="008059D8" w:rsidRDefault="00AC246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rFonts w:cs="Calibri"/>
          <w:szCs w:val="24"/>
          <w:lang w:val="es-ES_tradnl"/>
        </w:rPr>
      </w:pPr>
      <w:r w:rsidRPr="008059D8">
        <w:rPr>
          <w:rFonts w:cs="Calibri"/>
          <w:szCs w:val="24"/>
          <w:lang w:val="es-ES_tradnl"/>
        </w:rPr>
        <w:t>2.2</w:t>
      </w:r>
      <w:r w:rsidR="00B61A2A" w:rsidRPr="008059D8">
        <w:rPr>
          <w:rFonts w:cs="Calibri"/>
          <w:szCs w:val="24"/>
          <w:lang w:val="es-ES_tradnl"/>
        </w:rPr>
        <w:tab/>
        <w:t>Varios</w:t>
      </w:r>
      <w:r w:rsidRPr="008059D8">
        <w:rPr>
          <w:rFonts w:cs="Calibri"/>
          <w:szCs w:val="24"/>
          <w:lang w:val="es-ES_tradnl"/>
        </w:rPr>
        <w:t xml:space="preserve"> </w:t>
      </w:r>
      <w:r w:rsidR="00B61A2A" w:rsidRPr="008059D8">
        <w:rPr>
          <w:rFonts w:cs="Calibri"/>
          <w:szCs w:val="24"/>
          <w:lang w:val="es-ES_tradnl"/>
        </w:rPr>
        <w:t>c</w:t>
      </w:r>
      <w:r w:rsidRPr="008059D8">
        <w:rPr>
          <w:rFonts w:cs="Calibri"/>
          <w:szCs w:val="24"/>
          <w:lang w:val="es-ES_tradnl"/>
        </w:rPr>
        <w:t>onsejeros</w:t>
      </w:r>
      <w:r w:rsidR="00B61A2A" w:rsidRPr="008059D8">
        <w:rPr>
          <w:rFonts w:cs="Calibri"/>
          <w:szCs w:val="24"/>
          <w:lang w:val="es-ES_tradnl"/>
        </w:rPr>
        <w:t xml:space="preserve"> </w:t>
      </w:r>
      <w:r w:rsidRPr="008059D8">
        <w:rPr>
          <w:rFonts w:cs="Calibri"/>
          <w:szCs w:val="24"/>
          <w:lang w:val="es-ES_tradnl"/>
        </w:rPr>
        <w:t xml:space="preserve">felicitan al Presidente y a los miembros del </w:t>
      </w:r>
      <w:r w:rsidR="00B61A2A" w:rsidRPr="008059D8">
        <w:rPr>
          <w:rFonts w:cs="Calibri"/>
          <w:szCs w:val="24"/>
          <w:lang w:val="es-ES_tradnl"/>
        </w:rPr>
        <w:t>g</w:t>
      </w:r>
      <w:r w:rsidRPr="008059D8">
        <w:rPr>
          <w:rFonts w:cs="Calibri"/>
          <w:szCs w:val="24"/>
          <w:lang w:val="es-ES_tradnl"/>
        </w:rPr>
        <w:t xml:space="preserve">rupo ad hoc por haber llegado a un acuerdo sobre </w:t>
      </w:r>
      <w:r w:rsidR="00B61A2A" w:rsidRPr="008059D8">
        <w:rPr>
          <w:rFonts w:cs="Calibri"/>
          <w:szCs w:val="24"/>
          <w:lang w:val="es-ES_tradnl"/>
        </w:rPr>
        <w:t>esto</w:t>
      </w:r>
      <w:r w:rsidRPr="008059D8">
        <w:rPr>
          <w:rFonts w:cs="Calibri"/>
          <w:szCs w:val="24"/>
          <w:lang w:val="es-ES_tradnl"/>
        </w:rPr>
        <w:t>s importantes documentos</w:t>
      </w:r>
      <w:r w:rsidR="00B61A2A" w:rsidRPr="008059D8">
        <w:rPr>
          <w:rFonts w:cs="Calibri"/>
          <w:szCs w:val="24"/>
          <w:lang w:val="es-ES_tradnl"/>
        </w:rPr>
        <w:t>,</w:t>
      </w:r>
      <w:r w:rsidRPr="008059D8">
        <w:rPr>
          <w:rFonts w:cs="Calibri"/>
          <w:szCs w:val="24"/>
          <w:lang w:val="es-ES_tradnl"/>
        </w:rPr>
        <w:t xml:space="preserve"> que reforzarán el papel de la UIT en el seguimiento de los resultados de la CMSI. </w:t>
      </w:r>
    </w:p>
    <w:p w14:paraId="6AD1DC67" w14:textId="7E3A1074" w:rsidR="00B67CDA" w:rsidRPr="008059D8" w:rsidRDefault="00AC246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szCs w:val="24"/>
          <w:lang w:val="es-ES_tradnl"/>
        </w:rPr>
      </w:pPr>
      <w:r w:rsidRPr="008059D8">
        <w:rPr>
          <w:szCs w:val="24"/>
          <w:lang w:val="es-ES_tradnl"/>
        </w:rPr>
        <w:t>2.3</w:t>
      </w:r>
      <w:r w:rsidR="00B61A2A" w:rsidRPr="008059D8">
        <w:rPr>
          <w:szCs w:val="24"/>
          <w:lang w:val="es-ES_tradnl"/>
        </w:rPr>
        <w:tab/>
      </w:r>
      <w:r w:rsidRPr="008059D8">
        <w:rPr>
          <w:szCs w:val="24"/>
          <w:lang w:val="es-ES_tradnl"/>
        </w:rPr>
        <w:t xml:space="preserve">El </w:t>
      </w:r>
      <w:r w:rsidR="00B61A2A" w:rsidRPr="008059D8">
        <w:rPr>
          <w:szCs w:val="24"/>
          <w:lang w:val="es-ES_tradnl"/>
        </w:rPr>
        <w:t>C</w:t>
      </w:r>
      <w:r w:rsidRPr="008059D8">
        <w:rPr>
          <w:szCs w:val="24"/>
          <w:lang w:val="es-ES_tradnl"/>
        </w:rPr>
        <w:t xml:space="preserve">onsejo </w:t>
      </w:r>
      <w:r w:rsidRPr="008059D8">
        <w:rPr>
          <w:b/>
          <w:bCs/>
          <w:szCs w:val="24"/>
          <w:lang w:val="es-ES_tradnl"/>
        </w:rPr>
        <w:t>adopt</w:t>
      </w:r>
      <w:r w:rsidR="00B61A2A" w:rsidRPr="008059D8">
        <w:rPr>
          <w:b/>
          <w:bCs/>
          <w:szCs w:val="24"/>
          <w:lang w:val="es-ES_tradnl"/>
        </w:rPr>
        <w:t>a</w:t>
      </w:r>
      <w:r w:rsidRPr="008059D8">
        <w:rPr>
          <w:b/>
          <w:bCs/>
          <w:szCs w:val="24"/>
          <w:lang w:val="es-ES_tradnl"/>
        </w:rPr>
        <w:t xml:space="preserve"> </w:t>
      </w:r>
      <w:r w:rsidRPr="008059D8">
        <w:rPr>
          <w:szCs w:val="24"/>
          <w:lang w:val="es-ES_tradnl"/>
        </w:rPr>
        <w:t xml:space="preserve">la revisión de la </w:t>
      </w:r>
      <w:r w:rsidR="00B61A2A" w:rsidRPr="008059D8">
        <w:rPr>
          <w:szCs w:val="24"/>
          <w:lang w:val="es-ES_tradnl"/>
        </w:rPr>
        <w:t xml:space="preserve">Resolución 1334 (C11, modificada por última vez C15) del Consejo </w:t>
      </w:r>
      <w:r w:rsidRPr="008059D8">
        <w:rPr>
          <w:szCs w:val="24"/>
          <w:lang w:val="es-ES_tradnl"/>
        </w:rPr>
        <w:t xml:space="preserve">que figura en el Documento C23/DT/9 y la revisión de la </w:t>
      </w:r>
      <w:r w:rsidR="00F241B1" w:rsidRPr="008059D8">
        <w:rPr>
          <w:szCs w:val="24"/>
          <w:lang w:val="es-ES_tradnl"/>
        </w:rPr>
        <w:t xml:space="preserve">Resolución 1332 (C11, modificada por última vez C19) del Consejo </w:t>
      </w:r>
      <w:r w:rsidRPr="008059D8">
        <w:rPr>
          <w:szCs w:val="24"/>
          <w:lang w:val="es-ES_tradnl"/>
        </w:rPr>
        <w:t xml:space="preserve">que figura en el Documento C23/DT/10. </w:t>
      </w:r>
    </w:p>
    <w:p w14:paraId="10014A8A" w14:textId="20FD7CEB" w:rsidR="00B67CDA" w:rsidRPr="008059D8" w:rsidRDefault="00AC246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 w:after="120"/>
        <w:ind w:left="567" w:hanging="567"/>
        <w:jc w:val="both"/>
        <w:rPr>
          <w:b/>
          <w:bCs/>
          <w:szCs w:val="24"/>
          <w:lang w:val="es-ES_tradnl"/>
        </w:rPr>
      </w:pPr>
      <w:r w:rsidRPr="008059D8">
        <w:rPr>
          <w:b/>
          <w:bCs/>
          <w:szCs w:val="24"/>
          <w:lang w:val="es-ES_tradnl"/>
        </w:rPr>
        <w:t>3</w:t>
      </w:r>
      <w:r w:rsidR="00F241B1" w:rsidRPr="008059D8">
        <w:rPr>
          <w:b/>
          <w:bCs/>
          <w:szCs w:val="24"/>
          <w:lang w:val="es-ES_tradnl"/>
        </w:rPr>
        <w:tab/>
      </w:r>
      <w:proofErr w:type="gramStart"/>
      <w:r w:rsidRPr="008059D8">
        <w:rPr>
          <w:b/>
          <w:bCs/>
          <w:szCs w:val="24"/>
          <w:lang w:val="es-ES_tradnl"/>
        </w:rPr>
        <w:t>Declaración</w:t>
      </w:r>
      <w:proofErr w:type="gramEnd"/>
      <w:r w:rsidRPr="008059D8">
        <w:rPr>
          <w:b/>
          <w:bCs/>
          <w:szCs w:val="24"/>
          <w:lang w:val="es-ES_tradnl"/>
        </w:rPr>
        <w:t xml:space="preserve"> de Túnez sobre la Declaración de Djerba de la XVIII Conferencia de Jefes de Estado y de Gobierno de los países francófonos (Documento </w:t>
      </w:r>
      <w:hyperlink r:id="rId35" w:history="1">
        <w:r w:rsidRPr="008059D8">
          <w:rPr>
            <w:rStyle w:val="Hyperlink"/>
            <w:b/>
            <w:bCs/>
            <w:szCs w:val="24"/>
            <w:lang w:val="es-ES_tradnl"/>
          </w:rPr>
          <w:t>C23/INF/18</w:t>
        </w:r>
      </w:hyperlink>
      <w:r w:rsidRPr="008059D8">
        <w:rPr>
          <w:b/>
          <w:bCs/>
          <w:szCs w:val="24"/>
          <w:lang w:val="es-ES_tradnl"/>
        </w:rPr>
        <w:t>)</w:t>
      </w:r>
    </w:p>
    <w:p w14:paraId="1C9551FF" w14:textId="5D4FD291" w:rsidR="00B67CDA" w:rsidRPr="008059D8" w:rsidRDefault="00AC246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szCs w:val="24"/>
          <w:lang w:val="es-ES_tradnl"/>
        </w:rPr>
      </w:pPr>
      <w:r w:rsidRPr="008059D8">
        <w:rPr>
          <w:szCs w:val="24"/>
          <w:lang w:val="es-ES_tradnl"/>
        </w:rPr>
        <w:t>3.1</w:t>
      </w:r>
      <w:r w:rsidR="00F241B1" w:rsidRPr="008059D8">
        <w:rPr>
          <w:szCs w:val="24"/>
          <w:lang w:val="es-ES_tradnl"/>
        </w:rPr>
        <w:tab/>
      </w:r>
      <w:r w:rsidRPr="008059D8">
        <w:rPr>
          <w:szCs w:val="24"/>
          <w:lang w:val="es-ES_tradnl"/>
        </w:rPr>
        <w:t>El</w:t>
      </w:r>
      <w:r w:rsidR="00F241B1" w:rsidRPr="008059D8">
        <w:rPr>
          <w:szCs w:val="24"/>
          <w:lang w:val="es-ES_tradnl"/>
        </w:rPr>
        <w:t xml:space="preserve"> c</w:t>
      </w:r>
      <w:r w:rsidRPr="008059D8">
        <w:rPr>
          <w:szCs w:val="24"/>
          <w:lang w:val="es-ES_tradnl"/>
        </w:rPr>
        <w:t xml:space="preserve">onsejero de Túnez, </w:t>
      </w:r>
      <w:r w:rsidR="00F241B1" w:rsidRPr="008059D8">
        <w:rPr>
          <w:szCs w:val="24"/>
          <w:lang w:val="es-ES_tradnl"/>
        </w:rPr>
        <w:t>tras señalar</w:t>
      </w:r>
      <w:r w:rsidRPr="008059D8">
        <w:rPr>
          <w:szCs w:val="24"/>
          <w:lang w:val="es-ES_tradnl"/>
        </w:rPr>
        <w:t xml:space="preserve"> a la atención </w:t>
      </w:r>
      <w:r w:rsidR="00F241B1" w:rsidRPr="008059D8">
        <w:rPr>
          <w:szCs w:val="24"/>
          <w:lang w:val="es-ES_tradnl"/>
        </w:rPr>
        <w:t xml:space="preserve">de los presentes </w:t>
      </w:r>
      <w:r w:rsidRPr="008059D8">
        <w:rPr>
          <w:szCs w:val="24"/>
          <w:lang w:val="es-ES_tradnl"/>
        </w:rPr>
        <w:t>el Documento</w:t>
      </w:r>
      <w:r w:rsidR="005E4317">
        <w:rPr>
          <w:szCs w:val="24"/>
          <w:lang w:val="es-ES_tradnl"/>
        </w:rPr>
        <w:t> </w:t>
      </w:r>
      <w:r w:rsidRPr="008059D8">
        <w:rPr>
          <w:szCs w:val="24"/>
          <w:lang w:val="es-ES_tradnl"/>
        </w:rPr>
        <w:t xml:space="preserve">C23/INF/18, </w:t>
      </w:r>
      <w:r w:rsidR="00F241B1" w:rsidRPr="008059D8">
        <w:rPr>
          <w:szCs w:val="24"/>
          <w:lang w:val="es-ES_tradnl"/>
        </w:rPr>
        <w:t>observa</w:t>
      </w:r>
      <w:r w:rsidRPr="008059D8">
        <w:rPr>
          <w:szCs w:val="24"/>
          <w:lang w:val="es-ES_tradnl"/>
        </w:rPr>
        <w:t xml:space="preserve"> que</w:t>
      </w:r>
      <w:r w:rsidR="00F241B1" w:rsidRPr="008059D8">
        <w:rPr>
          <w:szCs w:val="24"/>
          <w:lang w:val="es-ES_tradnl"/>
        </w:rPr>
        <w:t xml:space="preserve"> los participantes en</w:t>
      </w:r>
      <w:r w:rsidRPr="008059D8">
        <w:rPr>
          <w:szCs w:val="24"/>
          <w:lang w:val="es-ES_tradnl"/>
        </w:rPr>
        <w:t xml:space="preserve"> la XVIII Conferencia de </w:t>
      </w:r>
      <w:proofErr w:type="gramStart"/>
      <w:r w:rsidRPr="008059D8">
        <w:rPr>
          <w:szCs w:val="24"/>
          <w:lang w:val="es-ES_tradnl"/>
        </w:rPr>
        <w:t>Jefes</w:t>
      </w:r>
      <w:proofErr w:type="gramEnd"/>
      <w:r w:rsidRPr="008059D8">
        <w:rPr>
          <w:szCs w:val="24"/>
          <w:lang w:val="es-ES_tradnl"/>
        </w:rPr>
        <w:t xml:space="preserve"> de Estado y de Gobierno de los países francófonos, </w:t>
      </w:r>
      <w:r w:rsidR="00F241B1" w:rsidRPr="008059D8">
        <w:rPr>
          <w:szCs w:val="24"/>
          <w:lang w:val="es-ES_tradnl"/>
        </w:rPr>
        <w:t>que se celebró</w:t>
      </w:r>
      <w:r w:rsidRPr="008059D8">
        <w:rPr>
          <w:szCs w:val="24"/>
          <w:lang w:val="es-ES_tradnl"/>
        </w:rPr>
        <w:t xml:space="preserve"> en Djerba (Túnez) los días 19 y 20 de noviembre de 2022, </w:t>
      </w:r>
      <w:r w:rsidR="00F241B1" w:rsidRPr="008059D8">
        <w:rPr>
          <w:szCs w:val="24"/>
          <w:lang w:val="es-ES_tradnl"/>
        </w:rPr>
        <w:t>abordaron</w:t>
      </w:r>
      <w:r w:rsidRPr="008059D8">
        <w:rPr>
          <w:szCs w:val="24"/>
          <w:lang w:val="es-ES_tradnl"/>
        </w:rPr>
        <w:t xml:space="preserve"> un tema</w:t>
      </w:r>
      <w:r w:rsidR="00F241B1" w:rsidRPr="008059D8">
        <w:rPr>
          <w:szCs w:val="24"/>
          <w:lang w:val="es-ES_tradnl"/>
        </w:rPr>
        <w:t xml:space="preserve"> estrechamente vinculado</w:t>
      </w:r>
      <w:r w:rsidRPr="008059D8">
        <w:rPr>
          <w:szCs w:val="24"/>
          <w:lang w:val="es-ES_tradnl"/>
        </w:rPr>
        <w:t xml:space="preserve"> a los trabajos de la CMSI y la UIT, a saber, </w:t>
      </w:r>
      <w:r w:rsidR="00F241B1" w:rsidRPr="008059D8">
        <w:rPr>
          <w:szCs w:val="24"/>
          <w:lang w:val="es-ES_tradnl"/>
        </w:rPr>
        <w:t>“</w:t>
      </w:r>
      <w:r w:rsidRPr="008059D8">
        <w:rPr>
          <w:szCs w:val="24"/>
          <w:lang w:val="es-ES_tradnl"/>
        </w:rPr>
        <w:t>La conectividad en la diversidad: la tecnología digital,</w:t>
      </w:r>
      <w:r w:rsidR="00F241B1" w:rsidRPr="008059D8">
        <w:rPr>
          <w:szCs w:val="24"/>
          <w:lang w:val="es-ES_tradnl"/>
        </w:rPr>
        <w:t xml:space="preserve"> un</w:t>
      </w:r>
      <w:r w:rsidRPr="008059D8">
        <w:rPr>
          <w:szCs w:val="24"/>
          <w:lang w:val="es-ES_tradnl"/>
        </w:rPr>
        <w:t xml:space="preserve"> vector de desarrollo y solidaridad en el mundo francófono</w:t>
      </w:r>
      <w:r w:rsidR="00F241B1" w:rsidRPr="008059D8">
        <w:rPr>
          <w:szCs w:val="24"/>
          <w:lang w:val="es-ES_tradnl"/>
        </w:rPr>
        <w:t>”</w:t>
      </w:r>
      <w:r w:rsidRPr="008059D8">
        <w:rPr>
          <w:szCs w:val="24"/>
          <w:lang w:val="es-ES_tradnl"/>
        </w:rPr>
        <w:t xml:space="preserve">. En ella se adoptó la Declaración de Djerba, </w:t>
      </w:r>
      <w:r w:rsidR="008E6397" w:rsidRPr="008059D8">
        <w:rPr>
          <w:szCs w:val="24"/>
          <w:lang w:val="es-ES_tradnl"/>
        </w:rPr>
        <w:t>en la que se destacan tanto</w:t>
      </w:r>
      <w:r w:rsidRPr="008059D8">
        <w:rPr>
          <w:szCs w:val="24"/>
          <w:lang w:val="es-ES_tradnl"/>
        </w:rPr>
        <w:t xml:space="preserve"> las oportunidades de cooperación, desarrollo e innovación que pueden ofrecer las soluciones digitales</w:t>
      </w:r>
      <w:r w:rsidR="008E6397" w:rsidRPr="008059D8">
        <w:rPr>
          <w:szCs w:val="24"/>
          <w:lang w:val="es-ES_tradnl"/>
        </w:rPr>
        <w:t>, como</w:t>
      </w:r>
      <w:r w:rsidRPr="008059D8">
        <w:rPr>
          <w:szCs w:val="24"/>
          <w:lang w:val="es-ES_tradnl"/>
        </w:rPr>
        <w:t xml:space="preserve"> el papel de las tecnologías digitales </w:t>
      </w:r>
      <w:r w:rsidR="006479A4" w:rsidRPr="008059D8">
        <w:rPr>
          <w:szCs w:val="24"/>
          <w:lang w:val="es-ES_tradnl"/>
        </w:rPr>
        <w:t>en la provisión de</w:t>
      </w:r>
      <w:r w:rsidRPr="008059D8">
        <w:rPr>
          <w:szCs w:val="24"/>
          <w:lang w:val="es-ES_tradnl"/>
        </w:rPr>
        <w:t xml:space="preserve"> conectividad; </w:t>
      </w:r>
      <w:r w:rsidR="006479A4" w:rsidRPr="008059D8">
        <w:rPr>
          <w:szCs w:val="24"/>
          <w:lang w:val="es-ES_tradnl"/>
        </w:rPr>
        <w:t>el fomento de unos</w:t>
      </w:r>
      <w:r w:rsidRPr="008059D8">
        <w:rPr>
          <w:szCs w:val="24"/>
          <w:lang w:val="es-ES_tradnl"/>
        </w:rPr>
        <w:t xml:space="preserve"> valores sociales </w:t>
      </w:r>
      <w:r w:rsidR="006479A4" w:rsidRPr="008059D8">
        <w:rPr>
          <w:szCs w:val="24"/>
          <w:lang w:val="es-ES_tradnl"/>
        </w:rPr>
        <w:t>comunes, así como de</w:t>
      </w:r>
      <w:r w:rsidRPr="008059D8">
        <w:rPr>
          <w:szCs w:val="24"/>
          <w:lang w:val="es-ES_tradnl"/>
        </w:rPr>
        <w:t xml:space="preserve"> la paz, la tolerancia y el diálogo; </w:t>
      </w:r>
      <w:r w:rsidR="006479A4" w:rsidRPr="008059D8">
        <w:rPr>
          <w:szCs w:val="24"/>
          <w:lang w:val="es-ES_tradnl"/>
        </w:rPr>
        <w:t>la promoción del</w:t>
      </w:r>
      <w:r w:rsidRPr="008059D8">
        <w:rPr>
          <w:szCs w:val="24"/>
          <w:lang w:val="es-ES_tradnl"/>
        </w:rPr>
        <w:t xml:space="preserve"> aprendizaje y el intercambio de conocimientos; </w:t>
      </w:r>
      <w:r w:rsidR="00ED2034">
        <w:rPr>
          <w:szCs w:val="24"/>
          <w:lang w:val="es-ES_tradnl"/>
        </w:rPr>
        <w:t>el</w:t>
      </w:r>
      <w:r w:rsidRPr="008059D8">
        <w:rPr>
          <w:szCs w:val="24"/>
          <w:lang w:val="es-ES_tradnl"/>
        </w:rPr>
        <w:t xml:space="preserve"> crecimiento y</w:t>
      </w:r>
      <w:r w:rsidR="006479A4" w:rsidRPr="008059D8">
        <w:rPr>
          <w:szCs w:val="24"/>
          <w:lang w:val="es-ES_tradnl"/>
        </w:rPr>
        <w:t xml:space="preserve"> </w:t>
      </w:r>
      <w:r w:rsidR="00ED2034" w:rsidRPr="008059D8">
        <w:rPr>
          <w:szCs w:val="24"/>
          <w:lang w:val="es-ES_tradnl"/>
        </w:rPr>
        <w:t xml:space="preserve">la creación </w:t>
      </w:r>
      <w:r w:rsidR="006479A4" w:rsidRPr="008059D8">
        <w:rPr>
          <w:szCs w:val="24"/>
          <w:lang w:val="es-ES_tradnl"/>
        </w:rPr>
        <w:t>de</w:t>
      </w:r>
      <w:r w:rsidRPr="008059D8">
        <w:rPr>
          <w:szCs w:val="24"/>
          <w:lang w:val="es-ES_tradnl"/>
        </w:rPr>
        <w:t xml:space="preserve"> nuevas actividades </w:t>
      </w:r>
      <w:r w:rsidR="006479A4" w:rsidRPr="008059D8">
        <w:rPr>
          <w:szCs w:val="24"/>
          <w:lang w:val="es-ES_tradnl"/>
        </w:rPr>
        <w:t>que generen</w:t>
      </w:r>
      <w:r w:rsidRPr="008059D8">
        <w:rPr>
          <w:szCs w:val="24"/>
          <w:lang w:val="es-ES_tradnl"/>
        </w:rPr>
        <w:t xml:space="preserve"> ingresos </w:t>
      </w:r>
      <w:r w:rsidR="006479A4" w:rsidRPr="008059D8">
        <w:rPr>
          <w:szCs w:val="24"/>
          <w:lang w:val="es-ES_tradnl"/>
        </w:rPr>
        <w:t>y</w:t>
      </w:r>
      <w:r w:rsidRPr="008059D8">
        <w:rPr>
          <w:szCs w:val="24"/>
          <w:lang w:val="es-ES_tradnl"/>
        </w:rPr>
        <w:t xml:space="preserve"> añadan valor en todos los sectores de la economía;</w:t>
      </w:r>
      <w:r w:rsidR="006479A4" w:rsidRPr="008059D8">
        <w:rPr>
          <w:szCs w:val="24"/>
          <w:lang w:val="es-ES_tradnl"/>
        </w:rPr>
        <w:t xml:space="preserve"> la</w:t>
      </w:r>
      <w:r w:rsidRPr="008059D8">
        <w:rPr>
          <w:szCs w:val="24"/>
          <w:lang w:val="es-ES_tradnl"/>
        </w:rPr>
        <w:t xml:space="preserve"> moderniza</w:t>
      </w:r>
      <w:r w:rsidR="006479A4" w:rsidRPr="008059D8">
        <w:rPr>
          <w:szCs w:val="24"/>
          <w:lang w:val="es-ES_tradnl"/>
        </w:rPr>
        <w:t>ción de</w:t>
      </w:r>
      <w:r w:rsidRPr="008059D8">
        <w:rPr>
          <w:szCs w:val="24"/>
          <w:lang w:val="es-ES_tradnl"/>
        </w:rPr>
        <w:t xml:space="preserve"> la administración pública y</w:t>
      </w:r>
      <w:r w:rsidR="006479A4" w:rsidRPr="008059D8">
        <w:rPr>
          <w:szCs w:val="24"/>
          <w:lang w:val="es-ES_tradnl"/>
        </w:rPr>
        <w:t xml:space="preserve"> la</w:t>
      </w:r>
      <w:r w:rsidRPr="008059D8">
        <w:rPr>
          <w:szCs w:val="24"/>
          <w:lang w:val="es-ES_tradnl"/>
        </w:rPr>
        <w:t xml:space="preserve"> mejora</w:t>
      </w:r>
      <w:r w:rsidR="006479A4" w:rsidRPr="008059D8">
        <w:rPr>
          <w:szCs w:val="24"/>
          <w:lang w:val="es-ES_tradnl"/>
        </w:rPr>
        <w:t xml:space="preserve"> de</w:t>
      </w:r>
      <w:r w:rsidRPr="008059D8">
        <w:rPr>
          <w:szCs w:val="24"/>
          <w:lang w:val="es-ES_tradnl"/>
        </w:rPr>
        <w:t xml:space="preserve"> la accesibilidad. La declaración reiter</w:t>
      </w:r>
      <w:r w:rsidR="006479A4" w:rsidRPr="008059D8">
        <w:rPr>
          <w:szCs w:val="24"/>
          <w:lang w:val="es-ES_tradnl"/>
        </w:rPr>
        <w:t>a</w:t>
      </w:r>
      <w:r w:rsidRPr="008059D8">
        <w:rPr>
          <w:szCs w:val="24"/>
          <w:lang w:val="es-ES_tradnl"/>
        </w:rPr>
        <w:t xml:space="preserve"> </w:t>
      </w:r>
      <w:r w:rsidR="006479A4" w:rsidRPr="008059D8">
        <w:rPr>
          <w:szCs w:val="24"/>
          <w:lang w:val="es-ES_tradnl"/>
        </w:rPr>
        <w:t xml:space="preserve">asimismo </w:t>
      </w:r>
      <w:r w:rsidRPr="008059D8">
        <w:rPr>
          <w:szCs w:val="24"/>
          <w:lang w:val="es-ES_tradnl"/>
        </w:rPr>
        <w:t>el mandato</w:t>
      </w:r>
      <w:r w:rsidR="006479A4" w:rsidRPr="008059D8">
        <w:rPr>
          <w:szCs w:val="24"/>
          <w:lang w:val="es-ES_tradnl"/>
        </w:rPr>
        <w:t xml:space="preserve"> otorgado a los organismos sitos</w:t>
      </w:r>
      <w:r w:rsidRPr="008059D8">
        <w:rPr>
          <w:szCs w:val="24"/>
          <w:lang w:val="es-ES_tradnl"/>
        </w:rPr>
        <w:t xml:space="preserve"> en Ginebra </w:t>
      </w:r>
      <w:r w:rsidR="006479A4" w:rsidRPr="008059D8">
        <w:rPr>
          <w:szCs w:val="24"/>
          <w:lang w:val="es-ES_tradnl"/>
        </w:rPr>
        <w:t xml:space="preserve">con miras </w:t>
      </w:r>
      <w:r w:rsidRPr="008059D8">
        <w:rPr>
          <w:szCs w:val="24"/>
          <w:lang w:val="es-ES_tradnl"/>
        </w:rPr>
        <w:t xml:space="preserve">a la aplicación de la </w:t>
      </w:r>
      <w:r w:rsidR="006479A4" w:rsidRPr="008059D8">
        <w:rPr>
          <w:szCs w:val="24"/>
          <w:lang w:val="es-ES_tradnl"/>
        </w:rPr>
        <w:t xml:space="preserve">Hoja de Ruta del Secretario General de las Naciones Unidas para la Cooperación Digital </w:t>
      </w:r>
      <w:r w:rsidRPr="008059D8">
        <w:rPr>
          <w:szCs w:val="24"/>
          <w:lang w:val="es-ES_tradnl"/>
        </w:rPr>
        <w:t>y al</w:t>
      </w:r>
      <w:r w:rsidR="006479A4" w:rsidRPr="008059D8">
        <w:rPr>
          <w:szCs w:val="24"/>
          <w:lang w:val="es-ES_tradnl"/>
        </w:rPr>
        <w:t xml:space="preserve"> examen </w:t>
      </w:r>
      <w:r w:rsidRPr="008059D8">
        <w:rPr>
          <w:szCs w:val="24"/>
          <w:lang w:val="es-ES_tradnl"/>
        </w:rPr>
        <w:t>del seguimiento d</w:t>
      </w:r>
      <w:r w:rsidR="006479A4" w:rsidRPr="008059D8">
        <w:rPr>
          <w:szCs w:val="24"/>
          <w:lang w:val="es-ES_tradnl"/>
        </w:rPr>
        <w:t>ado a</w:t>
      </w:r>
      <w:r w:rsidRPr="008059D8">
        <w:rPr>
          <w:szCs w:val="24"/>
          <w:lang w:val="es-ES_tradnl"/>
        </w:rPr>
        <w:t xml:space="preserve"> los resultados de la CMSI de Túnez en 2025.</w:t>
      </w:r>
    </w:p>
    <w:p w14:paraId="27777084" w14:textId="61A3DEA4" w:rsidR="00B67CDA" w:rsidRPr="008059D8" w:rsidRDefault="00AC246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szCs w:val="24"/>
          <w:lang w:val="es-ES_tradnl"/>
        </w:rPr>
      </w:pPr>
      <w:r w:rsidRPr="008059D8">
        <w:rPr>
          <w:szCs w:val="24"/>
          <w:lang w:val="es-ES_tradnl"/>
        </w:rPr>
        <w:t>3.2</w:t>
      </w:r>
      <w:r w:rsidR="006479A4" w:rsidRPr="008059D8">
        <w:rPr>
          <w:szCs w:val="24"/>
          <w:lang w:val="es-ES_tradnl"/>
        </w:rPr>
        <w:tab/>
      </w:r>
      <w:r w:rsidRPr="008059D8">
        <w:rPr>
          <w:szCs w:val="24"/>
          <w:lang w:val="es-ES_tradnl"/>
        </w:rPr>
        <w:t>Túnez</w:t>
      </w:r>
      <w:r w:rsidR="006479A4" w:rsidRPr="008059D8">
        <w:rPr>
          <w:szCs w:val="24"/>
          <w:lang w:val="es-ES_tradnl"/>
        </w:rPr>
        <w:t xml:space="preserve"> </w:t>
      </w:r>
      <w:r w:rsidRPr="008059D8">
        <w:rPr>
          <w:szCs w:val="24"/>
          <w:lang w:val="es-ES_tradnl"/>
        </w:rPr>
        <w:t>también tom</w:t>
      </w:r>
      <w:r w:rsidR="006479A4" w:rsidRPr="008059D8">
        <w:rPr>
          <w:szCs w:val="24"/>
          <w:lang w:val="es-ES_tradnl"/>
        </w:rPr>
        <w:t>a</w:t>
      </w:r>
      <w:r w:rsidRPr="008059D8">
        <w:rPr>
          <w:szCs w:val="24"/>
          <w:lang w:val="es-ES_tradnl"/>
        </w:rPr>
        <w:t xml:space="preserve"> nota con satisfacción de la firma de una Declaración conjunta de cooperación entre la UIT y </w:t>
      </w:r>
      <w:r w:rsidR="006479A4" w:rsidRPr="008059D8">
        <w:rPr>
          <w:szCs w:val="24"/>
          <w:lang w:val="es-ES_tradnl"/>
        </w:rPr>
        <w:t xml:space="preserve">la Organización Internacional de la Francofonía </w:t>
      </w:r>
      <w:r w:rsidRPr="008059D8">
        <w:rPr>
          <w:szCs w:val="24"/>
          <w:lang w:val="es-ES_tradnl"/>
        </w:rPr>
        <w:t>(OIF)</w:t>
      </w:r>
      <w:r w:rsidR="006479A4" w:rsidRPr="008059D8">
        <w:rPr>
          <w:szCs w:val="24"/>
          <w:lang w:val="es-ES_tradnl"/>
        </w:rPr>
        <w:t>, encaminada a</w:t>
      </w:r>
      <w:r w:rsidRPr="008059D8">
        <w:rPr>
          <w:szCs w:val="24"/>
          <w:lang w:val="es-ES_tradnl"/>
        </w:rPr>
        <w:t xml:space="preserve"> reforzar la asociación entre ambas organizaciones</w:t>
      </w:r>
      <w:r w:rsidR="006479A4" w:rsidRPr="008059D8">
        <w:rPr>
          <w:szCs w:val="24"/>
          <w:lang w:val="es-ES_tradnl"/>
        </w:rPr>
        <w:t>, el 3 de abril de 2023 en París.</w:t>
      </w:r>
    </w:p>
    <w:p w14:paraId="2C24395E" w14:textId="086EE932" w:rsidR="00B67CDA" w:rsidRPr="008059D8" w:rsidRDefault="00AC246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rFonts w:asciiTheme="minorHAnsi" w:hAnsiTheme="minorHAnsi" w:cstheme="minorBidi"/>
          <w:szCs w:val="24"/>
          <w:lang w:val="es-ES_tradnl"/>
        </w:rPr>
      </w:pPr>
      <w:r w:rsidRPr="008059D8">
        <w:rPr>
          <w:szCs w:val="24"/>
          <w:lang w:val="es-ES_tradnl"/>
        </w:rPr>
        <w:t>3.3</w:t>
      </w:r>
      <w:r w:rsidRPr="008059D8">
        <w:rPr>
          <w:szCs w:val="24"/>
          <w:lang w:val="es-ES_tradnl"/>
        </w:rPr>
        <w:tab/>
      </w:r>
      <w:r w:rsidR="006479A4" w:rsidRPr="008059D8">
        <w:rPr>
          <w:szCs w:val="24"/>
          <w:lang w:val="es-ES_tradnl"/>
        </w:rPr>
        <w:t>Varios c</w:t>
      </w:r>
      <w:r w:rsidRPr="008059D8">
        <w:rPr>
          <w:szCs w:val="24"/>
          <w:lang w:val="es-ES_tradnl"/>
        </w:rPr>
        <w:t xml:space="preserve">onsejeros agradecen a Túnez su declaración y los esfuerzos </w:t>
      </w:r>
      <w:r w:rsidR="006479A4" w:rsidRPr="008059D8">
        <w:rPr>
          <w:szCs w:val="24"/>
          <w:lang w:val="es-ES_tradnl"/>
        </w:rPr>
        <w:t xml:space="preserve">realizados </w:t>
      </w:r>
      <w:r w:rsidR="00ED2034">
        <w:rPr>
          <w:szCs w:val="24"/>
          <w:lang w:val="es-ES_tradnl"/>
        </w:rPr>
        <w:t>a</w:t>
      </w:r>
      <w:r w:rsidR="006479A4" w:rsidRPr="008059D8">
        <w:rPr>
          <w:szCs w:val="24"/>
          <w:lang w:val="es-ES_tradnl"/>
        </w:rPr>
        <w:t xml:space="preserve"> fin de p</w:t>
      </w:r>
      <w:r w:rsidRPr="008059D8">
        <w:rPr>
          <w:szCs w:val="24"/>
          <w:lang w:val="es-ES_tradnl"/>
        </w:rPr>
        <w:t xml:space="preserve">romover la conectividad y la diversidad. La consejera de Francia </w:t>
      </w:r>
      <w:r w:rsidR="00315133" w:rsidRPr="008059D8">
        <w:rPr>
          <w:szCs w:val="24"/>
          <w:lang w:val="es-ES_tradnl"/>
        </w:rPr>
        <w:t xml:space="preserve">espera que se sigan cultivando </w:t>
      </w:r>
      <w:r w:rsidRPr="008059D8">
        <w:rPr>
          <w:szCs w:val="24"/>
          <w:lang w:val="es-ES_tradnl"/>
        </w:rPr>
        <w:t xml:space="preserve">las sinergias entre los trabajos de la OIF y de la UIT. Francia asumirá </w:t>
      </w:r>
      <w:r w:rsidR="00315133" w:rsidRPr="008059D8">
        <w:rPr>
          <w:szCs w:val="24"/>
          <w:lang w:val="es-ES_tradnl"/>
        </w:rPr>
        <w:t>próximamente</w:t>
      </w:r>
      <w:r w:rsidRPr="008059D8">
        <w:rPr>
          <w:szCs w:val="24"/>
          <w:lang w:val="es-ES_tradnl"/>
        </w:rPr>
        <w:t xml:space="preserve"> la presidencia de la OIF </w:t>
      </w:r>
      <w:r w:rsidR="00ED2034">
        <w:rPr>
          <w:szCs w:val="24"/>
          <w:lang w:val="es-ES_tradnl"/>
        </w:rPr>
        <w:t>y</w:t>
      </w:r>
      <w:r w:rsidRPr="008059D8">
        <w:rPr>
          <w:szCs w:val="24"/>
          <w:lang w:val="es-ES_tradnl"/>
        </w:rPr>
        <w:t xml:space="preserve"> </w:t>
      </w:r>
      <w:r w:rsidR="00315133" w:rsidRPr="008059D8">
        <w:rPr>
          <w:szCs w:val="24"/>
          <w:lang w:val="es-ES_tradnl"/>
        </w:rPr>
        <w:t xml:space="preserve">tratará de dar </w:t>
      </w:r>
      <w:r w:rsidRPr="008059D8">
        <w:rPr>
          <w:szCs w:val="24"/>
          <w:lang w:val="es-ES_tradnl"/>
        </w:rPr>
        <w:t>continu</w:t>
      </w:r>
      <w:r w:rsidR="00315133" w:rsidRPr="008059D8">
        <w:rPr>
          <w:szCs w:val="24"/>
          <w:lang w:val="es-ES_tradnl"/>
        </w:rPr>
        <w:t>idad</w:t>
      </w:r>
      <w:r w:rsidRPr="008059D8">
        <w:rPr>
          <w:szCs w:val="24"/>
          <w:lang w:val="es-ES_tradnl"/>
        </w:rPr>
        <w:t xml:space="preserve"> </w:t>
      </w:r>
      <w:r w:rsidR="00315133" w:rsidRPr="008059D8">
        <w:rPr>
          <w:szCs w:val="24"/>
          <w:lang w:val="es-ES_tradnl"/>
        </w:rPr>
        <w:t>a</w:t>
      </w:r>
      <w:r w:rsidR="00ED2034">
        <w:rPr>
          <w:szCs w:val="24"/>
          <w:lang w:val="es-ES_tradnl"/>
        </w:rPr>
        <w:t xml:space="preserve"> </w:t>
      </w:r>
      <w:r w:rsidRPr="008059D8">
        <w:rPr>
          <w:szCs w:val="24"/>
          <w:lang w:val="es-ES_tradnl"/>
        </w:rPr>
        <w:t>l</w:t>
      </w:r>
      <w:r w:rsidR="00ED2034">
        <w:rPr>
          <w:szCs w:val="24"/>
          <w:lang w:val="es-ES_tradnl"/>
        </w:rPr>
        <w:t>a gran labor</w:t>
      </w:r>
      <w:r w:rsidRPr="008059D8">
        <w:rPr>
          <w:szCs w:val="24"/>
          <w:lang w:val="es-ES_tradnl"/>
        </w:rPr>
        <w:t xml:space="preserve"> iniciad</w:t>
      </w:r>
      <w:r w:rsidR="00ED2034">
        <w:rPr>
          <w:szCs w:val="24"/>
          <w:lang w:val="es-ES_tradnl"/>
        </w:rPr>
        <w:t>a</w:t>
      </w:r>
      <w:r w:rsidRPr="008059D8">
        <w:rPr>
          <w:szCs w:val="24"/>
          <w:lang w:val="es-ES_tradnl"/>
        </w:rPr>
        <w:t xml:space="preserve"> por Túnez. </w:t>
      </w:r>
    </w:p>
    <w:p w14:paraId="04B99495" w14:textId="3BA3EBAA" w:rsidR="00B67CDA" w:rsidRPr="008059D8" w:rsidRDefault="00AC246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djustRightInd/>
        <w:spacing w:before="240" w:after="120"/>
        <w:ind w:left="720" w:hanging="720"/>
        <w:jc w:val="both"/>
        <w:rPr>
          <w:rFonts w:asciiTheme="minorHAnsi" w:hAnsiTheme="minorHAnsi" w:cstheme="minorHAnsi"/>
          <w:b/>
          <w:bCs/>
          <w:szCs w:val="24"/>
          <w:lang w:val="es-ES_tradnl"/>
        </w:rPr>
      </w:pPr>
      <w:r w:rsidRPr="008059D8">
        <w:rPr>
          <w:rFonts w:asciiTheme="minorHAnsi" w:hAnsiTheme="minorHAnsi" w:cstheme="minorHAnsi"/>
          <w:b/>
          <w:bCs/>
          <w:szCs w:val="24"/>
          <w:lang w:val="es-ES_tradnl"/>
        </w:rPr>
        <w:lastRenderedPageBreak/>
        <w:t>4</w:t>
      </w:r>
      <w:r w:rsidR="00315133" w:rsidRPr="008059D8">
        <w:rPr>
          <w:rFonts w:asciiTheme="minorHAnsi" w:hAnsiTheme="minorHAnsi" w:cstheme="minorHAnsi"/>
          <w:b/>
          <w:bCs/>
          <w:szCs w:val="24"/>
          <w:lang w:val="es-ES_tradnl"/>
        </w:rPr>
        <w:tab/>
      </w:r>
      <w:r w:rsidRPr="008059D8">
        <w:rPr>
          <w:rFonts w:asciiTheme="minorHAnsi" w:hAnsiTheme="minorHAnsi" w:cstheme="minorHAnsi"/>
          <w:b/>
          <w:bCs/>
          <w:szCs w:val="24"/>
          <w:lang w:val="es-ES_tradnl"/>
        </w:rPr>
        <w:t xml:space="preserve">Veinticinco años del programa de trabajo de la UIT sobre igualdad de género (continuación) (Documentos </w:t>
      </w:r>
      <w:hyperlink r:id="rId36" w:history="1">
        <w:r w:rsidRPr="008059D8">
          <w:rPr>
            <w:rStyle w:val="Hyperlink"/>
            <w:rFonts w:asciiTheme="minorHAnsi" w:hAnsiTheme="minorHAnsi" w:cstheme="minorHAnsi"/>
            <w:b/>
            <w:bCs/>
            <w:szCs w:val="24"/>
            <w:lang w:val="es-ES_tradnl"/>
          </w:rPr>
          <w:t>C23/6</w:t>
        </w:r>
      </w:hyperlink>
      <w:r w:rsidRPr="008059D8">
        <w:rPr>
          <w:rFonts w:asciiTheme="minorHAnsi" w:hAnsiTheme="minorHAnsi" w:cstheme="minorHAnsi"/>
          <w:b/>
          <w:bCs/>
          <w:szCs w:val="24"/>
          <w:lang w:val="es-ES_tradnl"/>
        </w:rPr>
        <w:t xml:space="preserve">, </w:t>
      </w:r>
      <w:hyperlink r:id="rId37" w:history="1">
        <w:r w:rsidRPr="008059D8">
          <w:rPr>
            <w:rStyle w:val="Hyperlink"/>
            <w:rFonts w:asciiTheme="minorHAnsi" w:hAnsiTheme="minorHAnsi" w:cstheme="minorHAnsi"/>
            <w:b/>
            <w:bCs/>
            <w:szCs w:val="24"/>
            <w:lang w:val="es-ES_tradnl"/>
          </w:rPr>
          <w:t>C23/76(Rev.1)</w:t>
        </w:r>
      </w:hyperlink>
      <w:r w:rsidRPr="008059D8">
        <w:rPr>
          <w:rFonts w:asciiTheme="minorHAnsi" w:hAnsiTheme="minorHAnsi" w:cstheme="minorHAnsi"/>
          <w:b/>
          <w:bCs/>
          <w:szCs w:val="24"/>
          <w:lang w:val="es-ES_tradnl"/>
        </w:rPr>
        <w:t xml:space="preserve"> y </w:t>
      </w:r>
      <w:hyperlink r:id="rId38" w:history="1">
        <w:r w:rsidRPr="008059D8">
          <w:rPr>
            <w:rStyle w:val="Hyperlink"/>
            <w:rFonts w:asciiTheme="minorHAnsi" w:hAnsiTheme="minorHAnsi" w:cstheme="minorHAnsi"/>
            <w:b/>
            <w:bCs/>
            <w:szCs w:val="24"/>
            <w:lang w:val="es-ES_tradnl"/>
          </w:rPr>
          <w:t>C23/91(Rev.1)+Corr.1</w:t>
        </w:r>
      </w:hyperlink>
      <w:r w:rsidRPr="008059D8">
        <w:rPr>
          <w:rFonts w:asciiTheme="minorHAnsi" w:hAnsiTheme="minorHAnsi" w:cstheme="minorHAnsi"/>
          <w:b/>
          <w:bCs/>
          <w:szCs w:val="24"/>
          <w:lang w:val="es-ES_tradnl"/>
        </w:rPr>
        <w:t>)</w:t>
      </w:r>
    </w:p>
    <w:p w14:paraId="5E85CBE7" w14:textId="3A5E5F85" w:rsidR="00B67CDA" w:rsidRPr="008059D8" w:rsidRDefault="00AC246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djustRightInd/>
        <w:spacing w:after="120"/>
        <w:jc w:val="both"/>
        <w:rPr>
          <w:rFonts w:asciiTheme="minorHAnsi" w:hAnsiTheme="minorHAnsi" w:cstheme="minorHAnsi"/>
          <w:szCs w:val="24"/>
          <w:lang w:val="es-ES_tradnl"/>
        </w:rPr>
      </w:pPr>
      <w:r w:rsidRPr="008059D8">
        <w:rPr>
          <w:rFonts w:asciiTheme="minorHAnsi" w:hAnsiTheme="minorHAnsi" w:cstheme="minorHAnsi"/>
          <w:szCs w:val="24"/>
          <w:lang w:val="es-ES_tradnl"/>
        </w:rPr>
        <w:t>4.1</w:t>
      </w:r>
      <w:r w:rsidR="00315133" w:rsidRPr="008059D8">
        <w:rPr>
          <w:rFonts w:asciiTheme="minorHAnsi" w:hAnsiTheme="minorHAnsi" w:cstheme="minorHAnsi"/>
          <w:szCs w:val="24"/>
          <w:lang w:val="es-ES_tradnl"/>
        </w:rPr>
        <w:tab/>
      </w:r>
      <w:r w:rsidRPr="008059D8">
        <w:rPr>
          <w:rFonts w:asciiTheme="minorHAnsi" w:hAnsiTheme="minorHAnsi" w:cstheme="minorHAnsi"/>
          <w:szCs w:val="24"/>
          <w:lang w:val="es-ES_tradnl"/>
        </w:rPr>
        <w:t>Los</w:t>
      </w:r>
      <w:r w:rsidR="00315133" w:rsidRPr="008059D8">
        <w:rPr>
          <w:rFonts w:asciiTheme="minorHAnsi" w:hAnsiTheme="minorHAnsi" w:cstheme="minorHAnsi"/>
          <w:szCs w:val="24"/>
          <w:lang w:val="es-ES_tradnl"/>
        </w:rPr>
        <w:t xml:space="preserve"> </w:t>
      </w:r>
      <w:r w:rsidRPr="008059D8">
        <w:rPr>
          <w:rFonts w:asciiTheme="minorHAnsi" w:hAnsiTheme="minorHAnsi" w:cstheme="minorHAnsi"/>
          <w:szCs w:val="24"/>
          <w:lang w:val="es-ES_tradnl"/>
        </w:rPr>
        <w:t>consejeros de España y Egipto señalan que, como resultado de</w:t>
      </w:r>
      <w:r w:rsidR="00315133" w:rsidRPr="008059D8">
        <w:rPr>
          <w:rFonts w:asciiTheme="minorHAnsi" w:hAnsiTheme="minorHAnsi" w:cstheme="minorHAnsi"/>
          <w:szCs w:val="24"/>
          <w:lang w:val="es-ES_tradnl"/>
        </w:rPr>
        <w:t xml:space="preserve"> una serie de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 consultas informales con los Estados Miembros interesados, somet</w:t>
      </w:r>
      <w:r w:rsidR="00315133" w:rsidRPr="008059D8">
        <w:rPr>
          <w:rFonts w:asciiTheme="minorHAnsi" w:hAnsiTheme="minorHAnsi" w:cstheme="minorHAnsi"/>
          <w:szCs w:val="24"/>
          <w:lang w:val="es-ES_tradnl"/>
        </w:rPr>
        <w:t>e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n a la aprobación de la </w:t>
      </w:r>
      <w:r w:rsidR="00315133" w:rsidRPr="008059D8">
        <w:rPr>
          <w:rFonts w:asciiTheme="minorHAnsi" w:hAnsiTheme="minorHAnsi" w:cstheme="minorHAnsi"/>
          <w:szCs w:val="24"/>
          <w:lang w:val="es-ES_tradnl"/>
        </w:rPr>
        <w:t>P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lenaria </w:t>
      </w:r>
      <w:r w:rsidR="00315133" w:rsidRPr="008059D8">
        <w:rPr>
          <w:rFonts w:asciiTheme="minorHAnsi" w:hAnsiTheme="minorHAnsi" w:cstheme="minorHAnsi"/>
          <w:szCs w:val="24"/>
          <w:lang w:val="es-ES_tradnl"/>
        </w:rPr>
        <w:t>el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 </w:t>
      </w:r>
      <w:r w:rsidR="00315133" w:rsidRPr="008059D8">
        <w:rPr>
          <w:rFonts w:asciiTheme="minorHAnsi" w:hAnsiTheme="minorHAnsi" w:cstheme="minorHAnsi"/>
          <w:szCs w:val="24"/>
          <w:lang w:val="es-ES_tradnl"/>
        </w:rPr>
        <w:t>D</w:t>
      </w:r>
      <w:r w:rsidRPr="008059D8">
        <w:rPr>
          <w:rFonts w:asciiTheme="minorHAnsi" w:hAnsiTheme="minorHAnsi" w:cstheme="minorHAnsi"/>
          <w:szCs w:val="24"/>
          <w:lang w:val="es-ES_tradnl"/>
        </w:rPr>
        <w:t>ocumento C23/91(Rev.</w:t>
      </w:r>
      <w:proofErr w:type="gramStart"/>
      <w:r w:rsidRPr="008059D8">
        <w:rPr>
          <w:rFonts w:asciiTheme="minorHAnsi" w:hAnsiTheme="minorHAnsi" w:cstheme="minorHAnsi"/>
          <w:szCs w:val="24"/>
          <w:lang w:val="es-ES_tradnl"/>
        </w:rPr>
        <w:t>1)+</w:t>
      </w:r>
      <w:proofErr w:type="gramEnd"/>
      <w:r w:rsidRPr="008059D8">
        <w:rPr>
          <w:rFonts w:asciiTheme="minorHAnsi" w:hAnsiTheme="minorHAnsi" w:cstheme="minorHAnsi"/>
          <w:szCs w:val="24"/>
          <w:lang w:val="es-ES_tradnl"/>
        </w:rPr>
        <w:t>Corr.1</w:t>
      </w:r>
      <w:r w:rsidR="00315133" w:rsidRPr="008059D8">
        <w:rPr>
          <w:rFonts w:asciiTheme="minorHAnsi" w:hAnsiTheme="minorHAnsi" w:cstheme="minorHAnsi"/>
          <w:szCs w:val="24"/>
          <w:lang w:val="es-ES_tradnl"/>
        </w:rPr>
        <w:t xml:space="preserve"> revisado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, que contiene un proyecto de </w:t>
      </w:r>
      <w:r w:rsidR="00315133" w:rsidRPr="008059D8">
        <w:rPr>
          <w:rFonts w:asciiTheme="minorHAnsi" w:hAnsiTheme="minorHAnsi" w:cstheme="minorHAnsi"/>
          <w:szCs w:val="24"/>
          <w:lang w:val="es-ES_tradnl"/>
        </w:rPr>
        <w:t>Acuerdo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 del Consejo sobre la aplicación de la Resolución 70 (Rev. Bucarest, 2022), y</w:t>
      </w:r>
      <w:r w:rsidR="006F1845" w:rsidRPr="008059D8">
        <w:rPr>
          <w:rFonts w:asciiTheme="minorHAnsi" w:hAnsiTheme="minorHAnsi" w:cstheme="minorHAnsi"/>
          <w:szCs w:val="24"/>
          <w:lang w:val="es-ES_tradnl"/>
        </w:rPr>
        <w:t xml:space="preserve"> el Documento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 C23/76(Rev.1)</w:t>
      </w:r>
      <w:r w:rsidR="00626B96">
        <w:rPr>
          <w:rFonts w:asciiTheme="minorHAnsi" w:hAnsiTheme="minorHAnsi" w:cstheme="minorHAnsi"/>
          <w:szCs w:val="24"/>
          <w:lang w:val="es-ES_tradnl"/>
        </w:rPr>
        <w:t xml:space="preserve"> revisado</w:t>
      </w:r>
      <w:r w:rsidRPr="008059D8">
        <w:rPr>
          <w:rFonts w:asciiTheme="minorHAnsi" w:hAnsiTheme="minorHAnsi" w:cstheme="minorHAnsi"/>
          <w:szCs w:val="24"/>
          <w:lang w:val="es-ES_tradnl"/>
        </w:rPr>
        <w:t>, que contiene una propuesta para</w:t>
      </w:r>
      <w:r w:rsidR="006F1845" w:rsidRPr="008059D8">
        <w:rPr>
          <w:rFonts w:asciiTheme="minorHAnsi" w:hAnsiTheme="minorHAnsi" w:cstheme="minorHAnsi"/>
          <w:szCs w:val="24"/>
          <w:lang w:val="es-ES_tradnl"/>
        </w:rPr>
        <w:t xml:space="preserve"> el empoderamiento y la </w:t>
      </w:r>
      <w:r w:rsidRPr="008059D8">
        <w:rPr>
          <w:rFonts w:asciiTheme="minorHAnsi" w:hAnsiTheme="minorHAnsi" w:cstheme="minorHAnsi"/>
          <w:szCs w:val="24"/>
          <w:lang w:val="es-ES_tradnl"/>
        </w:rPr>
        <w:t>inclusión de la</w:t>
      </w:r>
      <w:r w:rsidR="006F1845" w:rsidRPr="008059D8">
        <w:rPr>
          <w:rFonts w:asciiTheme="minorHAnsi" w:hAnsiTheme="minorHAnsi" w:cstheme="minorHAnsi"/>
          <w:szCs w:val="24"/>
          <w:lang w:val="es-ES_tradnl"/>
        </w:rPr>
        <w:t>s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 mujer</w:t>
      </w:r>
      <w:r w:rsidR="006F1845" w:rsidRPr="008059D8">
        <w:rPr>
          <w:rFonts w:asciiTheme="minorHAnsi" w:hAnsiTheme="minorHAnsi" w:cstheme="minorHAnsi"/>
          <w:szCs w:val="24"/>
          <w:lang w:val="es-ES_tradnl"/>
        </w:rPr>
        <w:t>es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 en las actividades de la UIT.</w:t>
      </w:r>
    </w:p>
    <w:p w14:paraId="4DEC4A76" w14:textId="231BAF73" w:rsidR="00B67CDA" w:rsidRPr="008059D8" w:rsidRDefault="00AC246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szCs w:val="24"/>
          <w:lang w:val="es-ES_tradnl"/>
        </w:rPr>
      </w:pPr>
      <w:r w:rsidRPr="008059D8">
        <w:rPr>
          <w:rFonts w:asciiTheme="minorHAnsi" w:hAnsiTheme="minorHAnsi" w:cstheme="minorHAnsi"/>
          <w:szCs w:val="24"/>
          <w:lang w:val="es-ES_tradnl"/>
        </w:rPr>
        <w:t>4.2</w:t>
      </w:r>
      <w:r w:rsidR="006F1845" w:rsidRPr="008059D8">
        <w:rPr>
          <w:rFonts w:asciiTheme="minorHAnsi" w:hAnsiTheme="minorHAnsi" w:cstheme="minorHAnsi"/>
          <w:szCs w:val="24"/>
          <w:lang w:val="es-ES_tradnl"/>
        </w:rPr>
        <w:tab/>
      </w:r>
      <w:r w:rsidRPr="008059D8">
        <w:rPr>
          <w:rFonts w:asciiTheme="minorHAnsi" w:hAnsiTheme="minorHAnsi" w:cstheme="minorHAnsi"/>
          <w:szCs w:val="24"/>
          <w:lang w:val="es-ES_tradnl"/>
        </w:rPr>
        <w:t>El</w:t>
      </w:r>
      <w:r w:rsidR="006F1845" w:rsidRPr="008059D8">
        <w:rPr>
          <w:rFonts w:asciiTheme="minorHAnsi" w:hAnsiTheme="minorHAnsi" w:cstheme="minorHAnsi"/>
          <w:szCs w:val="24"/>
          <w:lang w:val="es-ES_tradnl"/>
        </w:rPr>
        <w:t xml:space="preserve"> 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Consejo </w:t>
      </w:r>
      <w:r w:rsidRPr="008059D8">
        <w:rPr>
          <w:rFonts w:asciiTheme="minorHAnsi" w:hAnsiTheme="minorHAnsi" w:cstheme="minorHAnsi"/>
          <w:b/>
          <w:bCs/>
          <w:szCs w:val="24"/>
          <w:lang w:val="es-ES_tradnl"/>
        </w:rPr>
        <w:t>apr</w:t>
      </w:r>
      <w:r w:rsidR="006F1845" w:rsidRPr="008059D8">
        <w:rPr>
          <w:rFonts w:asciiTheme="minorHAnsi" w:hAnsiTheme="minorHAnsi" w:cstheme="minorHAnsi"/>
          <w:b/>
          <w:bCs/>
          <w:szCs w:val="24"/>
          <w:lang w:val="es-ES_tradnl"/>
        </w:rPr>
        <w:t>ueba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 el Documento C23/76(Rev.1) y </w:t>
      </w:r>
      <w:r w:rsidRPr="008059D8">
        <w:rPr>
          <w:rFonts w:asciiTheme="minorHAnsi" w:hAnsiTheme="minorHAnsi" w:cstheme="minorHAnsi"/>
          <w:b/>
          <w:bCs/>
          <w:szCs w:val="24"/>
          <w:lang w:val="es-ES_tradnl"/>
        </w:rPr>
        <w:t>adopt</w:t>
      </w:r>
      <w:r w:rsidR="006F1845" w:rsidRPr="008059D8">
        <w:rPr>
          <w:rFonts w:asciiTheme="minorHAnsi" w:hAnsiTheme="minorHAnsi" w:cstheme="minorHAnsi"/>
          <w:b/>
          <w:bCs/>
          <w:szCs w:val="24"/>
          <w:lang w:val="es-ES_tradnl"/>
        </w:rPr>
        <w:t>a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 </w:t>
      </w:r>
      <w:r w:rsidR="006F1845" w:rsidRPr="008059D8">
        <w:rPr>
          <w:rFonts w:asciiTheme="minorHAnsi" w:hAnsiTheme="minorHAnsi" w:cstheme="minorHAnsi"/>
          <w:szCs w:val="24"/>
          <w:lang w:val="es-ES_tradnl"/>
        </w:rPr>
        <w:t>el Acuerdo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 que figura en el Documento C23/91(Rev.1).</w:t>
      </w:r>
    </w:p>
    <w:p w14:paraId="7CF18022" w14:textId="634C3127" w:rsidR="00B67CDA" w:rsidRPr="008059D8" w:rsidRDefault="00AC246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djustRightInd/>
        <w:spacing w:after="120"/>
        <w:jc w:val="both"/>
        <w:rPr>
          <w:rFonts w:asciiTheme="minorHAnsi" w:hAnsiTheme="minorHAnsi" w:cstheme="minorHAnsi"/>
          <w:b/>
          <w:bCs/>
          <w:szCs w:val="24"/>
          <w:lang w:val="es-ES_tradnl"/>
        </w:rPr>
      </w:pPr>
      <w:r w:rsidRPr="008059D8">
        <w:rPr>
          <w:rFonts w:asciiTheme="minorHAnsi" w:hAnsiTheme="minorHAnsi" w:cstheme="minorHAnsi"/>
          <w:b/>
          <w:bCs/>
          <w:szCs w:val="24"/>
          <w:lang w:val="es-ES_tradnl"/>
        </w:rPr>
        <w:t>5</w:t>
      </w:r>
      <w:r w:rsidR="006F1845" w:rsidRPr="008059D8">
        <w:rPr>
          <w:rFonts w:asciiTheme="minorHAnsi" w:hAnsiTheme="minorHAnsi" w:cstheme="minorHAnsi"/>
          <w:b/>
          <w:bCs/>
          <w:szCs w:val="24"/>
          <w:lang w:val="es-ES_tradnl"/>
        </w:rPr>
        <w:tab/>
      </w:r>
      <w:proofErr w:type="gramStart"/>
      <w:r w:rsidRPr="008059D8">
        <w:rPr>
          <w:rFonts w:asciiTheme="minorHAnsi" w:hAnsiTheme="minorHAnsi" w:cstheme="minorHAnsi"/>
          <w:b/>
          <w:bCs/>
          <w:szCs w:val="24"/>
          <w:lang w:val="es-ES_tradnl"/>
        </w:rPr>
        <w:t>Resoluciones</w:t>
      </w:r>
      <w:proofErr w:type="gramEnd"/>
      <w:r w:rsidRPr="008059D8">
        <w:rPr>
          <w:rFonts w:asciiTheme="minorHAnsi" w:hAnsiTheme="minorHAnsi" w:cstheme="minorHAnsi"/>
          <w:b/>
          <w:bCs/>
          <w:szCs w:val="24"/>
          <w:lang w:val="es-ES_tradnl"/>
        </w:rPr>
        <w:t xml:space="preserve"> y </w:t>
      </w:r>
      <w:r w:rsidR="006F1845" w:rsidRPr="008059D8">
        <w:rPr>
          <w:rFonts w:asciiTheme="minorHAnsi" w:hAnsiTheme="minorHAnsi" w:cstheme="minorHAnsi"/>
          <w:b/>
          <w:bCs/>
          <w:szCs w:val="24"/>
          <w:lang w:val="es-ES_tradnl"/>
        </w:rPr>
        <w:t>Acuerdos obsoletos</w:t>
      </w:r>
      <w:r w:rsidRPr="008059D8">
        <w:rPr>
          <w:rFonts w:asciiTheme="minorHAnsi" w:hAnsiTheme="minorHAnsi" w:cstheme="minorHAnsi"/>
          <w:b/>
          <w:bCs/>
          <w:szCs w:val="24"/>
          <w:lang w:val="es-ES_tradnl"/>
        </w:rPr>
        <w:t xml:space="preserve"> del Consejo</w:t>
      </w:r>
      <w:r w:rsidR="006F1845" w:rsidRPr="008059D8">
        <w:rPr>
          <w:rFonts w:asciiTheme="minorHAnsi" w:hAnsiTheme="minorHAnsi" w:cstheme="minorHAnsi"/>
          <w:b/>
          <w:bCs/>
          <w:szCs w:val="24"/>
          <w:lang w:val="es-ES_tradnl"/>
        </w:rPr>
        <w:t xml:space="preserve"> </w:t>
      </w:r>
      <w:r w:rsidRPr="008059D8">
        <w:rPr>
          <w:rFonts w:asciiTheme="minorHAnsi" w:hAnsiTheme="minorHAnsi" w:cstheme="minorHAnsi"/>
          <w:b/>
          <w:bCs/>
          <w:szCs w:val="24"/>
          <w:lang w:val="es-ES_tradnl"/>
        </w:rPr>
        <w:t xml:space="preserve">(Documento </w:t>
      </w:r>
      <w:hyperlink r:id="rId39" w:history="1">
        <w:r w:rsidRPr="008059D8">
          <w:rPr>
            <w:rStyle w:val="Hyperlink"/>
            <w:rFonts w:asciiTheme="minorHAnsi" w:hAnsiTheme="minorHAnsi" w:cstheme="minorHAnsi"/>
            <w:b/>
            <w:bCs/>
            <w:szCs w:val="24"/>
            <w:lang w:val="es-ES_tradnl"/>
          </w:rPr>
          <w:t>C23/3(Rev.1)</w:t>
        </w:r>
      </w:hyperlink>
      <w:r w:rsidRPr="008059D8">
        <w:rPr>
          <w:rFonts w:asciiTheme="minorHAnsi" w:hAnsiTheme="minorHAnsi" w:cstheme="minorHAnsi"/>
          <w:b/>
          <w:bCs/>
          <w:szCs w:val="24"/>
          <w:lang w:val="es-ES_tradnl"/>
        </w:rPr>
        <w:t>)</w:t>
      </w:r>
    </w:p>
    <w:p w14:paraId="57CD8E70" w14:textId="48D5CF16" w:rsidR="00B67CDA" w:rsidRPr="008059D8" w:rsidRDefault="00AC246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djustRightInd/>
        <w:spacing w:after="120"/>
        <w:jc w:val="both"/>
        <w:rPr>
          <w:rFonts w:asciiTheme="minorHAnsi" w:hAnsiTheme="minorHAnsi" w:cstheme="minorHAnsi"/>
          <w:szCs w:val="24"/>
          <w:lang w:val="es-ES_tradnl"/>
        </w:rPr>
      </w:pPr>
      <w:r w:rsidRPr="008059D8">
        <w:rPr>
          <w:rFonts w:asciiTheme="minorHAnsi" w:hAnsiTheme="minorHAnsi" w:cstheme="minorHAnsi"/>
          <w:szCs w:val="24"/>
          <w:lang w:val="es-ES_tradnl"/>
        </w:rPr>
        <w:t>5.1</w:t>
      </w:r>
      <w:r w:rsidR="006F1845" w:rsidRPr="008059D8">
        <w:rPr>
          <w:rFonts w:asciiTheme="minorHAnsi" w:hAnsiTheme="minorHAnsi" w:cstheme="minorHAnsi"/>
          <w:szCs w:val="24"/>
          <w:lang w:val="es-ES_tradnl"/>
        </w:rPr>
        <w:tab/>
      </w:r>
      <w:r w:rsidRPr="008059D8">
        <w:rPr>
          <w:rFonts w:asciiTheme="minorHAnsi" w:hAnsiTheme="minorHAnsi" w:cstheme="minorHAnsi"/>
          <w:szCs w:val="24"/>
          <w:lang w:val="es-ES_tradnl"/>
        </w:rPr>
        <w:t>Un</w:t>
      </w:r>
      <w:r w:rsidR="00C10672" w:rsidRPr="008059D8">
        <w:rPr>
          <w:rFonts w:asciiTheme="minorHAnsi" w:hAnsiTheme="minorHAnsi" w:cstheme="minorHAnsi"/>
          <w:szCs w:val="24"/>
          <w:lang w:val="es-ES_tradnl"/>
        </w:rPr>
        <w:t>a</w:t>
      </w:r>
      <w:r w:rsidR="006F1845" w:rsidRPr="008059D8">
        <w:rPr>
          <w:rFonts w:asciiTheme="minorHAnsi" w:hAnsiTheme="minorHAnsi" w:cstheme="minorHAnsi"/>
          <w:szCs w:val="24"/>
          <w:lang w:val="es-ES_tradnl"/>
        </w:rPr>
        <w:t xml:space="preserve"> 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representante de la Secretaría General presenta el documento C23/3(Rev.1), que contiene una lista de </w:t>
      </w:r>
      <w:r w:rsidR="00C10672" w:rsidRPr="008059D8">
        <w:rPr>
          <w:rFonts w:asciiTheme="minorHAnsi" w:hAnsiTheme="minorHAnsi" w:cstheme="minorHAnsi"/>
          <w:szCs w:val="24"/>
          <w:lang w:val="es-ES_tradnl"/>
        </w:rPr>
        <w:t>R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esoluciones y </w:t>
      </w:r>
      <w:r w:rsidR="00C10672" w:rsidRPr="008059D8">
        <w:rPr>
          <w:rFonts w:asciiTheme="minorHAnsi" w:hAnsiTheme="minorHAnsi" w:cstheme="minorHAnsi"/>
          <w:szCs w:val="24"/>
          <w:lang w:val="es-ES_tradnl"/>
        </w:rPr>
        <w:t>Acuerdos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 del Consejo que debe</w:t>
      </w:r>
      <w:r w:rsidR="00C10672" w:rsidRPr="008059D8">
        <w:rPr>
          <w:rFonts w:asciiTheme="minorHAnsi" w:hAnsiTheme="minorHAnsi" w:cstheme="minorHAnsi"/>
          <w:szCs w:val="24"/>
          <w:lang w:val="es-ES_tradnl"/>
        </w:rPr>
        <w:t>ría</w:t>
      </w:r>
      <w:r w:rsidRPr="008059D8">
        <w:rPr>
          <w:rFonts w:asciiTheme="minorHAnsi" w:hAnsiTheme="minorHAnsi" w:cstheme="minorHAnsi"/>
          <w:szCs w:val="24"/>
          <w:lang w:val="es-ES_tradnl"/>
        </w:rPr>
        <w:t>n derogarse.</w:t>
      </w:r>
    </w:p>
    <w:p w14:paraId="03DE42B9" w14:textId="495C34EE" w:rsidR="00B67CDA" w:rsidRPr="008059D8" w:rsidRDefault="00AC246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djustRightInd/>
        <w:spacing w:after="120"/>
        <w:jc w:val="both"/>
        <w:rPr>
          <w:rFonts w:asciiTheme="minorHAnsi" w:hAnsiTheme="minorHAnsi" w:cstheme="minorHAnsi"/>
          <w:szCs w:val="24"/>
          <w:lang w:val="es-ES_tradnl"/>
        </w:rPr>
      </w:pPr>
      <w:r w:rsidRPr="008059D8">
        <w:rPr>
          <w:rFonts w:asciiTheme="minorHAnsi" w:hAnsiTheme="minorHAnsi" w:cstheme="minorHAnsi"/>
          <w:szCs w:val="24"/>
          <w:lang w:val="es-ES_tradnl"/>
        </w:rPr>
        <w:t>5.2</w:t>
      </w:r>
      <w:r w:rsidR="00C10672" w:rsidRPr="008059D8">
        <w:rPr>
          <w:rFonts w:asciiTheme="minorHAnsi" w:hAnsiTheme="minorHAnsi" w:cstheme="minorHAnsi"/>
          <w:szCs w:val="24"/>
          <w:lang w:val="es-ES_tradnl"/>
        </w:rPr>
        <w:tab/>
      </w:r>
      <w:r w:rsidRPr="008059D8">
        <w:rPr>
          <w:rFonts w:asciiTheme="minorHAnsi" w:hAnsiTheme="minorHAnsi" w:cstheme="minorHAnsi"/>
          <w:szCs w:val="24"/>
          <w:lang w:val="es-ES_tradnl"/>
        </w:rPr>
        <w:t>Algunos</w:t>
      </w:r>
      <w:r w:rsidR="00C10672" w:rsidRPr="008059D8">
        <w:rPr>
          <w:rFonts w:asciiTheme="minorHAnsi" w:hAnsiTheme="minorHAnsi" w:cstheme="minorHAnsi"/>
          <w:szCs w:val="24"/>
          <w:lang w:val="es-ES_tradnl"/>
        </w:rPr>
        <w:t xml:space="preserve"> 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consejeros se </w:t>
      </w:r>
      <w:r w:rsidR="00C10672" w:rsidRPr="008059D8">
        <w:rPr>
          <w:rFonts w:asciiTheme="minorHAnsi" w:hAnsiTheme="minorHAnsi" w:cstheme="minorHAnsi"/>
          <w:szCs w:val="24"/>
          <w:lang w:val="es-ES_tradnl"/>
        </w:rPr>
        <w:t>oponen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 a la propuesta </w:t>
      </w:r>
      <w:r w:rsidR="00C10672" w:rsidRPr="008059D8">
        <w:rPr>
          <w:rFonts w:asciiTheme="minorHAnsi" w:hAnsiTheme="minorHAnsi" w:cstheme="minorHAnsi"/>
          <w:szCs w:val="24"/>
          <w:lang w:val="es-ES_tradnl"/>
        </w:rPr>
        <w:t xml:space="preserve">de derogación </w:t>
      </w:r>
      <w:r w:rsidR="00E86D2F" w:rsidRPr="008059D8">
        <w:rPr>
          <w:rFonts w:asciiTheme="minorHAnsi" w:hAnsiTheme="minorHAnsi" w:cstheme="minorHAnsi"/>
          <w:szCs w:val="24"/>
          <w:lang w:val="es-ES_tradnl"/>
        </w:rPr>
        <w:t>del Acuerdo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 500 (C-2000), relativ</w:t>
      </w:r>
      <w:r w:rsidR="00E86D2F" w:rsidRPr="008059D8">
        <w:rPr>
          <w:rFonts w:asciiTheme="minorHAnsi" w:hAnsiTheme="minorHAnsi" w:cstheme="minorHAnsi"/>
          <w:szCs w:val="24"/>
          <w:lang w:val="es-ES_tradnl"/>
        </w:rPr>
        <w:t>o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 al uso de</w:t>
      </w:r>
      <w:r w:rsidR="00E86D2F" w:rsidRPr="008059D8">
        <w:rPr>
          <w:rFonts w:asciiTheme="minorHAnsi" w:hAnsiTheme="minorHAnsi" w:cstheme="minorHAnsi"/>
          <w:szCs w:val="24"/>
          <w:lang w:val="es-ES_tradnl"/>
        </w:rPr>
        <w:t xml:space="preserve"> </w:t>
      </w:r>
      <w:r w:rsidRPr="008059D8">
        <w:rPr>
          <w:rFonts w:asciiTheme="minorHAnsi" w:hAnsiTheme="minorHAnsi" w:cstheme="minorHAnsi"/>
          <w:szCs w:val="24"/>
          <w:lang w:val="es-ES_tradnl"/>
        </w:rPr>
        <w:t>l</w:t>
      </w:r>
      <w:r w:rsidR="00E86D2F" w:rsidRPr="008059D8">
        <w:rPr>
          <w:rFonts w:asciiTheme="minorHAnsi" w:hAnsiTheme="minorHAnsi" w:cstheme="minorHAnsi"/>
          <w:szCs w:val="24"/>
          <w:lang w:val="es-ES_tradnl"/>
        </w:rPr>
        <w:t>a palabra “chairman”</w:t>
      </w:r>
      <w:r w:rsidRPr="008059D8">
        <w:rPr>
          <w:rFonts w:asciiTheme="minorHAnsi" w:hAnsiTheme="minorHAnsi" w:cstheme="minorHAnsi"/>
          <w:szCs w:val="24"/>
          <w:lang w:val="es-ES_tradnl"/>
        </w:rPr>
        <w:t>, alegando que</w:t>
      </w:r>
      <w:r w:rsidR="00E86D2F" w:rsidRPr="008059D8">
        <w:rPr>
          <w:rFonts w:asciiTheme="minorHAnsi" w:hAnsiTheme="minorHAnsi" w:cstheme="minorHAnsi"/>
          <w:szCs w:val="24"/>
          <w:lang w:val="es-ES_tradnl"/>
        </w:rPr>
        <w:t>, en general, se considera un</w:t>
      </w:r>
      <w:r w:rsidR="00C81D53" w:rsidRPr="008059D8">
        <w:rPr>
          <w:rFonts w:asciiTheme="minorHAnsi" w:hAnsiTheme="minorHAnsi" w:cstheme="minorHAnsi"/>
          <w:szCs w:val="24"/>
          <w:lang w:val="es-ES_tradnl"/>
        </w:rPr>
        <w:t>a palabra n</w:t>
      </w:r>
      <w:r w:rsidR="00E86D2F" w:rsidRPr="008059D8">
        <w:rPr>
          <w:rFonts w:asciiTheme="minorHAnsi" w:hAnsiTheme="minorHAnsi" w:cstheme="minorHAnsi"/>
          <w:szCs w:val="24"/>
          <w:lang w:val="es-ES_tradnl"/>
        </w:rPr>
        <w:t>eutr</w:t>
      </w:r>
      <w:r w:rsidR="00C81D53" w:rsidRPr="008059D8">
        <w:rPr>
          <w:rFonts w:asciiTheme="minorHAnsi" w:hAnsiTheme="minorHAnsi" w:cstheme="minorHAnsi"/>
          <w:szCs w:val="24"/>
          <w:lang w:val="es-ES_tradnl"/>
        </w:rPr>
        <w:t>a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 en cuanto al género y </w:t>
      </w:r>
      <w:r w:rsidR="00C81D53" w:rsidRPr="008059D8">
        <w:rPr>
          <w:rFonts w:asciiTheme="minorHAnsi" w:hAnsiTheme="minorHAnsi" w:cstheme="minorHAnsi"/>
          <w:szCs w:val="24"/>
          <w:lang w:val="es-ES_tradnl"/>
        </w:rPr>
        <w:t xml:space="preserve">es el 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término utilizado en los textos </w:t>
      </w:r>
      <w:r w:rsidR="00C81D53" w:rsidRPr="008059D8">
        <w:rPr>
          <w:rFonts w:asciiTheme="minorHAnsi" w:hAnsiTheme="minorHAnsi" w:cstheme="minorHAnsi"/>
          <w:szCs w:val="24"/>
          <w:lang w:val="es-ES_tradnl"/>
        </w:rPr>
        <w:t>fundamentales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 de la Unión. Su sustitución por la palabra "chair" </w:t>
      </w:r>
      <w:r w:rsidR="00C81D53" w:rsidRPr="008059D8">
        <w:rPr>
          <w:rFonts w:asciiTheme="minorHAnsi" w:hAnsiTheme="minorHAnsi" w:cstheme="minorHAnsi"/>
          <w:szCs w:val="24"/>
          <w:lang w:val="es-ES_tradnl"/>
        </w:rPr>
        <w:t>–</w:t>
      </w:r>
      <w:r w:rsidRPr="008059D8">
        <w:rPr>
          <w:rFonts w:asciiTheme="minorHAnsi" w:hAnsiTheme="minorHAnsi" w:cstheme="minorHAnsi"/>
          <w:szCs w:val="24"/>
          <w:lang w:val="es-ES_tradnl"/>
        </w:rPr>
        <w:t>un término que</w:t>
      </w:r>
      <w:r w:rsidR="00C81D53" w:rsidRPr="008059D8">
        <w:rPr>
          <w:rFonts w:asciiTheme="minorHAnsi" w:hAnsiTheme="minorHAnsi" w:cstheme="minorHAnsi"/>
          <w:szCs w:val="24"/>
          <w:lang w:val="es-ES_tradnl"/>
        </w:rPr>
        <w:t xml:space="preserve"> únicamente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 refleja la posición de un cierto número de Estados </w:t>
      </w:r>
      <w:r w:rsidR="00C81D53" w:rsidRPr="008059D8">
        <w:rPr>
          <w:rFonts w:asciiTheme="minorHAnsi" w:hAnsiTheme="minorHAnsi" w:cstheme="minorHAnsi"/>
          <w:szCs w:val="24"/>
          <w:lang w:val="es-ES_tradnl"/>
        </w:rPr>
        <w:t>M</w:t>
      </w:r>
      <w:r w:rsidRPr="008059D8">
        <w:rPr>
          <w:rFonts w:asciiTheme="minorHAnsi" w:hAnsiTheme="minorHAnsi" w:cstheme="minorHAnsi"/>
          <w:szCs w:val="24"/>
          <w:lang w:val="es-ES_tradnl"/>
        </w:rPr>
        <w:t>iembros</w:t>
      </w:r>
      <w:r w:rsidR="00C81D53" w:rsidRPr="008059D8">
        <w:rPr>
          <w:rFonts w:asciiTheme="minorHAnsi" w:hAnsiTheme="minorHAnsi" w:cstheme="minorHAnsi"/>
          <w:szCs w:val="24"/>
          <w:lang w:val="es-ES_tradnl"/>
        </w:rPr>
        <w:t>–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 podría tener consecuencias para los textos </w:t>
      </w:r>
      <w:r w:rsidR="00626B96">
        <w:rPr>
          <w:rFonts w:asciiTheme="minorHAnsi" w:hAnsiTheme="minorHAnsi" w:cstheme="minorHAnsi"/>
          <w:szCs w:val="24"/>
          <w:lang w:val="es-ES_tradnl"/>
        </w:rPr>
        <w:t xml:space="preserve">redactados </w:t>
      </w:r>
      <w:r w:rsidRPr="008059D8">
        <w:rPr>
          <w:rFonts w:asciiTheme="minorHAnsi" w:hAnsiTheme="minorHAnsi" w:cstheme="minorHAnsi"/>
          <w:szCs w:val="24"/>
          <w:lang w:val="es-ES_tradnl"/>
        </w:rPr>
        <w:t>en l</w:t>
      </w:r>
      <w:r w:rsidR="00C81D53" w:rsidRPr="008059D8">
        <w:rPr>
          <w:rFonts w:asciiTheme="minorHAnsi" w:hAnsiTheme="minorHAnsi" w:cstheme="minorHAnsi"/>
          <w:szCs w:val="24"/>
          <w:lang w:val="es-ES_tradnl"/>
        </w:rPr>
        <w:t>o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s demás </w:t>
      </w:r>
      <w:r w:rsidR="00C81D53" w:rsidRPr="008059D8">
        <w:rPr>
          <w:rFonts w:asciiTheme="minorHAnsi" w:hAnsiTheme="minorHAnsi" w:cstheme="minorHAnsi"/>
          <w:szCs w:val="24"/>
          <w:lang w:val="es-ES_tradnl"/>
        </w:rPr>
        <w:t>idiomas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 oficiales. Es necesario mantener la coherencia en tod</w:t>
      </w:r>
      <w:r w:rsidR="00C81D53" w:rsidRPr="008059D8">
        <w:rPr>
          <w:rFonts w:asciiTheme="minorHAnsi" w:hAnsiTheme="minorHAnsi" w:cstheme="minorHAnsi"/>
          <w:szCs w:val="24"/>
          <w:lang w:val="es-ES_tradnl"/>
        </w:rPr>
        <w:t>o</w:t>
      </w:r>
      <w:r w:rsidRPr="008059D8">
        <w:rPr>
          <w:rFonts w:asciiTheme="minorHAnsi" w:hAnsiTheme="minorHAnsi" w:cstheme="minorHAnsi"/>
          <w:szCs w:val="24"/>
          <w:lang w:val="es-ES_tradnl"/>
        </w:rPr>
        <w:t>s l</w:t>
      </w:r>
      <w:r w:rsidR="00C81D53" w:rsidRPr="008059D8">
        <w:rPr>
          <w:rFonts w:asciiTheme="minorHAnsi" w:hAnsiTheme="minorHAnsi" w:cstheme="minorHAnsi"/>
          <w:szCs w:val="24"/>
          <w:lang w:val="es-ES_tradnl"/>
        </w:rPr>
        <w:t>o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s </w:t>
      </w:r>
      <w:r w:rsidR="00C81D53" w:rsidRPr="008059D8">
        <w:rPr>
          <w:rFonts w:asciiTheme="minorHAnsi" w:hAnsiTheme="minorHAnsi" w:cstheme="minorHAnsi"/>
          <w:szCs w:val="24"/>
          <w:lang w:val="es-ES_tradnl"/>
        </w:rPr>
        <w:t>idiomas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 oficiales de la UIT. Se </w:t>
      </w:r>
      <w:r w:rsidR="00C81D53" w:rsidRPr="008059D8">
        <w:rPr>
          <w:rFonts w:asciiTheme="minorHAnsi" w:hAnsiTheme="minorHAnsi" w:cstheme="minorHAnsi"/>
          <w:szCs w:val="24"/>
          <w:lang w:val="es-ES_tradnl"/>
        </w:rPr>
        <w:t>propone someter el tema a la consideración de</w:t>
      </w:r>
      <w:r w:rsidRPr="008059D8">
        <w:rPr>
          <w:rFonts w:asciiTheme="minorHAnsi" w:hAnsiTheme="minorHAnsi" w:cstheme="minorHAnsi"/>
          <w:szCs w:val="24"/>
          <w:lang w:val="es-ES_tradnl"/>
        </w:rPr>
        <w:t>l Grupo de Trabajo del Consejo sobre</w:t>
      </w:r>
      <w:r w:rsidR="00C81D53" w:rsidRPr="008059D8">
        <w:rPr>
          <w:rFonts w:asciiTheme="minorHAnsi" w:hAnsiTheme="minorHAnsi" w:cstheme="minorHAnsi"/>
          <w:szCs w:val="24"/>
          <w:lang w:val="es-ES_tradnl"/>
        </w:rPr>
        <w:t xml:space="preserve"> los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 idiomas o </w:t>
      </w:r>
      <w:r w:rsidR="00C81D53" w:rsidRPr="008059D8">
        <w:rPr>
          <w:rFonts w:asciiTheme="minorHAnsi" w:hAnsiTheme="minorHAnsi" w:cstheme="minorHAnsi"/>
          <w:szCs w:val="24"/>
          <w:lang w:val="es-ES_tradnl"/>
        </w:rPr>
        <w:t>de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l </w:t>
      </w:r>
      <w:r w:rsidR="00C81D53" w:rsidRPr="008059D8">
        <w:rPr>
          <w:rFonts w:asciiTheme="minorHAnsi" w:hAnsiTheme="minorHAnsi" w:cstheme="minorHAnsi"/>
          <w:szCs w:val="24"/>
          <w:lang w:val="es-ES_tradnl"/>
        </w:rPr>
        <w:t>Comité de Coordinación de Terminología</w:t>
      </w:r>
      <w:r w:rsidRPr="008059D8">
        <w:rPr>
          <w:rFonts w:asciiTheme="minorHAnsi" w:hAnsiTheme="minorHAnsi" w:cstheme="minorHAnsi"/>
          <w:szCs w:val="24"/>
          <w:lang w:val="es-ES_tradnl"/>
        </w:rPr>
        <w:t>.</w:t>
      </w:r>
    </w:p>
    <w:p w14:paraId="00B25321" w14:textId="1889DE6E" w:rsidR="00B67CDA" w:rsidRPr="008059D8" w:rsidRDefault="00AC246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djustRightInd/>
        <w:spacing w:after="120"/>
        <w:jc w:val="both"/>
        <w:rPr>
          <w:rFonts w:asciiTheme="minorHAnsi" w:hAnsiTheme="minorHAnsi" w:cstheme="minorHAnsi"/>
          <w:szCs w:val="24"/>
          <w:lang w:val="es-ES_tradnl"/>
        </w:rPr>
      </w:pPr>
      <w:r w:rsidRPr="008059D8">
        <w:rPr>
          <w:rFonts w:asciiTheme="minorHAnsi" w:hAnsiTheme="minorHAnsi" w:cstheme="minorHAnsi"/>
          <w:szCs w:val="24"/>
          <w:lang w:val="es-ES_tradnl"/>
        </w:rPr>
        <w:t>5.3</w:t>
      </w:r>
      <w:r w:rsidR="00C81D53" w:rsidRPr="008059D8">
        <w:rPr>
          <w:rFonts w:asciiTheme="minorHAnsi" w:hAnsiTheme="minorHAnsi" w:cstheme="minorHAnsi"/>
          <w:szCs w:val="24"/>
          <w:lang w:val="es-ES_tradnl"/>
        </w:rPr>
        <w:tab/>
      </w:r>
      <w:r w:rsidRPr="008059D8">
        <w:rPr>
          <w:rFonts w:asciiTheme="minorHAnsi" w:hAnsiTheme="minorHAnsi" w:cstheme="minorHAnsi"/>
          <w:szCs w:val="24"/>
          <w:lang w:val="es-ES_tradnl"/>
        </w:rPr>
        <w:t>Varios</w:t>
      </w:r>
      <w:r w:rsidR="00C81D53" w:rsidRPr="008059D8">
        <w:rPr>
          <w:rFonts w:asciiTheme="minorHAnsi" w:hAnsiTheme="minorHAnsi" w:cstheme="minorHAnsi"/>
          <w:szCs w:val="24"/>
          <w:lang w:val="es-ES_tradnl"/>
        </w:rPr>
        <w:t xml:space="preserve"> 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consejeros expresan su apoyo a la derogación del </w:t>
      </w:r>
      <w:r w:rsidR="00C81D53" w:rsidRPr="008059D8">
        <w:rPr>
          <w:rFonts w:asciiTheme="minorHAnsi" w:hAnsiTheme="minorHAnsi" w:cstheme="minorHAnsi"/>
          <w:szCs w:val="24"/>
          <w:lang w:val="es-ES_tradnl"/>
        </w:rPr>
        <w:t>Acuerdo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 500</w:t>
      </w:r>
      <w:bookmarkStart w:id="8" w:name="_Hlk141627571"/>
      <w:r w:rsidRPr="008059D8">
        <w:rPr>
          <w:rFonts w:asciiTheme="minorHAnsi" w:hAnsiTheme="minorHAnsi" w:cstheme="minorHAnsi"/>
          <w:szCs w:val="24"/>
          <w:lang w:val="es-ES_tradnl"/>
        </w:rPr>
        <w:t xml:space="preserve"> (C-2000)</w:t>
      </w:r>
      <w:bookmarkEnd w:id="8"/>
      <w:r w:rsidRPr="008059D8">
        <w:rPr>
          <w:rFonts w:asciiTheme="minorHAnsi" w:hAnsiTheme="minorHAnsi" w:cstheme="minorHAnsi"/>
          <w:szCs w:val="24"/>
          <w:lang w:val="es-ES_tradnl"/>
        </w:rPr>
        <w:t>,</w:t>
      </w:r>
      <w:r w:rsidR="00C81D53" w:rsidRPr="008059D8">
        <w:rPr>
          <w:rFonts w:asciiTheme="minorHAnsi" w:hAnsiTheme="minorHAnsi" w:cstheme="minorHAnsi"/>
          <w:szCs w:val="24"/>
          <w:lang w:val="es-ES_tradnl"/>
        </w:rPr>
        <w:t xml:space="preserve"> por considerar que el uso de la palabra </w:t>
      </w:r>
      <w:r w:rsidR="00AF4CB7">
        <w:rPr>
          <w:rFonts w:asciiTheme="minorHAnsi" w:hAnsiTheme="minorHAnsi" w:cstheme="minorHAnsi"/>
          <w:szCs w:val="24"/>
          <w:lang w:val="es-ES_tradnl"/>
        </w:rPr>
        <w:t>"</w:t>
      </w:r>
      <w:r w:rsidR="00C81D53" w:rsidRPr="008059D8">
        <w:rPr>
          <w:rFonts w:asciiTheme="minorHAnsi" w:hAnsiTheme="minorHAnsi" w:cstheme="minorHAnsi"/>
          <w:szCs w:val="24"/>
          <w:lang w:val="es-ES_tradnl"/>
        </w:rPr>
        <w:t>chairman</w:t>
      </w:r>
      <w:r w:rsidR="00AF4CB7">
        <w:rPr>
          <w:rFonts w:asciiTheme="minorHAnsi" w:hAnsiTheme="minorHAnsi" w:cstheme="minorHAnsi"/>
          <w:szCs w:val="24"/>
          <w:lang w:val="es-ES_tradnl"/>
        </w:rPr>
        <w:t>"</w:t>
      </w:r>
      <w:r w:rsidR="00C81D53" w:rsidRPr="008059D8">
        <w:rPr>
          <w:rFonts w:asciiTheme="minorHAnsi" w:hAnsiTheme="minorHAnsi" w:cstheme="minorHAnsi"/>
          <w:szCs w:val="24"/>
          <w:lang w:val="es-ES_tradnl"/>
        </w:rPr>
        <w:t xml:space="preserve"> para referirse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 a una mujer </w:t>
      </w:r>
      <w:r w:rsidR="00626B96" w:rsidRPr="008059D8">
        <w:rPr>
          <w:rFonts w:asciiTheme="minorHAnsi" w:hAnsiTheme="minorHAnsi" w:cstheme="minorHAnsi"/>
          <w:szCs w:val="24"/>
          <w:lang w:val="es-ES_tradnl"/>
        </w:rPr>
        <w:t xml:space="preserve">resulta </w:t>
      </w:r>
      <w:r w:rsidR="00626B96">
        <w:rPr>
          <w:rFonts w:asciiTheme="minorHAnsi" w:hAnsiTheme="minorHAnsi" w:cstheme="minorHAnsi"/>
          <w:szCs w:val="24"/>
          <w:lang w:val="es-ES_tradnl"/>
        </w:rPr>
        <w:t>inapropiado</w:t>
      </w:r>
      <w:r w:rsidR="00626B96" w:rsidRPr="008059D8">
        <w:rPr>
          <w:rFonts w:asciiTheme="minorHAnsi" w:hAnsiTheme="minorHAnsi" w:cstheme="minorHAnsi"/>
          <w:szCs w:val="24"/>
          <w:lang w:val="es-ES_tradnl"/>
        </w:rPr>
        <w:t xml:space="preserve"> 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y que la UIT debería </w:t>
      </w:r>
      <w:r w:rsidR="00C81D53" w:rsidRPr="008059D8">
        <w:rPr>
          <w:rFonts w:asciiTheme="minorHAnsi" w:hAnsiTheme="minorHAnsi" w:cstheme="minorHAnsi"/>
          <w:szCs w:val="24"/>
          <w:lang w:val="es-ES_tradnl"/>
        </w:rPr>
        <w:t>tratar de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 reducir el sesgo de género en sus documentos adoptando un lenguaje adecuado.</w:t>
      </w:r>
    </w:p>
    <w:p w14:paraId="542BDB00" w14:textId="2CE9A729" w:rsidR="00B67CDA" w:rsidRPr="008059D8" w:rsidRDefault="00AC246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djustRightInd/>
        <w:spacing w:after="120"/>
        <w:jc w:val="both"/>
        <w:rPr>
          <w:rFonts w:asciiTheme="minorHAnsi" w:hAnsiTheme="minorHAnsi" w:cstheme="minorHAnsi"/>
          <w:szCs w:val="24"/>
          <w:lang w:val="es-ES_tradnl"/>
        </w:rPr>
      </w:pPr>
      <w:r w:rsidRPr="008059D8">
        <w:rPr>
          <w:rFonts w:asciiTheme="minorHAnsi" w:hAnsiTheme="minorHAnsi" w:cstheme="minorHAnsi"/>
          <w:szCs w:val="24"/>
          <w:lang w:val="es-ES_tradnl"/>
        </w:rPr>
        <w:t>5.4</w:t>
      </w:r>
      <w:r w:rsidR="00C81D53" w:rsidRPr="008059D8">
        <w:rPr>
          <w:rFonts w:asciiTheme="minorHAnsi" w:hAnsiTheme="minorHAnsi" w:cstheme="minorHAnsi"/>
          <w:szCs w:val="24"/>
          <w:lang w:val="es-ES_tradnl"/>
        </w:rPr>
        <w:tab/>
        <w:t xml:space="preserve">La </w:t>
      </w:r>
      <w:r w:rsidRPr="008059D8">
        <w:rPr>
          <w:rFonts w:asciiTheme="minorHAnsi" w:hAnsiTheme="minorHAnsi" w:cstheme="minorHAnsi"/>
          <w:szCs w:val="24"/>
          <w:lang w:val="es-ES_tradnl"/>
        </w:rPr>
        <w:t>representante de la Secretaría General señal</w:t>
      </w:r>
      <w:r w:rsidR="00C81D53" w:rsidRPr="008059D8">
        <w:rPr>
          <w:rFonts w:asciiTheme="minorHAnsi" w:hAnsiTheme="minorHAnsi" w:cstheme="minorHAnsi"/>
          <w:szCs w:val="24"/>
          <w:lang w:val="es-ES_tradnl"/>
        </w:rPr>
        <w:t>a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 que, tras la adopción de la Resolución</w:t>
      </w:r>
      <w:r w:rsidR="00CA6282">
        <w:rPr>
          <w:rFonts w:asciiTheme="minorHAnsi" w:hAnsiTheme="minorHAnsi" w:cstheme="minorHAnsi"/>
          <w:szCs w:val="24"/>
          <w:lang w:val="es-ES_tradnl"/>
        </w:rPr>
        <w:t> 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70 (Rev. Bucarest, 2022), </w:t>
      </w:r>
      <w:r w:rsidR="00626B96">
        <w:rPr>
          <w:rFonts w:asciiTheme="minorHAnsi" w:hAnsiTheme="minorHAnsi" w:cstheme="minorHAnsi"/>
          <w:szCs w:val="24"/>
          <w:lang w:val="es-ES_tradnl"/>
        </w:rPr>
        <w:t>el Acuerdo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 500 (C-2000) había quedado obsolet</w:t>
      </w:r>
      <w:r w:rsidR="00626B96">
        <w:rPr>
          <w:rFonts w:asciiTheme="minorHAnsi" w:hAnsiTheme="minorHAnsi" w:cstheme="minorHAnsi"/>
          <w:szCs w:val="24"/>
          <w:lang w:val="es-ES_tradnl"/>
        </w:rPr>
        <w:t>o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. </w:t>
      </w:r>
      <w:r w:rsidR="00C81D53" w:rsidRPr="008059D8">
        <w:rPr>
          <w:rFonts w:asciiTheme="minorHAnsi" w:hAnsiTheme="minorHAnsi" w:cstheme="minorHAnsi"/>
          <w:szCs w:val="24"/>
          <w:lang w:val="es-ES_tradnl"/>
        </w:rPr>
        <w:t>L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a palabra </w:t>
      </w:r>
      <w:r w:rsidR="00AF4CB7">
        <w:rPr>
          <w:rFonts w:asciiTheme="minorHAnsi" w:hAnsiTheme="minorHAnsi" w:cstheme="minorHAnsi"/>
          <w:szCs w:val="24"/>
          <w:lang w:val="es-ES_tradnl"/>
        </w:rPr>
        <w:t>"</w:t>
      </w:r>
      <w:r w:rsidRPr="008059D8">
        <w:rPr>
          <w:rFonts w:asciiTheme="minorHAnsi" w:hAnsiTheme="minorHAnsi" w:cstheme="minorHAnsi"/>
          <w:szCs w:val="24"/>
          <w:lang w:val="es-ES_tradnl"/>
        </w:rPr>
        <w:t>chair</w:t>
      </w:r>
      <w:r w:rsidR="00AF4CB7">
        <w:rPr>
          <w:rFonts w:asciiTheme="minorHAnsi" w:hAnsiTheme="minorHAnsi" w:cstheme="minorHAnsi"/>
          <w:szCs w:val="24"/>
          <w:lang w:val="es-ES_tradnl"/>
        </w:rPr>
        <w:t>"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 </w:t>
      </w:r>
      <w:r w:rsidR="00C81D53" w:rsidRPr="008059D8">
        <w:rPr>
          <w:rFonts w:asciiTheme="minorHAnsi" w:hAnsiTheme="minorHAnsi" w:cstheme="minorHAnsi"/>
          <w:szCs w:val="24"/>
          <w:lang w:val="es-ES_tradnl"/>
        </w:rPr>
        <w:t>se utiliza de acuerdo con una práctica arraigada y de larga data de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 las Naciones Unidas. El cambio propuesto se aplicar</w:t>
      </w:r>
      <w:r w:rsidR="008059D8" w:rsidRPr="008059D8">
        <w:rPr>
          <w:rFonts w:asciiTheme="minorHAnsi" w:hAnsiTheme="minorHAnsi" w:cstheme="minorHAnsi"/>
          <w:szCs w:val="24"/>
          <w:lang w:val="es-ES_tradnl"/>
        </w:rPr>
        <w:t>á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 únicamente a los textos en inglés y no tendr</w:t>
      </w:r>
      <w:r w:rsidR="008059D8" w:rsidRPr="008059D8">
        <w:rPr>
          <w:rFonts w:asciiTheme="minorHAnsi" w:hAnsiTheme="minorHAnsi" w:cstheme="minorHAnsi"/>
          <w:szCs w:val="24"/>
          <w:lang w:val="es-ES_tradnl"/>
        </w:rPr>
        <w:t>á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 carácter retroactivo. </w:t>
      </w:r>
      <w:r w:rsidR="008059D8" w:rsidRPr="008059D8">
        <w:rPr>
          <w:rFonts w:asciiTheme="minorHAnsi" w:hAnsiTheme="minorHAnsi" w:cstheme="minorHAnsi"/>
          <w:szCs w:val="24"/>
          <w:lang w:val="es-ES_tradnl"/>
        </w:rPr>
        <w:t xml:space="preserve">En general, tampoco </w:t>
      </w:r>
      <w:r w:rsidR="00626B96">
        <w:rPr>
          <w:rFonts w:asciiTheme="minorHAnsi" w:hAnsiTheme="minorHAnsi" w:cstheme="minorHAnsi"/>
          <w:szCs w:val="24"/>
          <w:lang w:val="es-ES_tradnl"/>
        </w:rPr>
        <w:t>habrá</w:t>
      </w:r>
      <w:r w:rsidR="008059D8" w:rsidRPr="008059D8">
        <w:rPr>
          <w:rFonts w:asciiTheme="minorHAnsi" w:hAnsiTheme="minorHAnsi" w:cstheme="minorHAnsi"/>
          <w:szCs w:val="24"/>
          <w:lang w:val="es-ES_tradnl"/>
        </w:rPr>
        <w:t xml:space="preserve"> r</w:t>
      </w:r>
      <w:r w:rsidRPr="008059D8">
        <w:rPr>
          <w:rFonts w:asciiTheme="minorHAnsi" w:hAnsiTheme="minorHAnsi" w:cstheme="minorHAnsi"/>
          <w:szCs w:val="24"/>
          <w:lang w:val="es-ES_tradnl"/>
        </w:rPr>
        <w:t>epercusiones financieras.</w:t>
      </w:r>
    </w:p>
    <w:p w14:paraId="317D69D1" w14:textId="63469044" w:rsidR="00B67CDA" w:rsidRPr="008059D8" w:rsidRDefault="00AC246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djustRightInd/>
        <w:spacing w:after="120"/>
        <w:jc w:val="both"/>
        <w:rPr>
          <w:rFonts w:asciiTheme="minorHAnsi" w:hAnsiTheme="minorHAnsi" w:cstheme="minorHAnsi"/>
          <w:szCs w:val="24"/>
          <w:lang w:val="es-ES_tradnl"/>
        </w:rPr>
      </w:pPr>
      <w:bookmarkStart w:id="9" w:name="_Hlk141704546"/>
      <w:r w:rsidRPr="008059D8">
        <w:rPr>
          <w:rFonts w:asciiTheme="minorHAnsi" w:hAnsiTheme="minorHAnsi" w:cstheme="minorHAnsi"/>
          <w:szCs w:val="24"/>
          <w:lang w:val="es-ES_tradnl"/>
        </w:rPr>
        <w:t>5.5</w:t>
      </w:r>
      <w:r w:rsidR="008059D8" w:rsidRPr="008059D8">
        <w:rPr>
          <w:rFonts w:asciiTheme="minorHAnsi" w:hAnsiTheme="minorHAnsi" w:cstheme="minorHAnsi"/>
          <w:szCs w:val="24"/>
          <w:lang w:val="es-ES_tradnl"/>
        </w:rPr>
        <w:tab/>
      </w:r>
      <w:r w:rsidRPr="008059D8">
        <w:rPr>
          <w:rFonts w:asciiTheme="minorHAnsi" w:hAnsiTheme="minorHAnsi" w:cstheme="minorHAnsi"/>
          <w:szCs w:val="24"/>
          <w:lang w:val="es-ES_tradnl"/>
        </w:rPr>
        <w:t>El</w:t>
      </w:r>
      <w:r w:rsidR="008059D8" w:rsidRPr="008059D8">
        <w:rPr>
          <w:rFonts w:asciiTheme="minorHAnsi" w:hAnsiTheme="minorHAnsi" w:cstheme="minorHAnsi"/>
          <w:szCs w:val="24"/>
          <w:lang w:val="es-ES_tradnl"/>
        </w:rPr>
        <w:t xml:space="preserve"> </w:t>
      </w:r>
      <w:r w:rsidRPr="008059D8">
        <w:rPr>
          <w:rFonts w:asciiTheme="minorHAnsi" w:hAnsiTheme="minorHAnsi" w:cstheme="minorHAnsi"/>
          <w:szCs w:val="24"/>
          <w:lang w:val="es-ES_tradnl"/>
        </w:rPr>
        <w:t>Asesor Jurídico confirm</w:t>
      </w:r>
      <w:r w:rsidR="008059D8" w:rsidRPr="008059D8">
        <w:rPr>
          <w:rFonts w:asciiTheme="minorHAnsi" w:hAnsiTheme="minorHAnsi" w:cstheme="minorHAnsi"/>
          <w:szCs w:val="24"/>
          <w:lang w:val="es-ES_tradnl"/>
        </w:rPr>
        <w:t>a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 que el cambio propuesto no tendr</w:t>
      </w:r>
      <w:r w:rsidR="008059D8" w:rsidRPr="008059D8">
        <w:rPr>
          <w:rFonts w:asciiTheme="minorHAnsi" w:hAnsiTheme="minorHAnsi" w:cstheme="minorHAnsi"/>
          <w:szCs w:val="24"/>
          <w:lang w:val="es-ES_tradnl"/>
        </w:rPr>
        <w:t>á</w:t>
      </w:r>
      <w:r w:rsidRPr="008059D8">
        <w:rPr>
          <w:rFonts w:asciiTheme="minorHAnsi" w:hAnsiTheme="minorHAnsi" w:cstheme="minorHAnsi"/>
          <w:szCs w:val="24"/>
          <w:lang w:val="es-ES_tradnl"/>
        </w:rPr>
        <w:t xml:space="preserve"> ramificaciones jurídicas.</w:t>
      </w:r>
    </w:p>
    <w:bookmarkEnd w:id="9"/>
    <w:p w14:paraId="33513B90" w14:textId="26D3687C" w:rsidR="00B67CDA" w:rsidRPr="008059D8" w:rsidRDefault="00AC246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djustRightInd/>
        <w:spacing w:after="120"/>
        <w:jc w:val="both"/>
        <w:rPr>
          <w:rFonts w:eastAsia="SimHei" w:cs="Simplified Arabic"/>
          <w:szCs w:val="24"/>
          <w:lang w:val="es-ES_tradnl"/>
        </w:rPr>
      </w:pPr>
      <w:r w:rsidRPr="008059D8">
        <w:rPr>
          <w:rFonts w:asciiTheme="minorHAnsi" w:hAnsiTheme="minorHAnsi" w:cstheme="minorHAnsi"/>
          <w:szCs w:val="24"/>
          <w:lang w:val="es-ES_tradnl"/>
        </w:rPr>
        <w:t>5.6</w:t>
      </w:r>
      <w:r w:rsidR="008059D8" w:rsidRPr="008059D8">
        <w:rPr>
          <w:rFonts w:asciiTheme="minorHAnsi" w:hAnsiTheme="minorHAnsi" w:cstheme="minorHAnsi"/>
          <w:szCs w:val="24"/>
          <w:lang w:val="es-ES_tradnl"/>
        </w:rPr>
        <w:tab/>
      </w:r>
      <w:r w:rsidRPr="008059D8">
        <w:rPr>
          <w:rFonts w:asciiTheme="minorHAnsi" w:hAnsiTheme="minorHAnsi" w:cstheme="minorHAnsi"/>
          <w:szCs w:val="24"/>
          <w:lang w:val="es-ES_tradnl"/>
        </w:rPr>
        <w:t>El</w:t>
      </w:r>
      <w:r w:rsidR="008059D8" w:rsidRPr="008059D8">
        <w:rPr>
          <w:rFonts w:asciiTheme="minorHAnsi" w:hAnsiTheme="minorHAnsi" w:cstheme="minorHAnsi"/>
          <w:szCs w:val="24"/>
          <w:lang w:val="es-ES_tradnl"/>
        </w:rPr>
        <w:t xml:space="preserve"> </w:t>
      </w:r>
      <w:r w:rsidRPr="008059D8">
        <w:rPr>
          <w:rFonts w:asciiTheme="minorHAnsi" w:hAnsiTheme="minorHAnsi" w:cstheme="minorHAnsi"/>
          <w:szCs w:val="24"/>
          <w:lang w:val="es-ES_tradnl"/>
        </w:rPr>
        <w:t>Presidente indica que el debate de este punto se reanudará en la séptima sesión plenaria.</w:t>
      </w:r>
    </w:p>
    <w:p w14:paraId="4E66C579" w14:textId="284914D7" w:rsidR="00B67CDA" w:rsidRPr="008059D8" w:rsidRDefault="008059D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812"/>
        </w:tabs>
        <w:overflowPunct/>
        <w:autoSpaceDE/>
        <w:autoSpaceDN/>
        <w:adjustRightInd/>
        <w:spacing w:before="600"/>
        <w:textAlignment w:val="auto"/>
        <w:rPr>
          <w:lang w:val="es-ES_tradnl"/>
        </w:rPr>
      </w:pPr>
      <w:r w:rsidRPr="008059D8">
        <w:rPr>
          <w:lang w:val="es-ES_tradnl"/>
        </w:rPr>
        <w:t>La</w:t>
      </w:r>
      <w:r w:rsidR="00AC246F" w:rsidRPr="008059D8">
        <w:rPr>
          <w:lang w:val="es-ES_tradnl"/>
        </w:rPr>
        <w:t xml:space="preserve"> Secretari</w:t>
      </w:r>
      <w:r w:rsidRPr="008059D8">
        <w:rPr>
          <w:lang w:val="es-ES_tradnl"/>
        </w:rPr>
        <w:t>a</w:t>
      </w:r>
      <w:r w:rsidR="00AC246F" w:rsidRPr="008059D8">
        <w:rPr>
          <w:lang w:val="es-ES_tradnl"/>
        </w:rPr>
        <w:t xml:space="preserve"> General:</w:t>
      </w:r>
      <w:r w:rsidR="00AC246F" w:rsidRPr="008059D8">
        <w:rPr>
          <w:lang w:val="es-ES_tradnl"/>
        </w:rPr>
        <w:tab/>
        <w:t xml:space="preserve">El Presidente: </w:t>
      </w:r>
      <w:r w:rsidR="00AC246F" w:rsidRPr="008059D8">
        <w:rPr>
          <w:lang w:val="es-ES_tradnl"/>
        </w:rPr>
        <w:br/>
        <w:t>D. BOGDAN-MARTIN</w:t>
      </w:r>
      <w:r w:rsidR="00AC246F" w:rsidRPr="008059D8">
        <w:rPr>
          <w:lang w:val="es-ES_tradnl"/>
        </w:rPr>
        <w:tab/>
      </w:r>
      <w:r w:rsidRPr="008059D8">
        <w:rPr>
          <w:lang w:val="es-ES_tradnl"/>
        </w:rPr>
        <w:t>C</w:t>
      </w:r>
      <w:r w:rsidR="00AC246F" w:rsidRPr="008059D8">
        <w:rPr>
          <w:lang w:val="es-ES_tradnl"/>
        </w:rPr>
        <w:t>. MARTINEZ</w:t>
      </w:r>
    </w:p>
    <w:p w14:paraId="57B29BB5" w14:textId="77777777" w:rsidR="00B67CDA" w:rsidRPr="008059D8" w:rsidRDefault="00AC246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812"/>
        </w:tabs>
        <w:overflowPunct/>
        <w:autoSpaceDE/>
        <w:autoSpaceDN/>
        <w:adjustRightInd/>
        <w:spacing w:before="840"/>
        <w:jc w:val="center"/>
        <w:textAlignment w:val="auto"/>
        <w:rPr>
          <w:lang w:val="es-ES_tradnl"/>
        </w:rPr>
      </w:pPr>
      <w:r w:rsidRPr="008059D8">
        <w:rPr>
          <w:lang w:val="es-ES_tradnl"/>
        </w:rPr>
        <w:t>________________</w:t>
      </w:r>
    </w:p>
    <w:sectPr w:rsidR="00B67CDA" w:rsidRPr="008059D8" w:rsidSect="00AD3606">
      <w:footerReference w:type="default" r:id="rId40"/>
      <w:headerReference w:type="first" r:id="rId41"/>
      <w:footerReference w:type="first" r:id="rId4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4D63" w14:textId="77777777" w:rsidR="00A54171" w:rsidRDefault="00A54171">
      <w:r>
        <w:separator/>
      </w:r>
    </w:p>
  </w:endnote>
  <w:endnote w:type="continuationSeparator" w:id="0">
    <w:p w14:paraId="4A51B857" w14:textId="77777777" w:rsidR="00A54171" w:rsidRDefault="00A5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43E8054A" w14:textId="311C5588" w:rsidR="00B67CDA" w:rsidRDefault="00AC246F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100217" w:rsidRPr="00100217">
            <w:rPr>
              <w:noProof/>
            </w:rPr>
            <w:t>526818</w:t>
          </w:r>
        </w:p>
      </w:tc>
      <w:tc>
        <w:tcPr>
          <w:tcW w:w="8261" w:type="dxa"/>
        </w:tcPr>
        <w:p w14:paraId="371FB3F0" w14:textId="35ECC2ED" w:rsidR="00B67CDA" w:rsidRDefault="00AC246F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C23/111-</w:t>
          </w:r>
          <w:r w:rsidR="00E76EE5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37FAD6D6" w:rsidR="00EE49E8" w:rsidRPr="00E76EE5" w:rsidRDefault="00EE49E8" w:rsidP="00E76EE5">
    <w:pPr>
      <w:pStyle w:val="Footer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103819D7" w14:textId="77777777" w:rsidR="00B67CDA" w:rsidRDefault="00E462DB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5344127D" w14:textId="0F55EC42" w:rsidR="00B67CDA" w:rsidRDefault="00AC246F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C23/111-</w:t>
          </w:r>
          <w:r w:rsidR="00F81DF3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55811" w14:textId="77777777" w:rsidR="00B67CDA" w:rsidRDefault="00AC246F">
      <w:r>
        <w:t>____________________</w:t>
      </w:r>
    </w:p>
  </w:footnote>
  <w:footnote w:type="continuationSeparator" w:id="0">
    <w:p w14:paraId="13CCF145" w14:textId="77777777" w:rsidR="00A54171" w:rsidRDefault="00A54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AC295DD" w14:textId="3B91ECAF" w:rsidR="00AD3606" w:rsidRPr="009621F8" w:rsidRDefault="00F81DF3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6831C3DF" wp14:editId="58343B18">
                <wp:extent cx="1887322" cy="530367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8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334203E" w14:textId="78B15CA2" w:rsidR="00B67CDA" w:rsidRDefault="00B67C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D75057"/>
    <w:multiLevelType w:val="hybridMultilevel"/>
    <w:tmpl w:val="CA8AA51E"/>
    <w:lvl w:ilvl="0" w:tplc="DCFAE88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C51A072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814A832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126E627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9DDEEE8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3C4811D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AC84E5D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B51203E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254898C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num w:numId="1" w16cid:durableId="1374816267">
    <w:abstractNumId w:val="0"/>
  </w:num>
  <w:num w:numId="2" w16cid:durableId="1286083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1133D"/>
    <w:rsid w:val="000210D4"/>
    <w:rsid w:val="00063016"/>
    <w:rsid w:val="00066795"/>
    <w:rsid w:val="00076AF6"/>
    <w:rsid w:val="00085CF2"/>
    <w:rsid w:val="00085E78"/>
    <w:rsid w:val="000A2AC5"/>
    <w:rsid w:val="000A3885"/>
    <w:rsid w:val="000B1705"/>
    <w:rsid w:val="000D75B2"/>
    <w:rsid w:val="00100217"/>
    <w:rsid w:val="001121F5"/>
    <w:rsid w:val="001400DC"/>
    <w:rsid w:val="00140CE1"/>
    <w:rsid w:val="00143BBD"/>
    <w:rsid w:val="00146BAF"/>
    <w:rsid w:val="0017539C"/>
    <w:rsid w:val="00175AC2"/>
    <w:rsid w:val="0017609F"/>
    <w:rsid w:val="001950EF"/>
    <w:rsid w:val="001A7D1D"/>
    <w:rsid w:val="001B51DD"/>
    <w:rsid w:val="001C628E"/>
    <w:rsid w:val="001E0F7B"/>
    <w:rsid w:val="0020159F"/>
    <w:rsid w:val="002119FD"/>
    <w:rsid w:val="00211EC6"/>
    <w:rsid w:val="002130E0"/>
    <w:rsid w:val="00223CE8"/>
    <w:rsid w:val="00226DDE"/>
    <w:rsid w:val="00264425"/>
    <w:rsid w:val="00265875"/>
    <w:rsid w:val="0027303B"/>
    <w:rsid w:val="0028109B"/>
    <w:rsid w:val="002A2188"/>
    <w:rsid w:val="002B1F58"/>
    <w:rsid w:val="002B7877"/>
    <w:rsid w:val="002C1C7A"/>
    <w:rsid w:val="002C54E2"/>
    <w:rsid w:val="002F6124"/>
    <w:rsid w:val="0030160F"/>
    <w:rsid w:val="00315133"/>
    <w:rsid w:val="00320223"/>
    <w:rsid w:val="00322D0D"/>
    <w:rsid w:val="0034774E"/>
    <w:rsid w:val="00361465"/>
    <w:rsid w:val="003769F2"/>
    <w:rsid w:val="003877F5"/>
    <w:rsid w:val="003942D4"/>
    <w:rsid w:val="003958A8"/>
    <w:rsid w:val="003A6CE4"/>
    <w:rsid w:val="003C2533"/>
    <w:rsid w:val="003D5A7F"/>
    <w:rsid w:val="004039E7"/>
    <w:rsid w:val="0040435A"/>
    <w:rsid w:val="00406FF5"/>
    <w:rsid w:val="00410155"/>
    <w:rsid w:val="00416A24"/>
    <w:rsid w:val="00431D9E"/>
    <w:rsid w:val="00433CE8"/>
    <w:rsid w:val="00434A5C"/>
    <w:rsid w:val="004367F0"/>
    <w:rsid w:val="00451ADD"/>
    <w:rsid w:val="004544D9"/>
    <w:rsid w:val="00472B1C"/>
    <w:rsid w:val="00472BAD"/>
    <w:rsid w:val="00484009"/>
    <w:rsid w:val="00490E72"/>
    <w:rsid w:val="00491157"/>
    <w:rsid w:val="004921C8"/>
    <w:rsid w:val="00495B0B"/>
    <w:rsid w:val="004A1B8B"/>
    <w:rsid w:val="004C3E47"/>
    <w:rsid w:val="004C442E"/>
    <w:rsid w:val="004D1851"/>
    <w:rsid w:val="004D599D"/>
    <w:rsid w:val="004D6E4A"/>
    <w:rsid w:val="004E1245"/>
    <w:rsid w:val="004E2EA5"/>
    <w:rsid w:val="004E3AEB"/>
    <w:rsid w:val="0050223C"/>
    <w:rsid w:val="005122FA"/>
    <w:rsid w:val="005243FF"/>
    <w:rsid w:val="00556446"/>
    <w:rsid w:val="00564FBC"/>
    <w:rsid w:val="005800BC"/>
    <w:rsid w:val="00582442"/>
    <w:rsid w:val="005A2AA3"/>
    <w:rsid w:val="005B471E"/>
    <w:rsid w:val="005C11D3"/>
    <w:rsid w:val="005E4317"/>
    <w:rsid w:val="005F3269"/>
    <w:rsid w:val="00606F98"/>
    <w:rsid w:val="0061233D"/>
    <w:rsid w:val="00623AE3"/>
    <w:rsid w:val="00626B96"/>
    <w:rsid w:val="0064737F"/>
    <w:rsid w:val="006479A4"/>
    <w:rsid w:val="006535F1"/>
    <w:rsid w:val="0065557D"/>
    <w:rsid w:val="00660D50"/>
    <w:rsid w:val="00661C03"/>
    <w:rsid w:val="00662984"/>
    <w:rsid w:val="006716BB"/>
    <w:rsid w:val="00696483"/>
    <w:rsid w:val="006B1859"/>
    <w:rsid w:val="006B6680"/>
    <w:rsid w:val="006B6DCC"/>
    <w:rsid w:val="006F1845"/>
    <w:rsid w:val="00702DEF"/>
    <w:rsid w:val="00706861"/>
    <w:rsid w:val="0075051B"/>
    <w:rsid w:val="00793188"/>
    <w:rsid w:val="00794D34"/>
    <w:rsid w:val="007B3D6C"/>
    <w:rsid w:val="008059D8"/>
    <w:rsid w:val="00813E5E"/>
    <w:rsid w:val="0083581B"/>
    <w:rsid w:val="00863874"/>
    <w:rsid w:val="00864AFF"/>
    <w:rsid w:val="00865925"/>
    <w:rsid w:val="008908F2"/>
    <w:rsid w:val="00896FAB"/>
    <w:rsid w:val="008B4A6A"/>
    <w:rsid w:val="008C7E27"/>
    <w:rsid w:val="008E6397"/>
    <w:rsid w:val="008F7448"/>
    <w:rsid w:val="008F7692"/>
    <w:rsid w:val="0090147A"/>
    <w:rsid w:val="0090341F"/>
    <w:rsid w:val="00915F63"/>
    <w:rsid w:val="009173EF"/>
    <w:rsid w:val="00932906"/>
    <w:rsid w:val="009333E2"/>
    <w:rsid w:val="0094017D"/>
    <w:rsid w:val="00961B0B"/>
    <w:rsid w:val="009B38C3"/>
    <w:rsid w:val="009E17BD"/>
    <w:rsid w:val="009E485A"/>
    <w:rsid w:val="00A04CEC"/>
    <w:rsid w:val="00A27F92"/>
    <w:rsid w:val="00A32257"/>
    <w:rsid w:val="00A36D20"/>
    <w:rsid w:val="00A44716"/>
    <w:rsid w:val="00A514A4"/>
    <w:rsid w:val="00A54171"/>
    <w:rsid w:val="00A55622"/>
    <w:rsid w:val="00A5589C"/>
    <w:rsid w:val="00A75600"/>
    <w:rsid w:val="00A83502"/>
    <w:rsid w:val="00AC246F"/>
    <w:rsid w:val="00AD15B3"/>
    <w:rsid w:val="00AD3606"/>
    <w:rsid w:val="00AD4A3D"/>
    <w:rsid w:val="00AF4CB7"/>
    <w:rsid w:val="00AF6E49"/>
    <w:rsid w:val="00B04A67"/>
    <w:rsid w:val="00B0583C"/>
    <w:rsid w:val="00B40A81"/>
    <w:rsid w:val="00B44910"/>
    <w:rsid w:val="00B61A2A"/>
    <w:rsid w:val="00B66772"/>
    <w:rsid w:val="00B67CDA"/>
    <w:rsid w:val="00B72267"/>
    <w:rsid w:val="00B76EB6"/>
    <w:rsid w:val="00B7737B"/>
    <w:rsid w:val="00B824C8"/>
    <w:rsid w:val="00B84B9D"/>
    <w:rsid w:val="00BB378E"/>
    <w:rsid w:val="00BC251A"/>
    <w:rsid w:val="00BD032B"/>
    <w:rsid w:val="00BE2640"/>
    <w:rsid w:val="00C01189"/>
    <w:rsid w:val="00C10672"/>
    <w:rsid w:val="00C374DE"/>
    <w:rsid w:val="00C45268"/>
    <w:rsid w:val="00C47AD4"/>
    <w:rsid w:val="00C52D81"/>
    <w:rsid w:val="00C55198"/>
    <w:rsid w:val="00C617E2"/>
    <w:rsid w:val="00C74E7E"/>
    <w:rsid w:val="00C81D53"/>
    <w:rsid w:val="00CA6282"/>
    <w:rsid w:val="00CA6393"/>
    <w:rsid w:val="00CB18FF"/>
    <w:rsid w:val="00CD0C08"/>
    <w:rsid w:val="00CE03FB"/>
    <w:rsid w:val="00CE3360"/>
    <w:rsid w:val="00CE433C"/>
    <w:rsid w:val="00CF0161"/>
    <w:rsid w:val="00CF33F3"/>
    <w:rsid w:val="00D03A67"/>
    <w:rsid w:val="00D06183"/>
    <w:rsid w:val="00D07C2D"/>
    <w:rsid w:val="00D22C42"/>
    <w:rsid w:val="00D65041"/>
    <w:rsid w:val="00DA306F"/>
    <w:rsid w:val="00DB1936"/>
    <w:rsid w:val="00DB384B"/>
    <w:rsid w:val="00DF0189"/>
    <w:rsid w:val="00DF13B2"/>
    <w:rsid w:val="00DF1C02"/>
    <w:rsid w:val="00DF2340"/>
    <w:rsid w:val="00E06FD5"/>
    <w:rsid w:val="00E10E80"/>
    <w:rsid w:val="00E124F0"/>
    <w:rsid w:val="00E462DB"/>
    <w:rsid w:val="00E60F04"/>
    <w:rsid w:val="00E65B24"/>
    <w:rsid w:val="00E76EE5"/>
    <w:rsid w:val="00E854E4"/>
    <w:rsid w:val="00E86D2F"/>
    <w:rsid w:val="00E86DBF"/>
    <w:rsid w:val="00EB0D6F"/>
    <w:rsid w:val="00EB2232"/>
    <w:rsid w:val="00EB5A2F"/>
    <w:rsid w:val="00EC5337"/>
    <w:rsid w:val="00ED2034"/>
    <w:rsid w:val="00EE49E8"/>
    <w:rsid w:val="00F0243A"/>
    <w:rsid w:val="00F16BAB"/>
    <w:rsid w:val="00F2150A"/>
    <w:rsid w:val="00F231D8"/>
    <w:rsid w:val="00F241B1"/>
    <w:rsid w:val="00F4239E"/>
    <w:rsid w:val="00F44C00"/>
    <w:rsid w:val="00F46C5F"/>
    <w:rsid w:val="00F632C0"/>
    <w:rsid w:val="00F81DF3"/>
    <w:rsid w:val="00F82D8D"/>
    <w:rsid w:val="00F94A63"/>
    <w:rsid w:val="00FA1C28"/>
    <w:rsid w:val="00FB1279"/>
    <w:rsid w:val="00FB6B76"/>
    <w:rsid w:val="00FB7596"/>
    <w:rsid w:val="00FD31E0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CEO_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C617E2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606F98"/>
  </w:style>
  <w:style w:type="paragraph" w:customStyle="1" w:styleId="paragraph">
    <w:name w:val="paragraph"/>
    <w:basedOn w:val="Normal"/>
    <w:rsid w:val="00606F9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character" w:styleId="CommentReference">
    <w:name w:val="annotation reference"/>
    <w:basedOn w:val="DefaultParagraphFont"/>
    <w:semiHidden/>
    <w:unhideWhenUsed/>
    <w:rsid w:val="004367F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367F0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4367F0"/>
    <w:rPr>
      <w:rFonts w:ascii="Calibri" w:eastAsia="Times New Roman" w:hAnsi="Calibri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7692"/>
    <w:rPr>
      <w:rFonts w:ascii="Calibri" w:hAnsi="Calibr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5A2AA3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B5A2F"/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B5A2F"/>
    <w:rPr>
      <w:rFonts w:ascii="Calibri" w:eastAsia="Times New Roman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EB5A2F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3-CL-C-0081/en" TargetMode="External"/><Relationship Id="rId18" Type="http://schemas.openxmlformats.org/officeDocument/2006/relationships/hyperlink" Target="https://www.itu.int/md/S23-CL-230711-TD-0010/en" TargetMode="External"/><Relationship Id="rId26" Type="http://schemas.openxmlformats.org/officeDocument/2006/relationships/hyperlink" Target="https://www.itu.int/md/S23-CL-C-0079/en" TargetMode="External"/><Relationship Id="rId39" Type="http://schemas.openxmlformats.org/officeDocument/2006/relationships/hyperlink" Target="https://www.itu.int/md/S23-CL-C-0003/en" TargetMode="External"/><Relationship Id="rId21" Type="http://schemas.openxmlformats.org/officeDocument/2006/relationships/hyperlink" Target="https://www.itu.int/md/S23-CL-C-0076/en" TargetMode="External"/><Relationship Id="rId34" Type="http://schemas.openxmlformats.org/officeDocument/2006/relationships/hyperlink" Target="https://www.itu.int/md/S23-CL-230711-TD-0010/en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3-CL-C-0096/en" TargetMode="External"/><Relationship Id="rId20" Type="http://schemas.openxmlformats.org/officeDocument/2006/relationships/hyperlink" Target="https://www.itu.int/md/S23-CL-C-0006/en" TargetMode="External"/><Relationship Id="rId29" Type="http://schemas.openxmlformats.org/officeDocument/2006/relationships/hyperlink" Target="https://www.itu.int/md/S23-CL-C-0081/en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L-C-0061/en" TargetMode="External"/><Relationship Id="rId24" Type="http://schemas.openxmlformats.org/officeDocument/2006/relationships/hyperlink" Target="https://www.itu.int/md/S23-CL-C-0027/en" TargetMode="External"/><Relationship Id="rId32" Type="http://schemas.openxmlformats.org/officeDocument/2006/relationships/hyperlink" Target="https://www.itu.int/md/S23-CL-C-0096/en" TargetMode="External"/><Relationship Id="rId37" Type="http://schemas.openxmlformats.org/officeDocument/2006/relationships/hyperlink" Target="https://www.itu.int/md/S23-CL-C-0076/en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3-CL-C-0085/en" TargetMode="External"/><Relationship Id="rId23" Type="http://schemas.openxmlformats.org/officeDocument/2006/relationships/hyperlink" Target="https://www.itu.int/md/S23-CL-C-0003/en" TargetMode="External"/><Relationship Id="rId28" Type="http://schemas.openxmlformats.org/officeDocument/2006/relationships/hyperlink" Target="https://www.itu.int/md/S23-CL-C-0071/en" TargetMode="External"/><Relationship Id="rId36" Type="http://schemas.openxmlformats.org/officeDocument/2006/relationships/hyperlink" Target="https://www.itu.int/md/S23-CL-C-0006/en" TargetMode="External"/><Relationship Id="rId10" Type="http://schemas.openxmlformats.org/officeDocument/2006/relationships/hyperlink" Target="https://www.itu.int/md/S23-CL-C-0079/en" TargetMode="External"/><Relationship Id="rId19" Type="http://schemas.openxmlformats.org/officeDocument/2006/relationships/hyperlink" Target="https://www.itu.int/md/S23-CL-INF-0018/en" TargetMode="External"/><Relationship Id="rId31" Type="http://schemas.openxmlformats.org/officeDocument/2006/relationships/hyperlink" Target="https://www.itu.int/md/S23-CL-C-0085/en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L-C-0072/en" TargetMode="External"/><Relationship Id="rId14" Type="http://schemas.openxmlformats.org/officeDocument/2006/relationships/hyperlink" Target="https://www.itu.int/md/S23-CL-C-0083/en" TargetMode="External"/><Relationship Id="rId22" Type="http://schemas.openxmlformats.org/officeDocument/2006/relationships/hyperlink" Target="https://www.itu.int/md/S23-CL-C-0091/en" TargetMode="External"/><Relationship Id="rId27" Type="http://schemas.openxmlformats.org/officeDocument/2006/relationships/hyperlink" Target="https://www.itu.int/md/S23-CL-C-0061/en" TargetMode="External"/><Relationship Id="rId30" Type="http://schemas.openxmlformats.org/officeDocument/2006/relationships/hyperlink" Target="https://www.itu.int/md/S23-CL-C-0083/en" TargetMode="External"/><Relationship Id="rId35" Type="http://schemas.openxmlformats.org/officeDocument/2006/relationships/hyperlink" Target="https://www.itu.int/md/S23-CL-INF-0018/en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itu.int/md/S23-CL-C-0027/e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S23-CL-C-0071/en" TargetMode="External"/><Relationship Id="rId17" Type="http://schemas.openxmlformats.org/officeDocument/2006/relationships/hyperlink" Target="https://www.itu.int/md/S23-CL-230711-TD-0009/en" TargetMode="External"/><Relationship Id="rId25" Type="http://schemas.openxmlformats.org/officeDocument/2006/relationships/hyperlink" Target="https://www.itu.int/md/S23-CL-C-0072/en" TargetMode="External"/><Relationship Id="rId33" Type="http://schemas.openxmlformats.org/officeDocument/2006/relationships/hyperlink" Target="https://www.itu.int/md/S23-CL-230711-TD-0009/en" TargetMode="External"/><Relationship Id="rId38" Type="http://schemas.openxmlformats.org/officeDocument/2006/relationships/hyperlink" Target="https://www.itu.int/md/S23-CL-C-0091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1690</Words>
  <Characters>10723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record of the sixth plenary meeting</vt:lpstr>
    </vt:vector>
  </TitlesOfParts>
  <Manager>General Secretariat - Pool</Manager>
  <Company>International Telecommunication Union (ITU)</Company>
  <LinksUpToDate>false</LinksUpToDate>
  <CharactersWithSpaces>12389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 de los debates de la sexta Sesión Plenaria</dc:title>
  <dc:subject>Council 2023</dc:subject>
  <dc:creator>Brouard, Ricarda</dc:creator>
  <cp:keywords>C2023, C23, Council-23, docId:1AE1E4F1521478CA12F414E575CEF624</cp:keywords>
  <dc:description/>
  <cp:lastModifiedBy>Xue, Kun</cp:lastModifiedBy>
  <cp:revision>4</cp:revision>
  <cp:lastPrinted>2000-07-18T13:30:00Z</cp:lastPrinted>
  <dcterms:created xsi:type="dcterms:W3CDTF">2023-09-01T16:28:00Z</dcterms:created>
  <dcterms:modified xsi:type="dcterms:W3CDTF">2023-09-01T16:29:00Z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